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eight real, tested flows in Stage 6 Build/: Buyer commitment-fee payment, Farmer opportunity-acceptance + formula, Vendor mechanisation request, the Matching Queue, the Production Formula Builder, Logistics Dispatch, Harvest Pickup Request, and Fulfilment Centre Intake &amp; Grading (the first four Internal Operations screens -- together these complete PRD Section 6 Must-Have #3 and Must-Have #4 for the real job sources that exist, confirmed mechanisation requests and harvest pickups). RBAC (7 roles), audit logging, and Finance/Super Admin segregation are foundational. The vendor date-conflict override is a real two-party workflow -- a vendor cannot approve its own override; only Super Admin can, via a separate audited endpoint. Real-time OTP verification via phone and email, at registration and login for all seven roles, was added 5 September 2026 (PRD Section 12) -- delivery is SIMULATED pending a chosen SMS/email provider, same treatment as mobile money. A full responsive QA pass (SDD Section 17) confirmed every flow renders correctly at desktop/tablet/phone with no horizontal page overflow and no interactive element under the 44px touch-target minimum (Section 5 above) -- it also found and fixed a systemic missing-viewport-meta-tag bug that had silently defeated every phone/tablet CSS rule built across all of Stage 6 until now. See Farm_Master_SDD_Stage6.docx and Farm_Master_API_Documentation_Stage6.docx. Remaining: real input ordering (Farmer Order Inputs, Vendor Product Catalogue), Order Reconciliation (PRD Must-Have #5), and the rest of Internal Operations (Finance &amp; Reconciliation, Reporting, MoFA Data Exchange).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