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u w:val="single"/>
          <w:rtl w:val="0"/>
        </w:rPr>
        <w:t xml:space="preserve">MATH 381 Group 6 Project 1 Proposal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Baihan Lin, Daehyun Kim, Xinyuan Liu, Yijun Ma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Title: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Weekly Diet Preference Optimization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Objective: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To maximize the happiness for our group members from having meals each week.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(Note: The happiness is defined for each category of food, such as fruits, vegetables, meat, and cereal, based on a small survey within our small group.)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Constraints: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0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Budget constraint: cost for food needs to be lower than $x (say $150 per week)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0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Nutrients constraints: need to be sufficient for different kinds of nutrition (vitamin etc.)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0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Calories and sodium should not be above recommended values for a week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0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Diversity of food (say, cannot have more than 20% of a certain category)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rtl w:val="0"/>
        </w:rPr>
        <w:t xml:space="preserve">Data: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0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Survey on happiness (preference score) in different categories of food in a Likert scale of 0 to 10.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0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Nutrients of common food around campus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0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Calories and sodium of common food around campus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0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Costs of common food around campus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0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Proportions of food to define diversity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Method: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Linear Programming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