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5B01" w14:textId="7E7BF161" w:rsidR="00166882" w:rsidRDefault="00000000" w:rsidP="00225E07">
      <w:pPr>
        <w:keepNext/>
        <w:spacing w:after="80"/>
      </w:pPr>
      <w:r>
        <w:rPr>
          <w:b/>
          <w:sz w:val="36"/>
        </w:rPr>
        <w:t>A2A Protocol Security Measures Research Baseline</w:t>
      </w:r>
    </w:p>
    <w:p w14:paraId="38332827" w14:textId="702F3B01" w:rsidR="00166882" w:rsidRDefault="00225E07">
      <w:pPr>
        <w:pStyle w:val="Heading1"/>
      </w:pPr>
      <w:proofErr w:type="spellStart"/>
      <w:r>
        <w:t>Overivew</w:t>
      </w:r>
      <w:proofErr w:type="spellEnd"/>
    </w:p>
    <w:tbl>
      <w:tblPr>
        <w:tblW w:w="9360" w:type="dxa"/>
        <w:tblInd w:w="120" w:type="dxa"/>
        <w:tblLayout w:type="fixed"/>
        <w:tblLook w:val="04A0" w:firstRow="1" w:lastRow="0" w:firstColumn="1" w:lastColumn="0" w:noHBand="0" w:noVBand="1"/>
      </w:tblPr>
      <w:tblGrid>
        <w:gridCol w:w="2700"/>
        <w:gridCol w:w="1700"/>
        <w:gridCol w:w="4100"/>
        <w:gridCol w:w="860"/>
      </w:tblGrid>
      <w:tr w:rsidR="00166882" w14:paraId="1A2B1FDD" w14:textId="77777777">
        <w:trPr>
          <w:tblHeader/>
        </w:trPr>
        <w:tc>
          <w:tcPr>
            <w:tcW w:w="2700" w:type="dxa"/>
            <w:shd w:val="clear" w:color="auto" w:fill="F2F2F2"/>
            <w:tcMar>
              <w:top w:w="80" w:type="dxa"/>
              <w:left w:w="120" w:type="dxa"/>
              <w:bottom w:w="80" w:type="dxa"/>
              <w:right w:w="120" w:type="dxa"/>
            </w:tcMar>
            <w:vAlign w:val="center"/>
          </w:tcPr>
          <w:p w14:paraId="1D984480" w14:textId="77777777" w:rsidR="00166882" w:rsidRDefault="00000000">
            <w:pPr>
              <w:spacing w:after="0" w:line="240" w:lineRule="auto"/>
            </w:pPr>
            <w:r>
              <w:rPr>
                <w:b/>
                <w:sz w:val="19"/>
              </w:rPr>
              <w:t>Security measure</w:t>
            </w:r>
          </w:p>
        </w:tc>
        <w:tc>
          <w:tcPr>
            <w:tcW w:w="1700" w:type="dxa"/>
            <w:shd w:val="clear" w:color="auto" w:fill="F2F2F2"/>
            <w:tcMar>
              <w:top w:w="80" w:type="dxa"/>
              <w:left w:w="120" w:type="dxa"/>
              <w:bottom w:w="80" w:type="dxa"/>
              <w:right w:w="120" w:type="dxa"/>
            </w:tcMar>
            <w:vAlign w:val="center"/>
          </w:tcPr>
          <w:p w14:paraId="75889E4A" w14:textId="77777777" w:rsidR="00166882" w:rsidRDefault="00000000">
            <w:pPr>
              <w:spacing w:after="0" w:line="240" w:lineRule="auto"/>
            </w:pPr>
            <w:r>
              <w:rPr>
                <w:b/>
                <w:sz w:val="19"/>
              </w:rPr>
              <w:t>Evidence level</w:t>
            </w:r>
          </w:p>
        </w:tc>
        <w:tc>
          <w:tcPr>
            <w:tcW w:w="4100" w:type="dxa"/>
            <w:shd w:val="clear" w:color="auto" w:fill="F2F2F2"/>
            <w:tcMar>
              <w:top w:w="80" w:type="dxa"/>
              <w:left w:w="120" w:type="dxa"/>
              <w:bottom w:w="80" w:type="dxa"/>
              <w:right w:w="120" w:type="dxa"/>
            </w:tcMar>
            <w:vAlign w:val="center"/>
          </w:tcPr>
          <w:p w14:paraId="152D7B24" w14:textId="77777777" w:rsidR="00166882" w:rsidRDefault="00000000">
            <w:pPr>
              <w:spacing w:after="0" w:line="240" w:lineRule="auto"/>
            </w:pPr>
            <w:r>
              <w:rPr>
                <w:b/>
                <w:sz w:val="19"/>
              </w:rPr>
              <w:t>Main purpose</w:t>
            </w:r>
          </w:p>
        </w:tc>
        <w:tc>
          <w:tcPr>
            <w:tcW w:w="860" w:type="dxa"/>
            <w:shd w:val="clear" w:color="auto" w:fill="F2F2F2"/>
            <w:tcMar>
              <w:top w:w="80" w:type="dxa"/>
              <w:left w:w="120" w:type="dxa"/>
              <w:bottom w:w="80" w:type="dxa"/>
              <w:right w:w="120" w:type="dxa"/>
            </w:tcMar>
            <w:vAlign w:val="center"/>
          </w:tcPr>
          <w:p w14:paraId="0CD9CA1B" w14:textId="77777777" w:rsidR="00166882" w:rsidRDefault="00000000">
            <w:pPr>
              <w:spacing w:after="0" w:line="240" w:lineRule="auto"/>
            </w:pPr>
            <w:r>
              <w:rPr>
                <w:b/>
                <w:sz w:val="19"/>
              </w:rPr>
              <w:t>Sources</w:t>
            </w:r>
          </w:p>
        </w:tc>
      </w:tr>
      <w:tr w:rsidR="00166882" w14:paraId="0CC26A5E" w14:textId="77777777">
        <w:tc>
          <w:tcPr>
            <w:tcW w:w="2700" w:type="dxa"/>
            <w:shd w:val="clear" w:color="auto" w:fill="FFFFFF"/>
            <w:tcMar>
              <w:top w:w="80" w:type="dxa"/>
              <w:left w:w="120" w:type="dxa"/>
              <w:bottom w:w="80" w:type="dxa"/>
              <w:right w:w="120" w:type="dxa"/>
            </w:tcMar>
            <w:vAlign w:val="center"/>
          </w:tcPr>
          <w:p w14:paraId="037221A7" w14:textId="77777777" w:rsidR="00166882" w:rsidRDefault="00000000">
            <w:pPr>
              <w:spacing w:after="0" w:line="240" w:lineRule="auto"/>
            </w:pPr>
            <w:r>
              <w:rPr>
                <w:sz w:val="19"/>
              </w:rPr>
              <w:t>HTTPS/TLS and certificate checks</w:t>
            </w:r>
          </w:p>
        </w:tc>
        <w:tc>
          <w:tcPr>
            <w:tcW w:w="1700" w:type="dxa"/>
            <w:shd w:val="clear" w:color="auto" w:fill="FFFFFF"/>
            <w:tcMar>
              <w:top w:w="80" w:type="dxa"/>
              <w:left w:w="120" w:type="dxa"/>
              <w:bottom w:w="80" w:type="dxa"/>
              <w:right w:w="120" w:type="dxa"/>
            </w:tcMar>
            <w:vAlign w:val="center"/>
          </w:tcPr>
          <w:p w14:paraId="4C81B844" w14:textId="77777777" w:rsidR="00166882" w:rsidRDefault="00000000">
            <w:pPr>
              <w:spacing w:after="0" w:line="240" w:lineRule="auto"/>
            </w:pPr>
            <w:r>
              <w:rPr>
                <w:sz w:val="19"/>
              </w:rPr>
              <w:t>A2A baseline</w:t>
            </w:r>
          </w:p>
        </w:tc>
        <w:tc>
          <w:tcPr>
            <w:tcW w:w="4100" w:type="dxa"/>
            <w:shd w:val="clear" w:color="auto" w:fill="FFFFFF"/>
            <w:tcMar>
              <w:top w:w="80" w:type="dxa"/>
              <w:left w:w="120" w:type="dxa"/>
              <w:bottom w:w="80" w:type="dxa"/>
              <w:right w:w="120" w:type="dxa"/>
            </w:tcMar>
            <w:vAlign w:val="center"/>
          </w:tcPr>
          <w:p w14:paraId="2786F62D" w14:textId="77777777" w:rsidR="00166882" w:rsidRDefault="00000000">
            <w:pPr>
              <w:spacing w:after="0" w:line="240" w:lineRule="auto"/>
            </w:pPr>
            <w:r>
              <w:rPr>
                <w:sz w:val="19"/>
              </w:rPr>
              <w:t>Protect the active network connection</w:t>
            </w:r>
          </w:p>
        </w:tc>
        <w:tc>
          <w:tcPr>
            <w:tcW w:w="860" w:type="dxa"/>
            <w:shd w:val="clear" w:color="auto" w:fill="FFFFFF"/>
            <w:tcMar>
              <w:top w:w="80" w:type="dxa"/>
              <w:left w:w="120" w:type="dxa"/>
              <w:bottom w:w="80" w:type="dxa"/>
              <w:right w:w="120" w:type="dxa"/>
            </w:tcMar>
            <w:vAlign w:val="center"/>
          </w:tcPr>
          <w:p w14:paraId="7F9EDE48" w14:textId="77777777" w:rsidR="00166882" w:rsidRDefault="00000000">
            <w:pPr>
              <w:spacing w:after="0" w:line="240" w:lineRule="auto"/>
            </w:pPr>
            <w:r>
              <w:rPr>
                <w:sz w:val="19"/>
              </w:rPr>
              <w:t>[4], [6]</w:t>
            </w:r>
          </w:p>
        </w:tc>
      </w:tr>
      <w:tr w:rsidR="00166882" w14:paraId="19157908" w14:textId="77777777">
        <w:tc>
          <w:tcPr>
            <w:tcW w:w="2700" w:type="dxa"/>
            <w:shd w:val="clear" w:color="auto" w:fill="FFFFFF"/>
            <w:tcMar>
              <w:top w:w="80" w:type="dxa"/>
              <w:left w:w="120" w:type="dxa"/>
              <w:bottom w:w="80" w:type="dxa"/>
              <w:right w:w="120" w:type="dxa"/>
            </w:tcMar>
            <w:vAlign w:val="center"/>
          </w:tcPr>
          <w:p w14:paraId="19775584" w14:textId="77777777" w:rsidR="00166882" w:rsidRDefault="00000000">
            <w:pPr>
              <w:spacing w:after="0" w:line="240" w:lineRule="auto"/>
            </w:pPr>
            <w:r>
              <w:rPr>
                <w:sz w:val="19"/>
              </w:rPr>
              <w:t>OAuth, OIDC, JWT, API keys, or mTLS</w:t>
            </w:r>
          </w:p>
        </w:tc>
        <w:tc>
          <w:tcPr>
            <w:tcW w:w="1700" w:type="dxa"/>
            <w:shd w:val="clear" w:color="auto" w:fill="FFFFFF"/>
            <w:tcMar>
              <w:top w:w="80" w:type="dxa"/>
              <w:left w:w="120" w:type="dxa"/>
              <w:bottom w:w="80" w:type="dxa"/>
              <w:right w:w="120" w:type="dxa"/>
            </w:tcMar>
            <w:vAlign w:val="center"/>
          </w:tcPr>
          <w:p w14:paraId="121879BB" w14:textId="77777777" w:rsidR="00166882" w:rsidRDefault="00000000">
            <w:pPr>
              <w:spacing w:after="0" w:line="240" w:lineRule="auto"/>
            </w:pPr>
            <w:r>
              <w:rPr>
                <w:sz w:val="19"/>
              </w:rPr>
              <w:t>A2A baseline</w:t>
            </w:r>
          </w:p>
        </w:tc>
        <w:tc>
          <w:tcPr>
            <w:tcW w:w="4100" w:type="dxa"/>
            <w:shd w:val="clear" w:color="auto" w:fill="FFFFFF"/>
            <w:tcMar>
              <w:top w:w="80" w:type="dxa"/>
              <w:left w:w="120" w:type="dxa"/>
              <w:bottom w:w="80" w:type="dxa"/>
              <w:right w:w="120" w:type="dxa"/>
            </w:tcMar>
            <w:vAlign w:val="center"/>
          </w:tcPr>
          <w:p w14:paraId="5002A711" w14:textId="77777777" w:rsidR="00166882" w:rsidRDefault="00000000">
            <w:pPr>
              <w:spacing w:after="0" w:line="240" w:lineRule="auto"/>
            </w:pPr>
            <w:r>
              <w:rPr>
                <w:sz w:val="19"/>
              </w:rPr>
              <w:t>Authenticate the calling agent or service</w:t>
            </w:r>
          </w:p>
        </w:tc>
        <w:tc>
          <w:tcPr>
            <w:tcW w:w="860" w:type="dxa"/>
            <w:shd w:val="clear" w:color="auto" w:fill="FFFFFF"/>
            <w:tcMar>
              <w:top w:w="80" w:type="dxa"/>
              <w:left w:w="120" w:type="dxa"/>
              <w:bottom w:w="80" w:type="dxa"/>
              <w:right w:w="120" w:type="dxa"/>
            </w:tcMar>
            <w:vAlign w:val="center"/>
          </w:tcPr>
          <w:p w14:paraId="10D0107E" w14:textId="77777777" w:rsidR="00166882" w:rsidRDefault="00000000">
            <w:pPr>
              <w:spacing w:after="0" w:line="240" w:lineRule="auto"/>
            </w:pPr>
            <w:r>
              <w:rPr>
                <w:sz w:val="19"/>
              </w:rPr>
              <w:t>[4], [6]</w:t>
            </w:r>
          </w:p>
        </w:tc>
      </w:tr>
      <w:tr w:rsidR="00166882" w14:paraId="077AB08F" w14:textId="77777777">
        <w:tc>
          <w:tcPr>
            <w:tcW w:w="2700" w:type="dxa"/>
            <w:shd w:val="clear" w:color="auto" w:fill="FFFFFF"/>
            <w:tcMar>
              <w:top w:w="80" w:type="dxa"/>
              <w:left w:w="120" w:type="dxa"/>
              <w:bottom w:w="80" w:type="dxa"/>
              <w:right w:w="120" w:type="dxa"/>
            </w:tcMar>
            <w:vAlign w:val="center"/>
          </w:tcPr>
          <w:p w14:paraId="67D0F7C7" w14:textId="77777777" w:rsidR="00166882" w:rsidRDefault="00000000">
            <w:pPr>
              <w:spacing w:after="0" w:line="240" w:lineRule="auto"/>
            </w:pPr>
            <w:r>
              <w:rPr>
                <w:sz w:val="19"/>
              </w:rPr>
              <w:t>Signed and validated Agent Cards</w:t>
            </w:r>
          </w:p>
        </w:tc>
        <w:tc>
          <w:tcPr>
            <w:tcW w:w="1700" w:type="dxa"/>
            <w:shd w:val="clear" w:color="auto" w:fill="FFFFFF"/>
            <w:tcMar>
              <w:top w:w="80" w:type="dxa"/>
              <w:left w:w="120" w:type="dxa"/>
              <w:bottom w:w="80" w:type="dxa"/>
              <w:right w:w="120" w:type="dxa"/>
            </w:tcMar>
            <w:vAlign w:val="center"/>
          </w:tcPr>
          <w:p w14:paraId="56BE7F42" w14:textId="77777777" w:rsidR="00166882" w:rsidRDefault="00000000">
            <w:pPr>
              <w:spacing w:after="0" w:line="240" w:lineRule="auto"/>
            </w:pPr>
            <w:r>
              <w:rPr>
                <w:sz w:val="19"/>
              </w:rPr>
              <w:t>Recommended</w:t>
            </w:r>
          </w:p>
        </w:tc>
        <w:tc>
          <w:tcPr>
            <w:tcW w:w="4100" w:type="dxa"/>
            <w:shd w:val="clear" w:color="auto" w:fill="FFFFFF"/>
            <w:tcMar>
              <w:top w:w="80" w:type="dxa"/>
              <w:left w:w="120" w:type="dxa"/>
              <w:bottom w:w="80" w:type="dxa"/>
              <w:right w:w="120" w:type="dxa"/>
            </w:tcMar>
            <w:vAlign w:val="center"/>
          </w:tcPr>
          <w:p w14:paraId="6524EB61" w14:textId="77777777" w:rsidR="00166882" w:rsidRDefault="00000000">
            <w:pPr>
              <w:spacing w:after="0" w:line="240" w:lineRule="auto"/>
            </w:pPr>
            <w:r>
              <w:rPr>
                <w:sz w:val="19"/>
              </w:rPr>
              <w:t>Prevent forged discovery information</w:t>
            </w:r>
          </w:p>
        </w:tc>
        <w:tc>
          <w:tcPr>
            <w:tcW w:w="860" w:type="dxa"/>
            <w:shd w:val="clear" w:color="auto" w:fill="FFFFFF"/>
            <w:tcMar>
              <w:top w:w="80" w:type="dxa"/>
              <w:left w:w="120" w:type="dxa"/>
              <w:bottom w:w="80" w:type="dxa"/>
              <w:right w:w="120" w:type="dxa"/>
            </w:tcMar>
            <w:vAlign w:val="center"/>
          </w:tcPr>
          <w:p w14:paraId="5466D15D" w14:textId="77777777" w:rsidR="00166882" w:rsidRDefault="00000000">
            <w:pPr>
              <w:spacing w:after="0" w:line="240" w:lineRule="auto"/>
            </w:pPr>
            <w:r>
              <w:rPr>
                <w:sz w:val="19"/>
              </w:rPr>
              <w:t>[3], [4]</w:t>
            </w:r>
          </w:p>
        </w:tc>
      </w:tr>
      <w:tr w:rsidR="00166882" w14:paraId="40795BB5" w14:textId="77777777">
        <w:tc>
          <w:tcPr>
            <w:tcW w:w="2700" w:type="dxa"/>
            <w:shd w:val="clear" w:color="auto" w:fill="FFFFFF"/>
            <w:tcMar>
              <w:top w:w="80" w:type="dxa"/>
              <w:left w:w="120" w:type="dxa"/>
              <w:bottom w:w="80" w:type="dxa"/>
              <w:right w:w="120" w:type="dxa"/>
            </w:tcMar>
            <w:vAlign w:val="center"/>
          </w:tcPr>
          <w:p w14:paraId="08D41447" w14:textId="77777777" w:rsidR="00166882" w:rsidRDefault="00000000">
            <w:pPr>
              <w:spacing w:after="0" w:line="240" w:lineRule="auto"/>
            </w:pPr>
            <w:r>
              <w:rPr>
                <w:sz w:val="19"/>
              </w:rPr>
              <w:t>Short-lived, narrowly scoped tokens</w:t>
            </w:r>
          </w:p>
        </w:tc>
        <w:tc>
          <w:tcPr>
            <w:tcW w:w="1700" w:type="dxa"/>
            <w:shd w:val="clear" w:color="auto" w:fill="FFFFFF"/>
            <w:tcMar>
              <w:top w:w="80" w:type="dxa"/>
              <w:left w:w="120" w:type="dxa"/>
              <w:bottom w:w="80" w:type="dxa"/>
              <w:right w:w="120" w:type="dxa"/>
            </w:tcMar>
            <w:vAlign w:val="center"/>
          </w:tcPr>
          <w:p w14:paraId="4B1A8F5B" w14:textId="77777777" w:rsidR="00166882" w:rsidRDefault="00000000">
            <w:pPr>
              <w:spacing w:after="0" w:line="240" w:lineRule="auto"/>
            </w:pPr>
            <w:r>
              <w:rPr>
                <w:sz w:val="19"/>
              </w:rPr>
              <w:t>Implemented</w:t>
            </w:r>
          </w:p>
        </w:tc>
        <w:tc>
          <w:tcPr>
            <w:tcW w:w="4100" w:type="dxa"/>
            <w:shd w:val="clear" w:color="auto" w:fill="FFFFFF"/>
            <w:tcMar>
              <w:top w:w="80" w:type="dxa"/>
              <w:left w:w="120" w:type="dxa"/>
              <w:bottom w:w="80" w:type="dxa"/>
              <w:right w:w="120" w:type="dxa"/>
            </w:tcMar>
            <w:vAlign w:val="center"/>
          </w:tcPr>
          <w:p w14:paraId="54FA6C4D" w14:textId="77777777" w:rsidR="00166882" w:rsidRDefault="00000000">
            <w:pPr>
              <w:spacing w:after="0" w:line="240" w:lineRule="auto"/>
            </w:pPr>
            <w:r>
              <w:rPr>
                <w:sz w:val="19"/>
              </w:rPr>
              <w:t>Limit time, recipient, and permitted action</w:t>
            </w:r>
          </w:p>
        </w:tc>
        <w:tc>
          <w:tcPr>
            <w:tcW w:w="860" w:type="dxa"/>
            <w:shd w:val="clear" w:color="auto" w:fill="FFFFFF"/>
            <w:tcMar>
              <w:top w:w="80" w:type="dxa"/>
              <w:left w:w="120" w:type="dxa"/>
              <w:bottom w:w="80" w:type="dxa"/>
              <w:right w:w="120" w:type="dxa"/>
            </w:tcMar>
            <w:vAlign w:val="center"/>
          </w:tcPr>
          <w:p w14:paraId="2619A270" w14:textId="77777777" w:rsidR="00166882" w:rsidRDefault="00000000">
            <w:pPr>
              <w:spacing w:after="0" w:line="240" w:lineRule="auto"/>
            </w:pPr>
            <w:r>
              <w:rPr>
                <w:sz w:val="19"/>
              </w:rPr>
              <w:t>[1]</w:t>
            </w:r>
          </w:p>
        </w:tc>
      </w:tr>
      <w:tr w:rsidR="00166882" w14:paraId="5112E8F7" w14:textId="77777777">
        <w:tc>
          <w:tcPr>
            <w:tcW w:w="2700" w:type="dxa"/>
            <w:shd w:val="clear" w:color="auto" w:fill="FFFFFF"/>
            <w:tcMar>
              <w:top w:w="80" w:type="dxa"/>
              <w:left w:w="120" w:type="dxa"/>
              <w:bottom w:w="80" w:type="dxa"/>
              <w:right w:w="120" w:type="dxa"/>
            </w:tcMar>
            <w:vAlign w:val="center"/>
          </w:tcPr>
          <w:p w14:paraId="0AC0115D" w14:textId="77777777" w:rsidR="00166882" w:rsidRDefault="00000000">
            <w:pPr>
              <w:spacing w:after="0" w:line="240" w:lineRule="auto"/>
            </w:pPr>
            <w:r>
              <w:rPr>
                <w:sz w:val="19"/>
              </w:rPr>
              <w:t>Explicit consent and direct data paths</w:t>
            </w:r>
          </w:p>
        </w:tc>
        <w:tc>
          <w:tcPr>
            <w:tcW w:w="1700" w:type="dxa"/>
            <w:shd w:val="clear" w:color="auto" w:fill="FFFFFF"/>
            <w:tcMar>
              <w:top w:w="80" w:type="dxa"/>
              <w:left w:w="120" w:type="dxa"/>
              <w:bottom w:w="80" w:type="dxa"/>
              <w:right w:w="120" w:type="dxa"/>
            </w:tcMar>
            <w:vAlign w:val="center"/>
          </w:tcPr>
          <w:p w14:paraId="0566D1C3" w14:textId="77777777" w:rsidR="00166882" w:rsidRDefault="00000000">
            <w:pPr>
              <w:spacing w:after="0" w:line="240" w:lineRule="auto"/>
            </w:pPr>
            <w:r>
              <w:rPr>
                <w:sz w:val="19"/>
              </w:rPr>
              <w:t>Implemented</w:t>
            </w:r>
          </w:p>
        </w:tc>
        <w:tc>
          <w:tcPr>
            <w:tcW w:w="4100" w:type="dxa"/>
            <w:shd w:val="clear" w:color="auto" w:fill="FFFFFF"/>
            <w:tcMar>
              <w:top w:w="80" w:type="dxa"/>
              <w:left w:w="120" w:type="dxa"/>
              <w:bottom w:w="80" w:type="dxa"/>
              <w:right w:w="120" w:type="dxa"/>
            </w:tcMar>
            <w:vAlign w:val="center"/>
          </w:tcPr>
          <w:p w14:paraId="5489E96D" w14:textId="77777777" w:rsidR="00166882" w:rsidRDefault="00000000">
            <w:pPr>
              <w:spacing w:after="0" w:line="240" w:lineRule="auto"/>
            </w:pPr>
            <w:r>
              <w:rPr>
                <w:sz w:val="19"/>
              </w:rPr>
              <w:t>Keep sensitive data away from unnecessary agents</w:t>
            </w:r>
          </w:p>
        </w:tc>
        <w:tc>
          <w:tcPr>
            <w:tcW w:w="860" w:type="dxa"/>
            <w:shd w:val="clear" w:color="auto" w:fill="FFFFFF"/>
            <w:tcMar>
              <w:top w:w="80" w:type="dxa"/>
              <w:left w:w="120" w:type="dxa"/>
              <w:bottom w:w="80" w:type="dxa"/>
              <w:right w:w="120" w:type="dxa"/>
            </w:tcMar>
            <w:vAlign w:val="center"/>
          </w:tcPr>
          <w:p w14:paraId="49CCCE4B" w14:textId="77777777" w:rsidR="00166882" w:rsidRDefault="00000000">
            <w:pPr>
              <w:spacing w:after="0" w:line="240" w:lineRule="auto"/>
            </w:pPr>
            <w:r>
              <w:rPr>
                <w:sz w:val="19"/>
              </w:rPr>
              <w:t>[1]</w:t>
            </w:r>
          </w:p>
        </w:tc>
      </w:tr>
      <w:tr w:rsidR="00166882" w14:paraId="7EF93A84" w14:textId="77777777">
        <w:tc>
          <w:tcPr>
            <w:tcW w:w="2700" w:type="dxa"/>
            <w:shd w:val="clear" w:color="auto" w:fill="FFFFFF"/>
            <w:tcMar>
              <w:top w:w="80" w:type="dxa"/>
              <w:left w:w="120" w:type="dxa"/>
              <w:bottom w:w="80" w:type="dxa"/>
              <w:right w:w="120" w:type="dxa"/>
            </w:tcMar>
            <w:vAlign w:val="center"/>
          </w:tcPr>
          <w:p w14:paraId="5D801DC7" w14:textId="77777777" w:rsidR="00166882" w:rsidRDefault="00000000">
            <w:pPr>
              <w:spacing w:after="0" w:line="240" w:lineRule="auto"/>
            </w:pPr>
            <w:r>
              <w:rPr>
                <w:sz w:val="19"/>
              </w:rPr>
              <w:t>Message and session binding</w:t>
            </w:r>
          </w:p>
        </w:tc>
        <w:tc>
          <w:tcPr>
            <w:tcW w:w="1700" w:type="dxa"/>
            <w:shd w:val="clear" w:color="auto" w:fill="FFFFFF"/>
            <w:tcMar>
              <w:top w:w="80" w:type="dxa"/>
              <w:left w:w="120" w:type="dxa"/>
              <w:bottom w:w="80" w:type="dxa"/>
              <w:right w:w="120" w:type="dxa"/>
            </w:tcMar>
            <w:vAlign w:val="center"/>
          </w:tcPr>
          <w:p w14:paraId="1703312A" w14:textId="77777777" w:rsidR="00166882" w:rsidRDefault="00000000">
            <w:pPr>
              <w:spacing w:after="0" w:line="240" w:lineRule="auto"/>
            </w:pPr>
            <w:r>
              <w:rPr>
                <w:sz w:val="19"/>
              </w:rPr>
              <w:t>Proposed</w:t>
            </w:r>
          </w:p>
        </w:tc>
        <w:tc>
          <w:tcPr>
            <w:tcW w:w="4100" w:type="dxa"/>
            <w:shd w:val="clear" w:color="auto" w:fill="FFFFFF"/>
            <w:tcMar>
              <w:top w:w="80" w:type="dxa"/>
              <w:left w:w="120" w:type="dxa"/>
              <w:bottom w:w="80" w:type="dxa"/>
              <w:right w:w="120" w:type="dxa"/>
            </w:tcMar>
            <w:vAlign w:val="center"/>
          </w:tcPr>
          <w:p w14:paraId="7081D1E0" w14:textId="77777777" w:rsidR="00166882" w:rsidRDefault="00000000">
            <w:pPr>
              <w:spacing w:after="0" w:line="240" w:lineRule="auto"/>
            </w:pPr>
            <w:r>
              <w:rPr>
                <w:sz w:val="19"/>
              </w:rPr>
              <w:t>Tie each message to an authenticated exchange</w:t>
            </w:r>
          </w:p>
        </w:tc>
        <w:tc>
          <w:tcPr>
            <w:tcW w:w="860" w:type="dxa"/>
            <w:shd w:val="clear" w:color="auto" w:fill="FFFFFF"/>
            <w:tcMar>
              <w:top w:w="80" w:type="dxa"/>
              <w:left w:w="120" w:type="dxa"/>
              <w:bottom w:w="80" w:type="dxa"/>
              <w:right w:w="120" w:type="dxa"/>
            </w:tcMar>
            <w:vAlign w:val="center"/>
          </w:tcPr>
          <w:p w14:paraId="3F5D725D" w14:textId="77777777" w:rsidR="00166882" w:rsidRDefault="00000000">
            <w:pPr>
              <w:spacing w:after="0" w:line="240" w:lineRule="auto"/>
            </w:pPr>
            <w:r>
              <w:rPr>
                <w:sz w:val="19"/>
              </w:rPr>
              <w:t>[2]</w:t>
            </w:r>
          </w:p>
        </w:tc>
      </w:tr>
      <w:tr w:rsidR="00166882" w14:paraId="2E12EBEE" w14:textId="77777777">
        <w:tc>
          <w:tcPr>
            <w:tcW w:w="2700" w:type="dxa"/>
            <w:shd w:val="clear" w:color="auto" w:fill="FFFFFF"/>
            <w:tcMar>
              <w:top w:w="80" w:type="dxa"/>
              <w:left w:w="120" w:type="dxa"/>
              <w:bottom w:w="80" w:type="dxa"/>
              <w:right w:w="120" w:type="dxa"/>
            </w:tcMar>
            <w:vAlign w:val="center"/>
          </w:tcPr>
          <w:p w14:paraId="3A46C6E6" w14:textId="77777777" w:rsidR="00166882" w:rsidRDefault="00000000">
            <w:pPr>
              <w:spacing w:after="0" w:line="240" w:lineRule="auto"/>
            </w:pPr>
            <w:r>
              <w:rPr>
                <w:sz w:val="19"/>
              </w:rPr>
              <w:t>Strict schema and task validation</w:t>
            </w:r>
          </w:p>
        </w:tc>
        <w:tc>
          <w:tcPr>
            <w:tcW w:w="1700" w:type="dxa"/>
            <w:shd w:val="clear" w:color="auto" w:fill="FFFFFF"/>
            <w:tcMar>
              <w:top w:w="80" w:type="dxa"/>
              <w:left w:w="120" w:type="dxa"/>
              <w:bottom w:w="80" w:type="dxa"/>
              <w:right w:w="120" w:type="dxa"/>
            </w:tcMar>
            <w:vAlign w:val="center"/>
          </w:tcPr>
          <w:p w14:paraId="48494397" w14:textId="77777777" w:rsidR="00166882" w:rsidRDefault="00000000">
            <w:pPr>
              <w:spacing w:after="0" w:line="240" w:lineRule="auto"/>
            </w:pPr>
            <w:r>
              <w:rPr>
                <w:sz w:val="19"/>
              </w:rPr>
              <w:t>Recommended</w:t>
            </w:r>
          </w:p>
        </w:tc>
        <w:tc>
          <w:tcPr>
            <w:tcW w:w="4100" w:type="dxa"/>
            <w:shd w:val="clear" w:color="auto" w:fill="FFFFFF"/>
            <w:tcMar>
              <w:top w:w="80" w:type="dxa"/>
              <w:left w:w="120" w:type="dxa"/>
              <w:bottom w:w="80" w:type="dxa"/>
              <w:right w:w="120" w:type="dxa"/>
            </w:tcMar>
            <w:vAlign w:val="center"/>
          </w:tcPr>
          <w:p w14:paraId="3DB2D01F" w14:textId="77777777" w:rsidR="00166882" w:rsidRDefault="00000000">
            <w:pPr>
              <w:spacing w:after="0" w:line="240" w:lineRule="auto"/>
            </w:pPr>
            <w:r>
              <w:rPr>
                <w:sz w:val="19"/>
              </w:rPr>
              <w:t>Reject malformed or inconsistent protocol objects</w:t>
            </w:r>
          </w:p>
        </w:tc>
        <w:tc>
          <w:tcPr>
            <w:tcW w:w="860" w:type="dxa"/>
            <w:shd w:val="clear" w:color="auto" w:fill="FFFFFF"/>
            <w:tcMar>
              <w:top w:w="80" w:type="dxa"/>
              <w:left w:w="120" w:type="dxa"/>
              <w:bottom w:w="80" w:type="dxa"/>
              <w:right w:w="120" w:type="dxa"/>
            </w:tcMar>
            <w:vAlign w:val="center"/>
          </w:tcPr>
          <w:p w14:paraId="0FE70E0E" w14:textId="77777777" w:rsidR="00166882" w:rsidRDefault="00000000">
            <w:pPr>
              <w:spacing w:after="0" w:line="240" w:lineRule="auto"/>
            </w:pPr>
            <w:r>
              <w:rPr>
                <w:sz w:val="19"/>
              </w:rPr>
              <w:t>[4], [6]</w:t>
            </w:r>
          </w:p>
        </w:tc>
      </w:tr>
      <w:tr w:rsidR="00166882" w14:paraId="4B081F9F" w14:textId="77777777">
        <w:tc>
          <w:tcPr>
            <w:tcW w:w="2700" w:type="dxa"/>
            <w:shd w:val="clear" w:color="auto" w:fill="FFFFFF"/>
            <w:tcMar>
              <w:top w:w="80" w:type="dxa"/>
              <w:left w:w="120" w:type="dxa"/>
              <w:bottom w:w="80" w:type="dxa"/>
              <w:right w:w="120" w:type="dxa"/>
            </w:tcMar>
            <w:vAlign w:val="center"/>
          </w:tcPr>
          <w:p w14:paraId="26F1CFD2" w14:textId="77777777" w:rsidR="00166882" w:rsidRDefault="00000000">
            <w:pPr>
              <w:spacing w:after="0" w:line="240" w:lineRule="auto"/>
            </w:pPr>
            <w:r>
              <w:rPr>
                <w:sz w:val="19"/>
              </w:rPr>
              <w:t>Nonces, timestamps, and idempotency</w:t>
            </w:r>
          </w:p>
        </w:tc>
        <w:tc>
          <w:tcPr>
            <w:tcW w:w="1700" w:type="dxa"/>
            <w:shd w:val="clear" w:color="auto" w:fill="FFFFFF"/>
            <w:tcMar>
              <w:top w:w="80" w:type="dxa"/>
              <w:left w:w="120" w:type="dxa"/>
              <w:bottom w:w="80" w:type="dxa"/>
              <w:right w:w="120" w:type="dxa"/>
            </w:tcMar>
            <w:vAlign w:val="center"/>
          </w:tcPr>
          <w:p w14:paraId="25BE7445" w14:textId="77777777" w:rsidR="00166882" w:rsidRDefault="00000000">
            <w:pPr>
              <w:spacing w:after="0" w:line="240" w:lineRule="auto"/>
            </w:pPr>
            <w:r>
              <w:rPr>
                <w:sz w:val="19"/>
              </w:rPr>
              <w:t>Recommended</w:t>
            </w:r>
          </w:p>
        </w:tc>
        <w:tc>
          <w:tcPr>
            <w:tcW w:w="4100" w:type="dxa"/>
            <w:shd w:val="clear" w:color="auto" w:fill="FFFFFF"/>
            <w:tcMar>
              <w:top w:w="80" w:type="dxa"/>
              <w:left w:w="120" w:type="dxa"/>
              <w:bottom w:w="80" w:type="dxa"/>
              <w:right w:w="120" w:type="dxa"/>
            </w:tcMar>
            <w:vAlign w:val="center"/>
          </w:tcPr>
          <w:p w14:paraId="167F51C3" w14:textId="77777777" w:rsidR="00166882" w:rsidRDefault="00000000">
            <w:pPr>
              <w:spacing w:after="0" w:line="240" w:lineRule="auto"/>
            </w:pPr>
            <w:r>
              <w:rPr>
                <w:sz w:val="19"/>
              </w:rPr>
              <w:t>Detect replayed or duplicate work</w:t>
            </w:r>
          </w:p>
        </w:tc>
        <w:tc>
          <w:tcPr>
            <w:tcW w:w="860" w:type="dxa"/>
            <w:shd w:val="clear" w:color="auto" w:fill="FFFFFF"/>
            <w:tcMar>
              <w:top w:w="80" w:type="dxa"/>
              <w:left w:w="120" w:type="dxa"/>
              <w:bottom w:w="80" w:type="dxa"/>
              <w:right w:w="120" w:type="dxa"/>
            </w:tcMar>
            <w:vAlign w:val="center"/>
          </w:tcPr>
          <w:p w14:paraId="2D705F63" w14:textId="77777777" w:rsidR="00166882" w:rsidRDefault="00000000">
            <w:pPr>
              <w:spacing w:after="0" w:line="240" w:lineRule="auto"/>
            </w:pPr>
            <w:r>
              <w:rPr>
                <w:sz w:val="19"/>
              </w:rPr>
              <w:t>[4]</w:t>
            </w:r>
          </w:p>
        </w:tc>
      </w:tr>
      <w:tr w:rsidR="00166882" w14:paraId="49035DBE" w14:textId="77777777">
        <w:tc>
          <w:tcPr>
            <w:tcW w:w="2700" w:type="dxa"/>
            <w:shd w:val="clear" w:color="auto" w:fill="FFFFFF"/>
            <w:tcMar>
              <w:top w:w="80" w:type="dxa"/>
              <w:left w:w="120" w:type="dxa"/>
              <w:bottom w:w="80" w:type="dxa"/>
              <w:right w:w="120" w:type="dxa"/>
            </w:tcMar>
            <w:vAlign w:val="center"/>
          </w:tcPr>
          <w:p w14:paraId="11B1FB9E" w14:textId="77777777" w:rsidR="00166882" w:rsidRDefault="00000000">
            <w:pPr>
              <w:spacing w:after="0" w:line="240" w:lineRule="auto"/>
            </w:pPr>
            <w:r>
              <w:rPr>
                <w:sz w:val="19"/>
              </w:rPr>
              <w:t>Artifact signing, hashing, and provenance</w:t>
            </w:r>
          </w:p>
        </w:tc>
        <w:tc>
          <w:tcPr>
            <w:tcW w:w="1700" w:type="dxa"/>
            <w:shd w:val="clear" w:color="auto" w:fill="FFFFFF"/>
            <w:tcMar>
              <w:top w:w="80" w:type="dxa"/>
              <w:left w:w="120" w:type="dxa"/>
              <w:bottom w:w="80" w:type="dxa"/>
              <w:right w:w="120" w:type="dxa"/>
            </w:tcMar>
            <w:vAlign w:val="center"/>
          </w:tcPr>
          <w:p w14:paraId="740EA29A" w14:textId="22387BF8" w:rsidR="00166882" w:rsidRDefault="00BD5E2E">
            <w:pPr>
              <w:spacing w:after="0" w:line="240" w:lineRule="auto"/>
            </w:pPr>
            <w:r>
              <w:rPr>
                <w:sz w:val="19"/>
              </w:rPr>
              <w:t>R</w:t>
            </w:r>
            <w:r w:rsidR="00000000">
              <w:rPr>
                <w:sz w:val="19"/>
              </w:rPr>
              <w:t>ecommended</w:t>
            </w:r>
          </w:p>
        </w:tc>
        <w:tc>
          <w:tcPr>
            <w:tcW w:w="4100" w:type="dxa"/>
            <w:shd w:val="clear" w:color="auto" w:fill="FFFFFF"/>
            <w:tcMar>
              <w:top w:w="80" w:type="dxa"/>
              <w:left w:w="120" w:type="dxa"/>
              <w:bottom w:w="80" w:type="dxa"/>
              <w:right w:w="120" w:type="dxa"/>
            </w:tcMar>
            <w:vAlign w:val="center"/>
          </w:tcPr>
          <w:p w14:paraId="7080F5B6" w14:textId="77777777" w:rsidR="00166882" w:rsidRDefault="00000000">
            <w:pPr>
              <w:spacing w:after="0" w:line="240" w:lineRule="auto"/>
            </w:pPr>
            <w:r>
              <w:rPr>
                <w:sz w:val="19"/>
              </w:rPr>
              <w:t>Prove where results came from and detect changes</w:t>
            </w:r>
          </w:p>
        </w:tc>
        <w:tc>
          <w:tcPr>
            <w:tcW w:w="860" w:type="dxa"/>
            <w:shd w:val="clear" w:color="auto" w:fill="FFFFFF"/>
            <w:tcMar>
              <w:top w:w="80" w:type="dxa"/>
              <w:left w:w="120" w:type="dxa"/>
              <w:bottom w:w="80" w:type="dxa"/>
              <w:right w:w="120" w:type="dxa"/>
            </w:tcMar>
            <w:vAlign w:val="center"/>
          </w:tcPr>
          <w:p w14:paraId="1E5F4C6B" w14:textId="77777777" w:rsidR="00166882" w:rsidRDefault="00000000">
            <w:pPr>
              <w:spacing w:after="0" w:line="240" w:lineRule="auto"/>
            </w:pPr>
            <w:r>
              <w:rPr>
                <w:sz w:val="19"/>
              </w:rPr>
              <w:t>[4], [5]</w:t>
            </w:r>
          </w:p>
        </w:tc>
      </w:tr>
      <w:tr w:rsidR="00166882" w14:paraId="6C96ECA9" w14:textId="77777777">
        <w:tc>
          <w:tcPr>
            <w:tcW w:w="2700" w:type="dxa"/>
            <w:shd w:val="clear" w:color="auto" w:fill="FFFFFF"/>
            <w:tcMar>
              <w:top w:w="80" w:type="dxa"/>
              <w:left w:w="120" w:type="dxa"/>
              <w:bottom w:w="80" w:type="dxa"/>
              <w:right w:w="120" w:type="dxa"/>
            </w:tcMar>
            <w:vAlign w:val="center"/>
          </w:tcPr>
          <w:p w14:paraId="213016B2" w14:textId="77777777" w:rsidR="00166882" w:rsidRDefault="00000000">
            <w:pPr>
              <w:spacing w:after="0" w:line="240" w:lineRule="auto"/>
            </w:pPr>
            <w:r>
              <w:rPr>
                <w:sz w:val="19"/>
              </w:rPr>
              <w:t>Least privilege and per-task authorization</w:t>
            </w:r>
          </w:p>
        </w:tc>
        <w:tc>
          <w:tcPr>
            <w:tcW w:w="1700" w:type="dxa"/>
            <w:shd w:val="clear" w:color="auto" w:fill="FFFFFF"/>
            <w:tcMar>
              <w:top w:w="80" w:type="dxa"/>
              <w:left w:w="120" w:type="dxa"/>
              <w:bottom w:w="80" w:type="dxa"/>
              <w:right w:w="120" w:type="dxa"/>
            </w:tcMar>
            <w:vAlign w:val="center"/>
          </w:tcPr>
          <w:p w14:paraId="4CE367E1" w14:textId="5D050467" w:rsidR="00166882" w:rsidRDefault="00BD5E2E">
            <w:pPr>
              <w:spacing w:after="0" w:line="240" w:lineRule="auto"/>
            </w:pPr>
            <w:r>
              <w:rPr>
                <w:sz w:val="19"/>
              </w:rPr>
              <w:t>R</w:t>
            </w:r>
            <w:r w:rsidR="00000000">
              <w:rPr>
                <w:sz w:val="19"/>
              </w:rPr>
              <w:t>ecommended</w:t>
            </w:r>
          </w:p>
        </w:tc>
        <w:tc>
          <w:tcPr>
            <w:tcW w:w="4100" w:type="dxa"/>
            <w:shd w:val="clear" w:color="auto" w:fill="FFFFFF"/>
            <w:tcMar>
              <w:top w:w="80" w:type="dxa"/>
              <w:left w:w="120" w:type="dxa"/>
              <w:bottom w:w="80" w:type="dxa"/>
              <w:right w:w="120" w:type="dxa"/>
            </w:tcMar>
            <w:vAlign w:val="center"/>
          </w:tcPr>
          <w:p w14:paraId="4B150BF0" w14:textId="77777777" w:rsidR="00166882" w:rsidRDefault="00000000">
            <w:pPr>
              <w:spacing w:after="0" w:line="240" w:lineRule="auto"/>
            </w:pPr>
            <w:r>
              <w:rPr>
                <w:sz w:val="19"/>
              </w:rPr>
              <w:t>Restrict what each agent can access or execute</w:t>
            </w:r>
          </w:p>
        </w:tc>
        <w:tc>
          <w:tcPr>
            <w:tcW w:w="860" w:type="dxa"/>
            <w:shd w:val="clear" w:color="auto" w:fill="FFFFFF"/>
            <w:tcMar>
              <w:top w:w="80" w:type="dxa"/>
              <w:left w:w="120" w:type="dxa"/>
              <w:bottom w:w="80" w:type="dxa"/>
              <w:right w:w="120" w:type="dxa"/>
            </w:tcMar>
            <w:vAlign w:val="center"/>
          </w:tcPr>
          <w:p w14:paraId="0177D0EE" w14:textId="77777777" w:rsidR="00166882" w:rsidRDefault="00000000">
            <w:pPr>
              <w:spacing w:after="0" w:line="240" w:lineRule="auto"/>
            </w:pPr>
            <w:r>
              <w:rPr>
                <w:sz w:val="19"/>
              </w:rPr>
              <w:t>[1], [4], [5]</w:t>
            </w:r>
          </w:p>
        </w:tc>
      </w:tr>
      <w:tr w:rsidR="00166882" w14:paraId="03A3041B" w14:textId="77777777">
        <w:tc>
          <w:tcPr>
            <w:tcW w:w="2700" w:type="dxa"/>
            <w:shd w:val="clear" w:color="auto" w:fill="FFFFFF"/>
            <w:tcMar>
              <w:top w:w="80" w:type="dxa"/>
              <w:left w:w="120" w:type="dxa"/>
              <w:bottom w:w="80" w:type="dxa"/>
              <w:right w:w="120" w:type="dxa"/>
            </w:tcMar>
            <w:vAlign w:val="center"/>
          </w:tcPr>
          <w:p w14:paraId="7502040E" w14:textId="77777777" w:rsidR="00166882" w:rsidRDefault="00000000">
            <w:pPr>
              <w:spacing w:after="0" w:line="240" w:lineRule="auto"/>
            </w:pPr>
            <w:r>
              <w:rPr>
                <w:sz w:val="19"/>
              </w:rPr>
              <w:t>Integrity-protected logs and monitoring</w:t>
            </w:r>
          </w:p>
        </w:tc>
        <w:tc>
          <w:tcPr>
            <w:tcW w:w="1700" w:type="dxa"/>
            <w:shd w:val="clear" w:color="auto" w:fill="FFFFFF"/>
            <w:tcMar>
              <w:top w:w="80" w:type="dxa"/>
              <w:left w:w="120" w:type="dxa"/>
              <w:bottom w:w="80" w:type="dxa"/>
              <w:right w:w="120" w:type="dxa"/>
            </w:tcMar>
            <w:vAlign w:val="center"/>
          </w:tcPr>
          <w:p w14:paraId="696291C8" w14:textId="0F9DA9C3" w:rsidR="00166882" w:rsidRDefault="00BD5E2E">
            <w:pPr>
              <w:spacing w:after="0" w:line="240" w:lineRule="auto"/>
            </w:pPr>
            <w:r>
              <w:rPr>
                <w:sz w:val="19"/>
              </w:rPr>
              <w:t>R</w:t>
            </w:r>
            <w:r w:rsidR="00000000">
              <w:rPr>
                <w:sz w:val="19"/>
              </w:rPr>
              <w:t>ecommended</w:t>
            </w:r>
          </w:p>
        </w:tc>
        <w:tc>
          <w:tcPr>
            <w:tcW w:w="4100" w:type="dxa"/>
            <w:shd w:val="clear" w:color="auto" w:fill="FFFFFF"/>
            <w:tcMar>
              <w:top w:w="80" w:type="dxa"/>
              <w:left w:w="120" w:type="dxa"/>
              <w:bottom w:w="80" w:type="dxa"/>
              <w:right w:w="120" w:type="dxa"/>
            </w:tcMar>
            <w:vAlign w:val="center"/>
          </w:tcPr>
          <w:p w14:paraId="057F99E0" w14:textId="77777777" w:rsidR="00166882" w:rsidRDefault="00000000">
            <w:pPr>
              <w:spacing w:after="0" w:line="240" w:lineRule="auto"/>
            </w:pPr>
            <w:r>
              <w:rPr>
                <w:sz w:val="19"/>
              </w:rPr>
              <w:t>Make state changes visible and auditable</w:t>
            </w:r>
          </w:p>
        </w:tc>
        <w:tc>
          <w:tcPr>
            <w:tcW w:w="860" w:type="dxa"/>
            <w:shd w:val="clear" w:color="auto" w:fill="FFFFFF"/>
            <w:tcMar>
              <w:top w:w="80" w:type="dxa"/>
              <w:left w:w="120" w:type="dxa"/>
              <w:bottom w:w="80" w:type="dxa"/>
              <w:right w:w="120" w:type="dxa"/>
            </w:tcMar>
            <w:vAlign w:val="center"/>
          </w:tcPr>
          <w:p w14:paraId="0B3ECF4A" w14:textId="77777777" w:rsidR="00166882" w:rsidRDefault="00000000">
            <w:pPr>
              <w:spacing w:after="0" w:line="240" w:lineRule="auto"/>
            </w:pPr>
            <w:r>
              <w:rPr>
                <w:sz w:val="19"/>
              </w:rPr>
              <w:t>[4], [5], [6]</w:t>
            </w:r>
          </w:p>
        </w:tc>
      </w:tr>
      <w:tr w:rsidR="00166882" w14:paraId="71CB98C1" w14:textId="77777777">
        <w:tc>
          <w:tcPr>
            <w:tcW w:w="2700" w:type="dxa"/>
            <w:shd w:val="clear" w:color="auto" w:fill="FFFFFF"/>
            <w:tcMar>
              <w:top w:w="80" w:type="dxa"/>
              <w:left w:w="120" w:type="dxa"/>
              <w:bottom w:w="80" w:type="dxa"/>
              <w:right w:w="120" w:type="dxa"/>
            </w:tcMar>
            <w:vAlign w:val="center"/>
          </w:tcPr>
          <w:p w14:paraId="1FE13875" w14:textId="77777777" w:rsidR="00166882" w:rsidRDefault="00000000">
            <w:pPr>
              <w:spacing w:after="0" w:line="240" w:lineRule="auto"/>
            </w:pPr>
            <w:r>
              <w:rPr>
                <w:sz w:val="19"/>
              </w:rPr>
              <w:t>Delegation limits, quotas, and expiration</w:t>
            </w:r>
          </w:p>
        </w:tc>
        <w:tc>
          <w:tcPr>
            <w:tcW w:w="1700" w:type="dxa"/>
            <w:shd w:val="clear" w:color="auto" w:fill="FFFFFF"/>
            <w:tcMar>
              <w:top w:w="80" w:type="dxa"/>
              <w:left w:w="120" w:type="dxa"/>
              <w:bottom w:w="80" w:type="dxa"/>
              <w:right w:w="120" w:type="dxa"/>
            </w:tcMar>
            <w:vAlign w:val="center"/>
          </w:tcPr>
          <w:p w14:paraId="1E3FA045" w14:textId="77777777" w:rsidR="00166882" w:rsidRDefault="00000000">
            <w:pPr>
              <w:spacing w:after="0" w:line="240" w:lineRule="auto"/>
            </w:pPr>
            <w:r>
              <w:rPr>
                <w:sz w:val="19"/>
              </w:rPr>
              <w:t>Testing/recommended</w:t>
            </w:r>
          </w:p>
        </w:tc>
        <w:tc>
          <w:tcPr>
            <w:tcW w:w="4100" w:type="dxa"/>
            <w:shd w:val="clear" w:color="auto" w:fill="FFFFFF"/>
            <w:tcMar>
              <w:top w:w="80" w:type="dxa"/>
              <w:left w:w="120" w:type="dxa"/>
              <w:bottom w:w="80" w:type="dxa"/>
              <w:right w:w="120" w:type="dxa"/>
            </w:tcMar>
            <w:vAlign w:val="center"/>
          </w:tcPr>
          <w:p w14:paraId="09F440A6" w14:textId="77777777" w:rsidR="00166882" w:rsidRDefault="00000000">
            <w:pPr>
              <w:spacing w:after="0" w:line="240" w:lineRule="auto"/>
            </w:pPr>
            <w:r>
              <w:rPr>
                <w:sz w:val="19"/>
              </w:rPr>
              <w:t>Limit cycles and unfinished-task pressure</w:t>
            </w:r>
          </w:p>
        </w:tc>
        <w:tc>
          <w:tcPr>
            <w:tcW w:w="860" w:type="dxa"/>
            <w:shd w:val="clear" w:color="auto" w:fill="FFFFFF"/>
            <w:tcMar>
              <w:top w:w="80" w:type="dxa"/>
              <w:left w:w="120" w:type="dxa"/>
              <w:bottom w:w="80" w:type="dxa"/>
              <w:right w:w="120" w:type="dxa"/>
            </w:tcMar>
            <w:vAlign w:val="center"/>
          </w:tcPr>
          <w:p w14:paraId="7A60E203" w14:textId="77777777" w:rsidR="00166882" w:rsidRDefault="00000000">
            <w:pPr>
              <w:spacing w:after="0" w:line="240" w:lineRule="auto"/>
            </w:pPr>
            <w:r>
              <w:rPr>
                <w:sz w:val="19"/>
              </w:rPr>
              <w:t>[3]</w:t>
            </w:r>
          </w:p>
        </w:tc>
      </w:tr>
      <w:tr w:rsidR="00166882" w14:paraId="0EF52454" w14:textId="77777777">
        <w:tc>
          <w:tcPr>
            <w:tcW w:w="2700" w:type="dxa"/>
            <w:shd w:val="clear" w:color="auto" w:fill="FFFFFF"/>
            <w:tcMar>
              <w:top w:w="80" w:type="dxa"/>
              <w:left w:w="120" w:type="dxa"/>
              <w:bottom w:w="80" w:type="dxa"/>
              <w:right w:w="120" w:type="dxa"/>
            </w:tcMar>
            <w:vAlign w:val="center"/>
          </w:tcPr>
          <w:p w14:paraId="2AB01422" w14:textId="77777777" w:rsidR="00166882" w:rsidRDefault="00000000">
            <w:pPr>
              <w:spacing w:after="0" w:line="240" w:lineRule="auto"/>
            </w:pPr>
            <w:r>
              <w:rPr>
                <w:sz w:val="19"/>
              </w:rPr>
              <w:t>Safe URL and artifact handling</w:t>
            </w:r>
          </w:p>
        </w:tc>
        <w:tc>
          <w:tcPr>
            <w:tcW w:w="1700" w:type="dxa"/>
            <w:shd w:val="clear" w:color="auto" w:fill="FFFFFF"/>
            <w:tcMar>
              <w:top w:w="80" w:type="dxa"/>
              <w:left w:w="120" w:type="dxa"/>
              <w:bottom w:w="80" w:type="dxa"/>
              <w:right w:w="120" w:type="dxa"/>
            </w:tcMar>
            <w:vAlign w:val="center"/>
          </w:tcPr>
          <w:p w14:paraId="4001251B" w14:textId="77777777" w:rsidR="00166882" w:rsidRDefault="00000000">
            <w:pPr>
              <w:spacing w:after="0" w:line="240" w:lineRule="auto"/>
            </w:pPr>
            <w:r>
              <w:rPr>
                <w:sz w:val="19"/>
              </w:rPr>
              <w:t>Testing/recommended</w:t>
            </w:r>
          </w:p>
        </w:tc>
        <w:tc>
          <w:tcPr>
            <w:tcW w:w="4100" w:type="dxa"/>
            <w:shd w:val="clear" w:color="auto" w:fill="FFFFFF"/>
            <w:tcMar>
              <w:top w:w="80" w:type="dxa"/>
              <w:left w:w="120" w:type="dxa"/>
              <w:bottom w:w="80" w:type="dxa"/>
              <w:right w:w="120" w:type="dxa"/>
            </w:tcMar>
            <w:vAlign w:val="center"/>
          </w:tcPr>
          <w:p w14:paraId="06F964F6" w14:textId="77777777" w:rsidR="00166882" w:rsidRDefault="00000000">
            <w:pPr>
              <w:spacing w:after="0" w:line="240" w:lineRule="auto"/>
            </w:pPr>
            <w:r>
              <w:rPr>
                <w:sz w:val="19"/>
              </w:rPr>
              <w:t>Stop remote content from becoming an unsafe action</w:t>
            </w:r>
          </w:p>
        </w:tc>
        <w:tc>
          <w:tcPr>
            <w:tcW w:w="860" w:type="dxa"/>
            <w:shd w:val="clear" w:color="auto" w:fill="FFFFFF"/>
            <w:tcMar>
              <w:top w:w="80" w:type="dxa"/>
              <w:left w:w="120" w:type="dxa"/>
              <w:bottom w:w="80" w:type="dxa"/>
              <w:right w:w="120" w:type="dxa"/>
            </w:tcMar>
            <w:vAlign w:val="center"/>
          </w:tcPr>
          <w:p w14:paraId="28A2F747" w14:textId="77777777" w:rsidR="00166882" w:rsidRDefault="00000000">
            <w:pPr>
              <w:spacing w:after="0" w:line="240" w:lineRule="auto"/>
            </w:pPr>
            <w:r>
              <w:rPr>
                <w:sz w:val="19"/>
              </w:rPr>
              <w:t>[3], [6]</w:t>
            </w:r>
          </w:p>
        </w:tc>
      </w:tr>
    </w:tbl>
    <w:p w14:paraId="1F9A265B" w14:textId="77777777" w:rsidR="00166882" w:rsidRDefault="00166882">
      <w:pPr>
        <w:spacing w:after="40"/>
      </w:pPr>
    </w:p>
    <w:p w14:paraId="77BE450D" w14:textId="4328DB6D" w:rsidR="00166882" w:rsidRDefault="00000000">
      <w:pPr>
        <w:pStyle w:val="Heading1"/>
      </w:pPr>
      <w:r>
        <w:t>Measures already implemented or evaluated in A2A research</w:t>
      </w:r>
    </w:p>
    <w:p w14:paraId="596BF550" w14:textId="4FFEFD8F" w:rsidR="00166882" w:rsidRDefault="00000000">
      <w:pPr>
        <w:pStyle w:val="Heading2"/>
      </w:pPr>
      <w:r>
        <w:t>Zero-Trust Interceptor</w:t>
      </w:r>
    </w:p>
    <w:p w14:paraId="1DAEE5FE" w14:textId="77777777" w:rsidR="00166882" w:rsidRDefault="00000000">
      <w:r>
        <w:t>Louck, Stulman, and Dvir built a deterministic interceptor for sensitive A2A operations. The interceptor checks policy before an agent or language model is allowed to continue. Its main value is that a prohibited data path can be blocked by ordinary software instead of depending on an LLM to obey a security instruction. [1]</w:t>
      </w:r>
    </w:p>
    <w:p w14:paraId="59B9F246" w14:textId="77777777" w:rsidR="00166882" w:rsidRDefault="00000000">
      <w:pPr>
        <w:numPr>
          <w:ilvl w:val="0"/>
          <w:numId w:val="1"/>
        </w:numPr>
        <w:spacing w:after="80"/>
      </w:pPr>
      <w:r>
        <w:lastRenderedPageBreak/>
        <w:t>Ephemeral credentials reduce the amount of time a captured token remains useful.</w:t>
      </w:r>
    </w:p>
    <w:p w14:paraId="4D905FB0" w14:textId="77777777" w:rsidR="00166882" w:rsidRDefault="00000000">
      <w:pPr>
        <w:numPr>
          <w:ilvl w:val="0"/>
          <w:numId w:val="1"/>
        </w:numPr>
        <w:spacing w:after="80"/>
      </w:pPr>
      <w:r>
        <w:t>Granular scopes restrict the credential to the intended recipient and operation.</w:t>
      </w:r>
    </w:p>
    <w:p w14:paraId="36B3D13C" w14:textId="77777777" w:rsidR="00166882" w:rsidRDefault="00000000">
      <w:pPr>
        <w:numPr>
          <w:ilvl w:val="0"/>
          <w:numId w:val="1"/>
        </w:numPr>
        <w:spacing w:after="80"/>
      </w:pPr>
      <w:r>
        <w:t>Explicit consent makes the user approve the sensitive operation instead of silently extending approval from the original request.</w:t>
      </w:r>
    </w:p>
    <w:p w14:paraId="2B6EACA9" w14:textId="77777777" w:rsidR="00166882" w:rsidRDefault="00000000">
      <w:pPr>
        <w:numPr>
          <w:ilvl w:val="0"/>
          <w:numId w:val="1"/>
        </w:numPr>
        <w:spacing w:after="80"/>
      </w:pPr>
      <w:r>
        <w:t>Direct user-to-service transfer keeps sensitive data from passing through intermediate agents that do not need it.</w:t>
      </w:r>
    </w:p>
    <w:p w14:paraId="4FE29C45" w14:textId="77777777" w:rsidR="00166882" w:rsidRDefault="00000000">
      <w:r>
        <w:t>The paper reports 5,000 component-level enforcement trials. Under the tested conditions, the covered leakage paths were structurally blocked with sub-millisecond enforcement overhead. This is useful evidence for deterministic controls, but it is not proof against every possible malicious agent or prompt. [1]</w:t>
      </w:r>
    </w:p>
    <w:p w14:paraId="4391EAD8" w14:textId="73DAA3DD" w:rsidR="00166882" w:rsidRDefault="00000000">
      <w:pPr>
        <w:pStyle w:val="Heading2"/>
      </w:pPr>
      <w:r>
        <w:t>Signed and traceable security artifacts</w:t>
      </w:r>
    </w:p>
    <w:p w14:paraId="4FEB29E6" w14:textId="77777777" w:rsidR="00166882" w:rsidRDefault="00000000">
      <w:r>
        <w:t>Radanliev and colleagues implemented an A2A- and MCP-based workflow for producing machine-readable vulnerability records inside trusted research environments. Their pipeline connects runtime observations to digitally signed security artifacts and records lineage between the job, model, container, and result. It also applies schema validation and policy checks before execution. [5]</w:t>
      </w:r>
    </w:p>
    <w:p w14:paraId="0BB336B2" w14:textId="77777777" w:rsidR="00166882" w:rsidRDefault="00000000">
      <w:r>
        <w:t>For this framework, the general lesson is that a stored result should carry more than output text. It should also record which agent produced it, which task and context it belongs to, which request initiated it, and whether validation succeeded before the result entered synthesis or database storage.</w:t>
      </w:r>
    </w:p>
    <w:p w14:paraId="754611D8" w14:textId="6DB3CB96" w:rsidR="00166882" w:rsidRDefault="00000000">
      <w:pPr>
        <w:pStyle w:val="Heading2"/>
      </w:pPr>
      <w:r>
        <w:t>A2ASecBench as a testing baseline</w:t>
      </w:r>
    </w:p>
    <w:p w14:paraId="1C277ABD" w14:textId="77777777" w:rsidR="00166882" w:rsidRDefault="00000000">
      <w:r>
        <w:t>A2ASecBench is an executable, protocol-aware benchmark accepted at ICLR 2026. It tests Agent Card spoofing, capability cloaking, agent-side request forgery, unsafe artifact handling, cyclic delegation, and half-open task flooding. The authors ran the benchmark against official A2A examples in several domains. [3]</w:t>
      </w:r>
    </w:p>
    <w:p w14:paraId="319C7476" w14:textId="77777777" w:rsidR="00166882" w:rsidRDefault="00000000">
      <w:r>
        <w:t>Its most useful methodological contribution is the use of paired attack and benign-control cases. A defense should reject the hostile condition without rejecting ordinary work. The benchmark also checks observable system state instead of treating response text as proof that an attack succeeded. This matches the harmless-canary method already used in the Gap 3 tests.</w:t>
      </w:r>
    </w:p>
    <w:p w14:paraId="5A2C9780" w14:textId="2A6B8C55" w:rsidR="00166882" w:rsidRDefault="00000000">
      <w:pPr>
        <w:pStyle w:val="Heading1"/>
      </w:pPr>
      <w:r>
        <w:t>Measures recommended or proposed by A2A research</w:t>
      </w:r>
    </w:p>
    <w:p w14:paraId="7BBCF206" w14:textId="61098DF2" w:rsidR="00166882" w:rsidRDefault="00000000">
      <w:pPr>
        <w:pStyle w:val="Heading2"/>
      </w:pPr>
      <w:r>
        <w:t>Secure agent discovery</w:t>
      </w:r>
    </w:p>
    <w:p w14:paraId="1A9DB8EF" w14:textId="77777777" w:rsidR="00166882" w:rsidRDefault="00000000">
      <w:r>
        <w:t>An Agent Card describes a remote agent's identity, endpoint, skills, and authentication expectations. The research treats this card as untrusted discovery input. Recommended controls include digital signatures, trusted certificate authorities, HTTPS certificate validation, optional certificate pinning, trusted registries, capability verification, and sanitization before card text reaches an LLM. [3], [4]</w:t>
      </w:r>
    </w:p>
    <w:p w14:paraId="2FCC59E7" w14:textId="77777777" w:rsidR="00166882" w:rsidRDefault="00000000">
      <w:r>
        <w:lastRenderedPageBreak/>
        <w:t>These measures reduce spoofing, but they do not prove that the agent will behave honestly after authentication. A valid identity must still be combined with request, response, and task-state validation.</w:t>
      </w:r>
    </w:p>
    <w:p w14:paraId="4DA1CBC8" w14:textId="52B95105" w:rsidR="00166882" w:rsidRDefault="00000000">
      <w:pPr>
        <w:pStyle w:val="Heading2"/>
      </w:pPr>
      <w:r>
        <w:t>Authentication and authorization</w:t>
      </w:r>
    </w:p>
    <w:p w14:paraId="5313A1D4" w14:textId="77777777" w:rsidR="00166882" w:rsidRDefault="00000000">
      <w:r>
        <w:t>A2A-oriented research describes normal web security mechanisms such as OAuth 2.0, OpenID Connect, bearer tokens, JWTs, API keys, HTTPS, and mutual TLS. The publications consistently recommend validating credentials on every protected operation, rotating tokens, storing secrets securely, and applying least privilege. [1], [4], [6]</w:t>
      </w:r>
    </w:p>
    <w:p w14:paraId="33342A9E" w14:textId="77777777" w:rsidR="00166882" w:rsidRDefault="00000000">
      <w:r>
        <w:t>Authentication answers who is communicating. Authorization answers what that identity is allowed to do. Neither question proves that the message contains the correct task ID, context ID, state, or result. Those fields require separate protocol validation.</w:t>
      </w:r>
    </w:p>
    <w:p w14:paraId="7353B8C0" w14:textId="294D2B7B" w:rsidR="00166882" w:rsidRDefault="00000000">
      <w:pPr>
        <w:pStyle w:val="Heading2"/>
      </w:pPr>
      <w:r>
        <w:t>Message, session, and task integrity</w:t>
      </w:r>
    </w:p>
    <w:p w14:paraId="6DE39748" w14:textId="77777777" w:rsidR="00166882" w:rsidRDefault="00000000">
      <w:r>
        <w:t>The comparative ACM study proposes a Secure Transport Envelope that combines per-message cryptographic integrity with strong session binding. The goal is to show that a message came from the expected sender, was not changed, belongs to the expected exchange, and is not an old message replayed into a new session. [2]</w:t>
      </w:r>
    </w:p>
    <w:p w14:paraId="4F2F96F9" w14:textId="77777777" w:rsidR="00166882" w:rsidRDefault="00000000">
      <w:r>
        <w:t>The MAESTRO-based A2A paper also recommends strict schema enforcement, task-session tracking, validation of every task submission, and protection of task state transitions. [4] These controls are the closest academic baseline for the task/context tuple problem found in EA-A3, although none of the reviewed papers evaluates that exact mismatch in the same way as this framework.</w:t>
      </w:r>
    </w:p>
    <w:p w14:paraId="6FBFA4FF" w14:textId="28C533A7" w:rsidR="00166882" w:rsidRDefault="00000000">
      <w:pPr>
        <w:pStyle w:val="Heading2"/>
      </w:pPr>
      <w:r>
        <w:t>Replay and duplicate protection</w:t>
      </w:r>
    </w:p>
    <w:p w14:paraId="2629C2F9" w14:textId="77777777" w:rsidR="00166882" w:rsidRDefault="00000000">
      <w:r>
        <w:t>Habler and colleagues recommend a unique nonce for each request, acceptable timestamp windows, message authentication codes, idempotent task handling, and server-side session tracking. [4] Together, these controls prevent a valid earlier request from being accepted as fresh work and help keep duplicate network delivery from creating duplicate database effects.</w:t>
      </w:r>
    </w:p>
    <w:p w14:paraId="2B299982" w14:textId="016EA07B" w:rsidR="00166882" w:rsidRDefault="00000000">
      <w:pPr>
        <w:pStyle w:val="Heading2"/>
      </w:pPr>
      <w:r>
        <w:t>Artifact and result integrity</w:t>
      </w:r>
    </w:p>
    <w:p w14:paraId="75F2DBE7" w14:textId="77777777" w:rsidR="00166882" w:rsidRDefault="00000000">
      <w:r>
        <w:t>Remote artifacts and summaries should be treated as untrusted inputs. Recommended controls include digital signatures, hashes or checksums, encryption where confidentiality is required, secure storage, content-type validation, and provenance records. [4], [5] A2ASecBench also shows why a system should separate previewing an artifact from executing or following content embedded inside it. [3]</w:t>
      </w:r>
    </w:p>
    <w:p w14:paraId="00EB184B" w14:textId="3C67E7B6" w:rsidR="00166882" w:rsidRDefault="00000000">
      <w:pPr>
        <w:pStyle w:val="Heading2"/>
      </w:pPr>
      <w:r>
        <w:t>Logging, monitoring, and database evidence</w:t>
      </w:r>
    </w:p>
    <w:p w14:paraId="560FB3F6" w14:textId="77777777" w:rsidR="00166882" w:rsidRDefault="00000000">
      <w:r>
        <w:t xml:space="preserve">The research recommends integrity-protected audit logs, monitoring of task transitions, security alerts for abnormal patterns, and separation of duties for privileged changes. [4], [5], [6] A database row or </w:t>
      </w:r>
      <w:r>
        <w:lastRenderedPageBreak/>
        <w:t>trace should show the source agent, task, context, state transition, validation outcome, and time of acceptance. Rejected messages should also be recorded without being inserted as valid task results.</w:t>
      </w:r>
    </w:p>
    <w:p w14:paraId="3377BF7B" w14:textId="303A5C90" w:rsidR="00166882" w:rsidRDefault="00000000">
      <w:pPr>
        <w:pStyle w:val="Heading2"/>
      </w:pPr>
      <w:r>
        <w:t>Availability and containment</w:t>
      </w:r>
    </w:p>
    <w:p w14:paraId="6B04F9B5" w14:textId="646D755A" w:rsidR="00166882" w:rsidRDefault="00000000">
      <w:r>
        <w:t>A2ASecBench demonstrates that valid-looking A2A behavior can consume resources through delegation cycles and unfinished tasks. The resulting defensive baseline includes maximum delegation depth, cycle detection, per-peer quotas, expiration of stale work, rate limits, and controls that preserve small legitimate workflows. [3] Ferrag and colleagues additionally recommend sandboxed interfaces and continuous verification so that one accepted agent cannot freely affect the rest of the system. [6]</w:t>
      </w:r>
    </w:p>
    <w:p w14:paraId="38EC8346" w14:textId="49D6DF35" w:rsidR="00166882" w:rsidRDefault="00CF650C">
      <w:pPr>
        <w:pStyle w:val="Heading1"/>
      </w:pPr>
      <w:r>
        <w:t>Future Work</w:t>
      </w:r>
    </w:p>
    <w:p w14:paraId="7472A3E9" w14:textId="77777777" w:rsidR="00166882" w:rsidRDefault="00000000" w:rsidP="00225E07">
      <w:pPr>
        <w:pStyle w:val="ListParagraph"/>
        <w:numPr>
          <w:ilvl w:val="0"/>
          <w:numId w:val="2"/>
        </w:numPr>
        <w:spacing w:after="80"/>
      </w:pPr>
      <w:r w:rsidRPr="00225E07">
        <w:rPr>
          <w:b/>
        </w:rPr>
        <w:t xml:space="preserve">Secure transport and identity. </w:t>
      </w:r>
      <w:r>
        <w:t>Use encrypted connections and validate the expected remote identity.</w:t>
      </w:r>
    </w:p>
    <w:p w14:paraId="6D07066C" w14:textId="77777777" w:rsidR="00166882" w:rsidRDefault="00000000" w:rsidP="00225E07">
      <w:pPr>
        <w:pStyle w:val="ListParagraph"/>
        <w:numPr>
          <w:ilvl w:val="0"/>
          <w:numId w:val="2"/>
        </w:numPr>
        <w:spacing w:after="80"/>
      </w:pPr>
      <w:r w:rsidRPr="00225E07">
        <w:rPr>
          <w:b/>
        </w:rPr>
        <w:t xml:space="preserve">Trusted discovery. </w:t>
      </w:r>
      <w:r>
        <w:t>Validate or pin Agent Cards and keep card content away from trusted instructions.</w:t>
      </w:r>
    </w:p>
    <w:p w14:paraId="418E42EA" w14:textId="77777777" w:rsidR="00166882" w:rsidRDefault="00000000" w:rsidP="00225E07">
      <w:pPr>
        <w:pStyle w:val="ListParagraph"/>
        <w:numPr>
          <w:ilvl w:val="0"/>
          <w:numId w:val="2"/>
        </w:numPr>
        <w:spacing w:after="80"/>
      </w:pPr>
      <w:r w:rsidRPr="00225E07">
        <w:rPr>
          <w:b/>
        </w:rPr>
        <w:t xml:space="preserve">Local task/context binding. </w:t>
      </w:r>
      <w:r>
        <w:t>Keep the original endpoint, task ID, and context ID together and validate them at every layer.</w:t>
      </w:r>
    </w:p>
    <w:p w14:paraId="09A9D138" w14:textId="77777777" w:rsidR="00166882" w:rsidRDefault="00000000" w:rsidP="00225E07">
      <w:pPr>
        <w:pStyle w:val="ListParagraph"/>
        <w:numPr>
          <w:ilvl w:val="0"/>
          <w:numId w:val="2"/>
        </w:numPr>
        <w:spacing w:after="80"/>
      </w:pPr>
      <w:r w:rsidRPr="00225E07">
        <w:rPr>
          <w:b/>
        </w:rPr>
        <w:t xml:space="preserve">Narrow authorization. </w:t>
      </w:r>
      <w:r>
        <w:t>Use short-lived, recipient-specific, operation-specific credentials and least privilege.</w:t>
      </w:r>
    </w:p>
    <w:p w14:paraId="52CC0C63" w14:textId="77777777" w:rsidR="00166882" w:rsidRDefault="00000000" w:rsidP="00225E07">
      <w:pPr>
        <w:pStyle w:val="ListParagraph"/>
        <w:numPr>
          <w:ilvl w:val="0"/>
          <w:numId w:val="2"/>
        </w:numPr>
        <w:spacing w:after="80"/>
      </w:pPr>
      <w:r w:rsidRPr="00225E07">
        <w:rPr>
          <w:b/>
        </w:rPr>
        <w:t xml:space="preserve">State and replay protection. </w:t>
      </w:r>
      <w:r>
        <w:t>Validate lifecycle transitions and reject duplicate, expired, or previously accepted messages.</w:t>
      </w:r>
    </w:p>
    <w:p w14:paraId="790410E5" w14:textId="77777777" w:rsidR="00166882" w:rsidRDefault="00000000" w:rsidP="00225E07">
      <w:pPr>
        <w:pStyle w:val="ListParagraph"/>
        <w:numPr>
          <w:ilvl w:val="0"/>
          <w:numId w:val="2"/>
        </w:numPr>
        <w:spacing w:after="80"/>
      </w:pPr>
      <w:r w:rsidRPr="00225E07">
        <w:rPr>
          <w:b/>
        </w:rPr>
        <w:t xml:space="preserve">Artifact and synthesis isolation. </w:t>
      </w:r>
      <w:r>
        <w:t>Preserve provenance and treat remote results as untrusted data until validated.</w:t>
      </w:r>
    </w:p>
    <w:p w14:paraId="2C0926B7" w14:textId="77777777" w:rsidR="00166882" w:rsidRDefault="00000000" w:rsidP="00225E07">
      <w:pPr>
        <w:pStyle w:val="ListParagraph"/>
        <w:numPr>
          <w:ilvl w:val="0"/>
          <w:numId w:val="2"/>
        </w:numPr>
        <w:spacing w:after="80"/>
      </w:pPr>
      <w:r w:rsidRPr="00225E07">
        <w:rPr>
          <w:b/>
        </w:rPr>
        <w:t xml:space="preserve">Database and audit integrity. </w:t>
      </w:r>
      <w:r>
        <w:t>Reject before persistence and record both accepted and rejected security events.</w:t>
      </w:r>
    </w:p>
    <w:p w14:paraId="761F0854" w14:textId="77777777" w:rsidR="00166882" w:rsidRDefault="00000000" w:rsidP="00225E07">
      <w:pPr>
        <w:pStyle w:val="ListParagraph"/>
        <w:numPr>
          <w:ilvl w:val="0"/>
          <w:numId w:val="2"/>
        </w:numPr>
        <w:spacing w:after="80"/>
      </w:pPr>
      <w:r w:rsidRPr="00225E07">
        <w:rPr>
          <w:b/>
        </w:rPr>
        <w:t xml:space="preserve">Availability controls. </w:t>
      </w:r>
      <w:r>
        <w:t>Limit recursion, delegation depth, unfinished tasks, request size, and per-peer resource use.</w:t>
      </w:r>
    </w:p>
    <w:p w14:paraId="1F8F7428" w14:textId="77777777" w:rsidR="00166882" w:rsidRDefault="00000000" w:rsidP="00225E07">
      <w:pPr>
        <w:pStyle w:val="ListParagraph"/>
        <w:numPr>
          <w:ilvl w:val="0"/>
          <w:numId w:val="2"/>
        </w:numPr>
        <w:spacing w:after="80"/>
      </w:pPr>
      <w:r w:rsidRPr="00225E07">
        <w:rPr>
          <w:b/>
        </w:rPr>
        <w:t xml:space="preserve">Continuous testing. </w:t>
      </w:r>
      <w:r>
        <w:t>Keep matched benign controls and rerun the harmless-canary experiments after each defensive change.</w:t>
      </w:r>
    </w:p>
    <w:p w14:paraId="622374F2" w14:textId="1C53E2A9" w:rsidR="00166882" w:rsidRDefault="00225E07">
      <w:pPr>
        <w:pStyle w:val="Heading1"/>
      </w:pPr>
      <w:r>
        <w:t>Sources</w:t>
      </w:r>
    </w:p>
    <w:p w14:paraId="054A57F0" w14:textId="01578A14" w:rsidR="00166882" w:rsidRDefault="00BD5E2E" w:rsidP="00225E07">
      <w:pPr>
        <w:keepLines/>
        <w:spacing w:after="80"/>
        <w:ind w:left="270"/>
      </w:pPr>
      <w:r>
        <w:t xml:space="preserve">[1] </w:t>
      </w:r>
      <w:r w:rsidR="00000000">
        <w:t>Louck, Y., Stulman, A., and Dvir, A. (2026). Improving Google A2A Protocol: Protecting Sensitive Data and Mitigating Unintended Harms in Multi-Agent Systems. ACM Transactions on Software Engineering and Methodology. https://doi.org/10.1145/3821216</w:t>
      </w:r>
    </w:p>
    <w:p w14:paraId="101C3482" w14:textId="26AD9B89" w:rsidR="00166882" w:rsidRDefault="00BD5E2E" w:rsidP="00225E07">
      <w:pPr>
        <w:keepLines/>
        <w:spacing w:after="80"/>
        <w:ind w:left="270"/>
      </w:pPr>
      <w:r>
        <w:t xml:space="preserve">[2] </w:t>
      </w:r>
      <w:r w:rsidR="00000000">
        <w:t>Louck, Y., Dvir, A., and Stulman, A. (2026). Security Analysis of Agentic AI Communication Protocols: A Comparative Evaluation. ACM Transactions on AI Security and Privacy. https://doi.org/10.1145/3803431</w:t>
      </w:r>
    </w:p>
    <w:p w14:paraId="25171A0C" w14:textId="0FDC74ED" w:rsidR="00166882" w:rsidRDefault="00BD5E2E" w:rsidP="00225E07">
      <w:pPr>
        <w:keepLines/>
        <w:spacing w:after="80"/>
        <w:ind w:left="270"/>
      </w:pPr>
      <w:r>
        <w:lastRenderedPageBreak/>
        <w:t xml:space="preserve">[3] </w:t>
      </w:r>
      <w:r w:rsidR="00000000">
        <w:t>Li, T., Chu, C., Zheng, Y., Zhang, B., Gong, N. Z., and Xiao, C. (2026). A2ASecBench: A Protocol-Aware Security Benchmark for Agent-to-Agent Multi-Agent Systems. Fourteenth International Conference on Learning Representations (ICLR 2026). https://openreview.net/forum?id=LfdFnakqGJ</w:t>
      </w:r>
    </w:p>
    <w:p w14:paraId="024F0865" w14:textId="6C093EA6" w:rsidR="00166882" w:rsidRDefault="00BD5E2E" w:rsidP="00225E07">
      <w:pPr>
        <w:keepLines/>
        <w:spacing w:after="80"/>
        <w:ind w:left="270"/>
      </w:pPr>
      <w:r>
        <w:t xml:space="preserve">[4] </w:t>
      </w:r>
      <w:proofErr w:type="spellStart"/>
      <w:r w:rsidR="00000000">
        <w:t>Habler</w:t>
      </w:r>
      <w:proofErr w:type="spellEnd"/>
      <w:r w:rsidR="00000000">
        <w:t>, I., Huang, K., Narajala, V. S., and Kulkarni, P. (2025). Building a Secure Agentic AI Application Leveraging Google's A2A Protocol. ACSAC Workshop on AI for Cyber Threat Intelligence (WAITI 2025), IEEE workshop proceedings. https://arxiv.org/abs/2504.16902</w:t>
      </w:r>
    </w:p>
    <w:p w14:paraId="2D01A97D" w14:textId="7707CB31" w:rsidR="00166882" w:rsidRDefault="00BD5E2E" w:rsidP="00225E07">
      <w:pPr>
        <w:keepLines/>
        <w:spacing w:after="80"/>
        <w:ind w:left="270"/>
      </w:pPr>
      <w:r>
        <w:t xml:space="preserve">[5] </w:t>
      </w:r>
      <w:proofErr w:type="spellStart"/>
      <w:r w:rsidR="00000000">
        <w:t>Radanliev</w:t>
      </w:r>
      <w:proofErr w:type="spellEnd"/>
      <w:r w:rsidR="00000000">
        <w:t>, P., Atefi, K., Santos, O., and Maple, C. (2026). Integrating Agentic Risk Signalling in Trusted Research Environments: Automating VEX with Agent2Agent Protocols and Model Context Protocol in SACRO and TREvolution Pipelines. Computer Standards &amp; Interfaces, 96, 104079. https://doi.org/10.1016/j.csi.2025.104079</w:t>
      </w:r>
    </w:p>
    <w:p w14:paraId="33CFECFE" w14:textId="5F5BCE8C" w:rsidR="00166882" w:rsidRDefault="00BD5E2E" w:rsidP="00225E07">
      <w:pPr>
        <w:keepLines/>
        <w:spacing w:after="80"/>
        <w:ind w:left="270"/>
      </w:pPr>
      <w:r>
        <w:t xml:space="preserve">[6] </w:t>
      </w:r>
      <w:proofErr w:type="spellStart"/>
      <w:r w:rsidR="00000000">
        <w:t>Ferrag</w:t>
      </w:r>
      <w:proofErr w:type="spellEnd"/>
      <w:r w:rsidR="00000000">
        <w:t>, M. A., Tihanyi, N., Hamouda, D., Maglaras, L., Lakas, A., and Debbah, M. (2026). From Prompt Injections to Protocol Exploits: Threats in LLM-Powered AI Agents Workflows. ICT Express, 12(2), 353-383. https://doi.org/10.1016/j.icte.2025.12.001</w:t>
      </w:r>
    </w:p>
    <w:sectPr w:rsidR="00166882"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587DF" w14:textId="77777777" w:rsidR="00AE253E" w:rsidRDefault="00AE253E">
      <w:pPr>
        <w:spacing w:after="0" w:line="240" w:lineRule="auto"/>
      </w:pPr>
      <w:r>
        <w:separator/>
      </w:r>
    </w:p>
  </w:endnote>
  <w:endnote w:type="continuationSeparator" w:id="0">
    <w:p w14:paraId="306029A9" w14:textId="77777777" w:rsidR="00AE253E" w:rsidRDefault="00AE2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2EE2" w14:textId="77777777" w:rsidR="00166882" w:rsidRDefault="00000000">
    <w:pPr>
      <w:pStyle w:val="Footer"/>
      <w:jc w:val="center"/>
    </w:pPr>
    <w:r>
      <w:rPr>
        <w:color w:val="555555"/>
        <w:sz w:val="18"/>
      </w:rPr>
      <w:fldChar w:fldCharType="begin"/>
    </w:r>
    <w:r>
      <w:rPr>
        <w:color w:val="555555"/>
        <w:sz w:val="18"/>
      </w:rPr>
      <w:instrText xml:space="preserve"> PAGE </w:instrText>
    </w:r>
    <w:r w:rsidR="00225E07">
      <w:rPr>
        <w:color w:val="555555"/>
        <w:sz w:val="18"/>
      </w:rPr>
      <w:fldChar w:fldCharType="separate"/>
    </w:r>
    <w:r w:rsidR="00225E07">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DC8D" w14:textId="77777777" w:rsidR="00AE253E" w:rsidRDefault="00AE253E">
      <w:pPr>
        <w:spacing w:after="0" w:line="240" w:lineRule="auto"/>
      </w:pPr>
      <w:r>
        <w:separator/>
      </w:r>
    </w:p>
  </w:footnote>
  <w:footnote w:type="continuationSeparator" w:id="0">
    <w:p w14:paraId="1E59C85D" w14:textId="77777777" w:rsidR="00AE253E" w:rsidRDefault="00AE25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EB1BA4"/>
    <w:multiLevelType w:val="singleLevel"/>
    <w:tmpl w:val="40EC0282"/>
    <w:lvl w:ilvl="0">
      <w:start w:val="1"/>
      <w:numFmt w:val="decimal"/>
      <w:pStyle w:val="ListBullet"/>
      <w:lvlText w:val="%1."/>
      <w:lvlJc w:val="left"/>
      <w:pPr>
        <w:tabs>
          <w:tab w:val="num" w:pos="540"/>
        </w:tabs>
        <w:ind w:left="540" w:hanging="270"/>
      </w:pPr>
      <w:rPr>
        <w:rFonts w:ascii="Calibri" w:hAnsi="Calibri"/>
      </w:rPr>
    </w:lvl>
  </w:abstractNum>
  <w:abstractNum w:abstractNumId="10" w15:restartNumberingAfterBreak="0">
    <w:nsid w:val="1D476392"/>
    <w:multiLevelType w:val="singleLevel"/>
    <w:tmpl w:val="3F062F30"/>
    <w:lvl w:ilvl="0">
      <w:start w:val="1"/>
      <w:numFmt w:val="decimal"/>
      <w:lvlText w:val="%1."/>
      <w:lvlJc w:val="left"/>
      <w:pPr>
        <w:tabs>
          <w:tab w:val="num" w:pos="540"/>
        </w:tabs>
        <w:ind w:left="540" w:hanging="270"/>
      </w:pPr>
      <w:rPr>
        <w:rFonts w:ascii="Calibri" w:hAnsi="Calibri"/>
      </w:rPr>
    </w:lvl>
  </w:abstractNum>
  <w:abstractNum w:abstractNumId="11" w15:restartNumberingAfterBreak="0">
    <w:nsid w:val="38F85368"/>
    <w:multiLevelType w:val="singleLevel"/>
    <w:tmpl w:val="085E7C78"/>
    <w:lvl w:ilvl="0">
      <w:start w:val="1"/>
      <w:numFmt w:val="bullet"/>
      <w:lvlText w:val="•"/>
      <w:lvlJc w:val="left"/>
      <w:pPr>
        <w:tabs>
          <w:tab w:val="num" w:pos="540"/>
        </w:tabs>
        <w:ind w:left="540" w:hanging="270"/>
      </w:pPr>
      <w:rPr>
        <w:rFonts w:ascii="Calibri" w:hAnsi="Calibri"/>
      </w:rPr>
    </w:lvl>
  </w:abstractNum>
  <w:abstractNum w:abstractNumId="12" w15:restartNumberingAfterBreak="0">
    <w:nsid w:val="6CBF1C0B"/>
    <w:multiLevelType w:val="hybridMultilevel"/>
    <w:tmpl w:val="180C0BF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71576307">
    <w:abstractNumId w:val="9"/>
  </w:num>
  <w:num w:numId="2" w16cid:durableId="14118047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882"/>
    <w:rsid w:val="001F005C"/>
    <w:rsid w:val="00225E07"/>
    <w:rsid w:val="0029639D"/>
    <w:rsid w:val="00326F90"/>
    <w:rsid w:val="005F2BC9"/>
    <w:rsid w:val="00AA1D8D"/>
    <w:rsid w:val="00AE253E"/>
    <w:rsid w:val="00B47730"/>
    <w:rsid w:val="00BD5E2E"/>
    <w:rsid w:val="00CB0664"/>
    <w:rsid w:val="00CF650C"/>
    <w:rsid w:val="00D40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7BA48"/>
  <w14:defaultImageDpi w14:val="300"/>
  <w15:docId w15:val="{D8628D48-2A20-4492-949A-2161375A6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5</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A2A Protocol Security Measures Research Baseline</vt:lpstr>
    </vt:vector>
  </TitlesOfParts>
  <Manager/>
  <Company/>
  <LinksUpToDate>false</LinksUpToDate>
  <CharactersWithSpaces>10463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A2A Protocol Security Measures Research Baseline</dc:title>
  <dc:subject>Academic baseline for A2A protocol security measures</dc:subject>
  <dc:creator>Undergraduate A2A Research Project</dc:creator>
  <cp:keywords>A2A, Agent2Agent, security, protocol, research baseline</cp:keywords>
  <dc:description>generated by python-docx</dc:description>
  <cp:lastModifiedBy>Everett, David (doeverett42)</cp:lastModifiedBy>
  <cp:revision>5</cp:revision>
  <dcterms:created xsi:type="dcterms:W3CDTF">2013-12-23T23:15:00Z</dcterms:created>
  <dcterms:modified xsi:type="dcterms:W3CDTF">2026-09-04T17:27:00Z</dcterms:modified>
  <cp:category/>
</cp:coreProperties>
</file>