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rPr>
          <w:rFonts w:ascii="Arial" w:hAnsi="Arial"/>
          <w:b/>
          <w:color w:val="000000"/>
          <w:sz w:val="36"/>
        </w:rPr>
        <w:t>Comparison of My Gap 3 Experiments and A2ABreak</w:t>
      </w:r>
    </w:p>
    <w:p>
      <w:pPr>
        <w:spacing w:after="80" w:line="259" w:lineRule="auto"/>
      </w:pPr>
      <w:r>
        <w:rPr>
          <w:rFonts w:ascii="Arial" w:hAnsi="Arial"/>
          <w:b w:val="0"/>
          <w:color w:val="000000"/>
          <w:sz w:val="21"/>
        </w:rPr>
        <w:t>A2ABreak does not make my project obsolete. It is a broad specification-level study that builds a finite-state model of the A2A protocol and reports eleven protocol-level vulnerabilities. My project is narrower and more experimental. I run a deterministic local test server against a functioning host, A2A SDK, wrapper, Ollama agents, and SQLite stores to measure task and context ID handling and downstream canary persistence.</w:t>
      </w:r>
    </w:p>
    <w:p>
      <w:pPr>
        <w:spacing w:after="80" w:line="259" w:lineRule="auto"/>
      </w:pPr>
      <w:r>
        <w:rPr>
          <w:rFonts w:ascii="Arial" w:hAnsi="Arial"/>
          <w:b w:val="0"/>
          <w:color w:val="000000"/>
          <w:sz w:val="21"/>
        </w:rPr>
        <w:t>The strongest way to position my work now is as an implementation-level complement to A2ABreak. Their paper explains what the specification fails to require. My framework shows what a real orchestrator and its agents actually do when they receive ordered events, an input-required response, a changed or split ID pair, and canary-bearing result text. The paper also lists an A2A simulation framework as future work, which gives my testbed a useful research role if I make it more systematic.</w:t>
      </w:r>
    </w:p>
    <w:p>
      <w:pPr>
        <w:spacing w:after="80" w:line="259" w:lineRule="auto"/>
      </w:pPr>
      <w:r>
        <w:rPr>
          <w:rFonts w:ascii="Arial" w:hAnsi="Arial"/>
          <w:b w:val="0"/>
          <w:color w:val="000000"/>
          <w:sz w:val="21"/>
        </w:rPr>
        <w:t>The main caution is classification. A2ABreak assumes every adversary is fully compliant with the A2A specification. My malicious fixtures test whether an SDK, wrapper, and host reject unexpected event sequences. I still need to map each EA-A3, TM-1, and TM-2 event to the exact A2A rules before claiming a protocol design flaw. The result may be a protocol gap, an implementation validation gap, or a combination of both.</w:t>
      </w:r>
    </w:p>
    <w:p>
      <w:pPr>
        <w:pStyle w:val="Heading1"/>
        <w:keepNext/>
        <w:spacing w:after="80" w:line="259" w:lineRule="auto"/>
      </w:pPr>
      <w:r>
        <w:rPr>
          <w:rFonts w:ascii="Arial" w:hAnsi="Arial"/>
          <w:b/>
          <w:color w:val="000000"/>
          <w:sz w:val="26"/>
        </w:rPr>
        <w:t>Main comparison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04"/>
        <w:gridCol w:w="3504"/>
        <w:gridCol w:w="3504"/>
      </w:tblGrid>
      <w:tr>
        <w:trPr>
          <w:tblHeader w:val="true"/>
        </w:trPr>
        <w:tc>
          <w:tcPr>
            <w:tcW w:type="dxa" w:w="1944"/>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Topic</w:t>
            </w:r>
          </w:p>
        </w:tc>
        <w:tc>
          <w:tcPr>
            <w:tcW w:type="dxa" w:w="4248"/>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A2ABreak</w:t>
            </w:r>
          </w:p>
        </w:tc>
        <w:tc>
          <w:tcPr>
            <w:tcW w:type="dxa" w:w="4320"/>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My current work</w:t>
            </w:r>
          </w:p>
        </w:tc>
      </w:tr>
      <w:tr>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Research question</w:t>
            </w:r>
          </w:p>
        </w:tc>
        <w:tc>
          <w:tcPr>
            <w:tcW w:type="dxa" w:w="4248"/>
            <w:tcMar>
              <w:top w:w="90" w:type="dxa"/>
              <w:start w:w="110" w:type="dxa"/>
              <w:bottom w:w="90" w:type="dxa"/>
              <w:end w:w="110" w:type="dxa"/>
            </w:tcMar>
            <w:vAlign w:val="center"/>
          </w:tcPr>
          <w:p>
            <w:pPr>
              <w:spacing w:after="0" w:line="245" w:lineRule="auto"/>
              <w:jc w:val="left"/>
            </w:pPr>
            <w:r>
              <w:rPr>
                <w:rFonts w:ascii="Arial" w:hAnsi="Arial"/>
                <w:b w:val="0"/>
                <w:color w:val="000000"/>
                <w:sz w:val="18"/>
              </w:rPr>
              <w:t>Can the natural-language A2A specification be converted into a verified state machine and used to find protocol-level gaps?</w:t>
            </w:r>
          </w:p>
        </w:tc>
        <w:tc>
          <w:tcPr>
            <w:tcW w:type="dxa" w:w="4320"/>
            <w:tcMar>
              <w:top w:w="90" w:type="dxa"/>
              <w:start w:w="110" w:type="dxa"/>
              <w:bottom w:w="90" w:type="dxa"/>
              <w:end w:w="110" w:type="dxa"/>
            </w:tcMar>
            <w:vAlign w:val="center"/>
          </w:tcPr>
          <w:p>
            <w:pPr>
              <w:spacing w:after="0" w:line="245" w:lineRule="auto"/>
              <w:jc w:val="left"/>
            </w:pPr>
            <w:r>
              <w:rPr>
                <w:rFonts w:ascii="Arial" w:hAnsi="Arial"/>
                <w:b w:val="0"/>
                <w:color w:val="000000"/>
                <w:sz w:val="18"/>
              </w:rPr>
              <w:t>Can a functioning host keep task ID and context ID bound correctly when a remote endpoint sends ordered or mixed events, and where does accepted result text travel afterward?</w:t>
            </w:r>
          </w:p>
        </w:tc>
      </w:tr>
      <w:tr>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Level of analysis</w:t>
            </w:r>
          </w:p>
        </w:tc>
        <w:tc>
          <w:tcPr>
            <w:tcW w:type="dxa" w:w="4248"/>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Specification level. The paper models six A2A lifecycle stages under a full-compliance assumption.</w:t>
            </w:r>
          </w:p>
        </w:tc>
        <w:tc>
          <w:tcPr>
            <w:tcW w:type="dxa" w:w="4320"/>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Implementation and system level. The experiments exercise the SDK, wrapper, orchestrator, fixed plan, local agents, model calls, reports, and databases.</w:t>
            </w:r>
          </w:p>
        </w:tc>
      </w:tr>
      <w:tr>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Method</w:t>
            </w:r>
          </w:p>
        </w:tc>
        <w:tc>
          <w:tcPr>
            <w:tcW w:type="dxa" w:w="4248"/>
            <w:tcMar>
              <w:top w:w="90" w:type="dxa"/>
              <w:start w:w="110" w:type="dxa"/>
              <w:bottom w:w="90" w:type="dxa"/>
              <w:end w:w="110" w:type="dxa"/>
            </w:tcMar>
            <w:vAlign w:val="center"/>
          </w:tcPr>
          <w:p>
            <w:pPr>
              <w:spacing w:after="0" w:line="245" w:lineRule="auto"/>
              <w:jc w:val="left"/>
            </w:pPr>
            <w:r>
              <w:rPr>
                <w:rFonts w:ascii="Arial" w:hAnsi="Arial"/>
                <w:b w:val="0"/>
                <w:color w:val="000000"/>
                <w:sz w:val="18"/>
              </w:rPr>
              <w:t>LLM-assisted extraction of 929 verified statements, construction of a 37-state and 76-transition FSM, candidate discovery, and adversarial plus manual verification.</w:t>
            </w:r>
          </w:p>
        </w:tc>
        <w:tc>
          <w:tcPr>
            <w:tcW w:type="dxa" w:w="4320"/>
            <w:tcMar>
              <w:top w:w="90" w:type="dxa"/>
              <w:start w:w="110" w:type="dxa"/>
              <w:bottom w:w="90" w:type="dxa"/>
              <w:end w:w="110" w:type="dxa"/>
            </w:tcMar>
            <w:vAlign w:val="center"/>
          </w:tcPr>
          <w:p>
            <w:pPr>
              <w:spacing w:after="0" w:line="245" w:lineRule="auto"/>
              <w:jc w:val="left"/>
            </w:pPr>
            <w:r>
              <w:rPr>
                <w:rFonts w:ascii="Arial" w:hAnsi="Arial"/>
                <w:b w:val="0"/>
                <w:color w:val="000000"/>
                <w:sz w:val="18"/>
              </w:rPr>
              <w:t>A deterministic malicious test server, matched controls, fixed delegation orders, unique canaries, live Ollama agents, and layer-by-layer evidence collection.</w:t>
            </w:r>
          </w:p>
        </w:tc>
      </w:tr>
      <w:tr>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Threat model</w:t>
            </w:r>
          </w:p>
        </w:tc>
        <w:tc>
          <w:tcPr>
            <w:tcW w:type="dxa" w:w="4248"/>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A fully authenticated and specification-compliant malicious client, server, or intermediary exploits a missing protocol primitive.</w:t>
            </w:r>
          </w:p>
        </w:tc>
        <w:tc>
          <w:tcPr>
            <w:tcW w:type="dxa" w:w="4320"/>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An intentionally untrusted local server sends controlled events to trusted local framework components. The current experiments do not yet prove every malicious event sequence is specification compliant.</w:t>
            </w:r>
          </w:p>
        </w:tc>
      </w:tr>
      <w:tr>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Breadth</w:t>
            </w:r>
          </w:p>
        </w:tc>
        <w:tc>
          <w:tcPr>
            <w:tcW w:type="dxa" w:w="4248"/>
            <w:tcMar>
              <w:top w:w="90" w:type="dxa"/>
              <w:start w:w="110" w:type="dxa"/>
              <w:bottom w:w="90" w:type="dxa"/>
              <w:end w:w="110" w:type="dxa"/>
            </w:tcMar>
            <w:vAlign w:val="center"/>
          </w:tcPr>
          <w:p>
            <w:pPr>
              <w:spacing w:after="0" w:line="245" w:lineRule="auto"/>
              <w:jc w:val="left"/>
            </w:pPr>
            <w:r>
              <w:rPr>
                <w:rFonts w:ascii="Arial" w:hAnsi="Arial"/>
                <w:b w:val="0"/>
                <w:color w:val="000000"/>
                <w:sz w:val="18"/>
              </w:rPr>
              <w:t>Eleven findings across discovery, initiation, task execution, and interruption.</w:t>
            </w:r>
          </w:p>
        </w:tc>
        <w:tc>
          <w:tcPr>
            <w:tcW w:type="dxa" w:w="4320"/>
            <w:tcMar>
              <w:top w:w="90" w:type="dxa"/>
              <w:start w:w="110" w:type="dxa"/>
              <w:bottom w:w="90" w:type="dxa"/>
              <w:end w:w="110" w:type="dxa"/>
            </w:tcMar>
            <w:vAlign w:val="center"/>
          </w:tcPr>
          <w:p>
            <w:pPr>
              <w:spacing w:after="0" w:line="245" w:lineRule="auto"/>
              <w:jc w:val="left"/>
            </w:pPr>
            <w:r>
              <w:rPr>
                <w:rFonts w:ascii="Arial" w:hAnsi="Arial"/>
                <w:b w:val="0"/>
                <w:color w:val="000000"/>
                <w:sz w:val="18"/>
              </w:rPr>
              <w:t>Deep coverage of one area: external task and context tuple continuity, continuation behavior, dependency order, synthesis, and SQLite persistence.</w:t>
            </w:r>
          </w:p>
        </w:tc>
      </w:tr>
      <w:tr>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Closest overlap</w:t>
            </w:r>
          </w:p>
        </w:tc>
        <w:tc>
          <w:tcPr>
            <w:tcW w:type="dxa" w:w="4248"/>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Cross-client context injection and interruption-state weaknesses show that context and paused-task handling need stronger protocol invariants.</w:t>
            </w:r>
          </w:p>
        </w:tc>
        <w:tc>
          <w:tcPr>
            <w:tcW w:type="dxa" w:w="4320"/>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EA-A3, TM-1, and TM-2 show late-event whole-tuple rebinding and split-pair selection in the tested wrapper and host continuation path.</w:t>
            </w:r>
          </w:p>
        </w:tc>
      </w:tr>
      <w:tr>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Important difference in context attacks</w:t>
            </w:r>
          </w:p>
        </w:tc>
        <w:tc>
          <w:tcPr>
            <w:tcW w:type="dxa" w:w="4248"/>
            <w:tcMar>
              <w:top w:w="90" w:type="dxa"/>
              <w:start w:w="110" w:type="dxa"/>
              <w:bottom w:w="90" w:type="dxa"/>
              <w:end w:w="110" w:type="dxa"/>
            </w:tcMar>
            <w:vAlign w:val="center"/>
          </w:tcPr>
          <w:p>
            <w:pPr>
              <w:spacing w:after="0" w:line="245" w:lineRule="auto"/>
              <w:jc w:val="left"/>
            </w:pPr>
            <w:r>
              <w:rPr>
                <w:rFonts w:ascii="Arial" w:hAnsi="Arial"/>
                <w:b w:val="0"/>
                <w:color w:val="000000"/>
                <w:sz w:val="18"/>
              </w:rPr>
              <w:t>The paper's context injection attack uses another client's known context ID because the protocol does not require context ownership checks.</w:t>
            </w:r>
          </w:p>
        </w:tc>
        <w:tc>
          <w:tcPr>
            <w:tcW w:type="dxa" w:w="4320"/>
            <w:tcMar>
              <w:top w:w="90" w:type="dxa"/>
              <w:start w:w="110" w:type="dxa"/>
              <w:bottom w:w="90" w:type="dxa"/>
              <w:end w:w="110" w:type="dxa"/>
            </w:tcMar>
            <w:vAlign w:val="center"/>
          </w:tcPr>
          <w:p>
            <w:pPr>
              <w:spacing w:after="0" w:line="245" w:lineRule="auto"/>
              <w:jc w:val="left"/>
            </w:pPr>
            <w:r>
              <w:rPr>
                <w:rFonts w:ascii="Arial" w:hAnsi="Arial"/>
                <w:b w:val="0"/>
                <w:color w:val="000000"/>
                <w:sz w:val="18"/>
              </w:rPr>
              <w:t>My tests change which task ID and context ID the wrapper selects from one ordered response stream. They test tuple continuity, not cross-client context ownership.</w:t>
            </w:r>
          </w:p>
        </w:tc>
      </w:tr>
      <w:tr>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Interruption behavior</w:t>
            </w:r>
          </w:p>
        </w:tc>
        <w:tc>
          <w:tcPr>
            <w:tcW w:type="dxa" w:w="4248"/>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The paper finds authorization scope amplification, multi-hop identity loss, circular delegation deadlock, and no timeout from interrupted states.</w:t>
            </w:r>
          </w:p>
        </w:tc>
        <w:tc>
          <w:tcPr>
            <w:tcW w:type="dxa" w:w="4320"/>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My input-required fixture pauses the sequential plan, creates pending state, and causes a real continuation with the selected tuple. It does not test authorization credentials or circular delegation.</w:t>
            </w:r>
          </w:p>
        </w:tc>
      </w:tr>
      <w:tr>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Downstream influence</w:t>
            </w:r>
          </w:p>
        </w:tc>
        <w:tc>
          <w:tcPr>
            <w:tcW w:type="dxa" w:w="4248"/>
            <w:tcMar>
              <w:top w:w="90" w:type="dxa"/>
              <w:start w:w="110" w:type="dxa"/>
              <w:bottom w:w="90" w:type="dxa"/>
              <w:end w:w="110" w:type="dxa"/>
            </w:tcMar>
            <w:vAlign w:val="center"/>
          </w:tcPr>
          <w:p>
            <w:pPr>
              <w:spacing w:after="0" w:line="245" w:lineRule="auto"/>
              <w:jc w:val="left"/>
            </w:pPr>
            <w:r>
              <w:rPr>
                <w:rFonts w:ascii="Arial" w:hAnsi="Arial"/>
                <w:b w:val="0"/>
                <w:color w:val="000000"/>
                <w:sz w:val="18"/>
              </w:rPr>
              <w:t>The paper explains that false skill claims and fabricated artifacts can corrupt later multi-agent work.</w:t>
            </w:r>
          </w:p>
        </w:tc>
        <w:tc>
          <w:tcPr>
            <w:tcW w:type="dxa" w:w="4320"/>
            <w:tcMar>
              <w:top w:w="90" w:type="dxa"/>
              <w:start w:w="110" w:type="dxa"/>
              <w:bottom w:w="90" w:type="dxa"/>
              <w:end w:w="110" w:type="dxa"/>
            </w:tcMar>
            <w:vAlign w:val="center"/>
          </w:tcPr>
          <w:p>
            <w:pPr>
              <w:spacing w:after="0" w:line="245" w:lineRule="auto"/>
              <w:jc w:val="left"/>
            </w:pPr>
            <w:r>
              <w:rPr>
                <w:rFonts w:ascii="Arial" w:hAnsi="Arial"/>
                <w:b w:val="0"/>
                <w:color w:val="000000"/>
                <w:sz w:val="18"/>
              </w:rPr>
              <w:t>DO-2, DO-5, and DO-6 directly measure harmless external result text entering later agent requests, model responses, final synthesis, and new SQLite rows. DO-3 shows that declared dependencies can keep a later agent clean while final synthesis still includes the external result.</w:t>
            </w:r>
          </w:p>
        </w:tc>
      </w:tr>
      <w:tr>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Persistence result</w:t>
            </w:r>
          </w:p>
        </w:tc>
        <w:tc>
          <w:tcPr>
            <w:tcW w:type="dxa" w:w="4248"/>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The paper reasons about protocol consequences but does not run normal agents or inspect application databases.</w:t>
            </w:r>
          </w:p>
        </w:tc>
        <w:tc>
          <w:tcPr>
            <w:tcW w:type="dxa" w:w="4320"/>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My database evidence shows content persistence without overwriting a normal agent's own task and context IDs. This is a provenance finding, not proof of direct database ID replacement.</w:t>
            </w:r>
          </w:p>
        </w:tc>
      </w:tr>
      <w:tr>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Validation strength</w:t>
            </w:r>
          </w:p>
        </w:tc>
        <w:tc>
          <w:tcPr>
            <w:tcW w:type="dxa" w:w="4248"/>
            <w:tcMar>
              <w:top w:w="90" w:type="dxa"/>
              <w:start w:w="110" w:type="dxa"/>
              <w:bottom w:w="90" w:type="dxa"/>
              <w:end w:w="110" w:type="dxa"/>
            </w:tcMar>
            <w:vAlign w:val="center"/>
          </w:tcPr>
          <w:p>
            <w:pPr>
              <w:spacing w:after="0" w:line="245" w:lineRule="auto"/>
              <w:jc w:val="left"/>
            </w:pPr>
            <w:r>
              <w:rPr>
                <w:rFonts w:ascii="Arial" w:hAnsi="Arial"/>
                <w:b w:val="0"/>
                <w:color w:val="000000"/>
                <w:sz w:val="18"/>
              </w:rPr>
              <w:t>The paper validates FSM extraction against the TCP PSMBench proxy and reports 73.3 percent precision and 84.6 percent F1 for vulnerability analysis after expert review.</w:t>
            </w:r>
          </w:p>
        </w:tc>
        <w:tc>
          <w:tcPr>
            <w:tcW w:type="dxa" w:w="4320"/>
            <w:tcMar>
              <w:top w:w="90" w:type="dxa"/>
              <w:start w:w="110" w:type="dxa"/>
              <w:bottom w:w="90" w:type="dxa"/>
              <w:end w:w="110" w:type="dxa"/>
            </w:tcMar>
            <w:vAlign w:val="center"/>
          </w:tcPr>
          <w:p>
            <w:pPr>
              <w:spacing w:after="0" w:line="245" w:lineRule="auto"/>
              <w:jc w:val="left"/>
            </w:pPr>
            <w:r>
              <w:rPr>
                <w:rFonts w:ascii="Arial" w:hAnsi="Arial"/>
                <w:b w:val="0"/>
                <w:color w:val="000000"/>
                <w:sz w:val="18"/>
              </w:rPr>
              <w:t>My reports preserve concrete requests, streamed events, selected IDs, pending state, continuation handles, final output, and before-and-after database evidence. The retained runs are representative, not a statistical success rate.</w:t>
            </w:r>
          </w:p>
        </w:tc>
      </w:tr>
      <w:tr>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Main limitation</w:t>
            </w:r>
          </w:p>
        </w:tc>
        <w:tc>
          <w:tcPr>
            <w:tcW w:type="dxa" w:w="4248"/>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There is no A2A ground-truth FSM, only three of the eleven attacks are explained in full in the paper, and the findings are not reproduced in a functioning A2A deployment.</w:t>
            </w:r>
          </w:p>
        </w:tc>
        <w:tc>
          <w:tcPr>
            <w:tcW w:type="dxa" w:w="4320"/>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The current framework covers one SDK and small fixed plans. It lacks formal specification coverage, multiple clients, multi-hop credential delegation, concurrency, push notifications, and broad transport testing.</w:t>
            </w:r>
          </w:p>
        </w:tc>
      </w:tr>
    </w:tbl>
    <w:p>
      <w:pPr>
        <w:spacing w:after="0"/>
      </w:pPr>
    </w:p>
    <w:p>
      <w:pPr>
        <w:pStyle w:val="Heading1"/>
        <w:keepNext/>
        <w:spacing w:after="80" w:line="259" w:lineRule="auto"/>
      </w:pPr>
      <w:r>
        <w:rPr>
          <w:rFonts w:ascii="Arial" w:hAnsi="Arial"/>
          <w:b/>
          <w:color w:val="000000"/>
          <w:sz w:val="26"/>
        </w:rPr>
        <w:t>How the eleven findings relate to my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04"/>
        <w:gridCol w:w="3504"/>
        <w:gridCol w:w="3504"/>
      </w:tblGrid>
      <w:tr>
        <w:trPr>
          <w:tblHeader w:val="true"/>
        </w:trPr>
        <w:tc>
          <w:tcPr>
            <w:tcW w:type="dxa" w:w="2376"/>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A2ABreak finding</w:t>
            </w:r>
          </w:p>
        </w:tc>
        <w:tc>
          <w:tcPr>
            <w:tcW w:type="dxa" w:w="1944"/>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Overlap</w:t>
            </w:r>
          </w:p>
        </w:tc>
        <w:tc>
          <w:tcPr>
            <w:tcW w:type="dxa" w:w="6192"/>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Comparison with my experiments</w:t>
            </w:r>
          </w:p>
        </w:tc>
      </w:tr>
      <w:tr>
        <w:tc>
          <w:tcPr>
            <w:tcW w:type="dxa" w:w="2376"/>
            <w:tcMar>
              <w:top w:w="90" w:type="dxa"/>
              <w:start w:w="110" w:type="dxa"/>
              <w:bottom w:w="90" w:type="dxa"/>
              <w:end w:w="110" w:type="dxa"/>
            </w:tcMar>
            <w:vAlign w:val="center"/>
          </w:tcPr>
          <w:p>
            <w:pPr>
              <w:spacing w:after="0" w:line="245" w:lineRule="auto"/>
              <w:jc w:val="left"/>
            </w:pPr>
            <w:r>
              <w:rPr>
                <w:rFonts w:ascii="Arial" w:hAnsi="Arial"/>
                <w:b w:val="0"/>
                <w:color w:val="000000"/>
                <w:sz w:val="18"/>
              </w:rPr>
              <w:t>Unattested Skill Claims</w:t>
            </w:r>
          </w:p>
        </w:tc>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Small conceptual overlap</w:t>
            </w:r>
          </w:p>
        </w:tc>
        <w:tc>
          <w:tcPr>
            <w:tcW w:type="dxa" w:w="6192"/>
            <w:tcMar>
              <w:top w:w="90" w:type="dxa"/>
              <w:start w:w="110" w:type="dxa"/>
              <w:bottom w:w="90" w:type="dxa"/>
              <w:end w:w="110" w:type="dxa"/>
            </w:tcMar>
            <w:vAlign w:val="center"/>
          </w:tcPr>
          <w:p>
            <w:pPr>
              <w:spacing w:after="0" w:line="245" w:lineRule="auto"/>
              <w:jc w:val="left"/>
            </w:pPr>
            <w:r>
              <w:rPr>
                <w:rFonts w:ascii="Arial" w:hAnsi="Arial"/>
                <w:b w:val="0"/>
                <w:color w:val="000000"/>
                <w:sz w:val="18"/>
              </w:rPr>
              <w:t>My threat model lists Agent Card identity substitution as potential, but the tests deliberately select the local server. I have not tested deceptive skill claims or capability attestation.</w:t>
            </w:r>
          </w:p>
        </w:tc>
      </w:tr>
      <w:tr>
        <w:tc>
          <w:tcPr>
            <w:tcW w:type="dxa" w:w="237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JWS Key Trust Model Gap</w:t>
            </w:r>
          </w:p>
        </w:tc>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Not tested</w:t>
            </w:r>
          </w:p>
        </w:tc>
        <w:tc>
          <w:tcPr>
            <w:tcW w:type="dxa" w:w="61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My work has discussed authentication at a high level, but the live cases do not test Agent Card signature trust or key distribution.</w:t>
            </w:r>
          </w:p>
        </w:tc>
      </w:tr>
      <w:tr>
        <w:tc>
          <w:tcPr>
            <w:tcW w:type="dxa" w:w="2376"/>
            <w:tcMar>
              <w:top w:w="90" w:type="dxa"/>
              <w:start w:w="110" w:type="dxa"/>
              <w:bottom w:w="90" w:type="dxa"/>
              <w:end w:w="110" w:type="dxa"/>
            </w:tcMar>
            <w:vAlign w:val="center"/>
          </w:tcPr>
          <w:p>
            <w:pPr>
              <w:spacing w:after="0" w:line="245" w:lineRule="auto"/>
              <w:jc w:val="left"/>
            </w:pPr>
            <w:r>
              <w:rPr>
                <w:rFonts w:ascii="Arial" w:hAnsi="Arial"/>
                <w:b w:val="0"/>
                <w:color w:val="000000"/>
                <w:sz w:val="18"/>
              </w:rPr>
              <w:t>Cross-Client Context Injection</w:t>
            </w:r>
          </w:p>
        </w:tc>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Related but different</w:t>
            </w:r>
          </w:p>
        </w:tc>
        <w:tc>
          <w:tcPr>
            <w:tcW w:type="dxa" w:w="6192"/>
            <w:tcMar>
              <w:top w:w="90" w:type="dxa"/>
              <w:start w:w="110" w:type="dxa"/>
              <w:bottom w:w="90" w:type="dxa"/>
              <w:end w:w="110" w:type="dxa"/>
            </w:tcMar>
            <w:vAlign w:val="center"/>
          </w:tcPr>
          <w:p>
            <w:pPr>
              <w:spacing w:after="0" w:line="245" w:lineRule="auto"/>
              <w:jc w:val="left"/>
            </w:pPr>
            <w:r>
              <w:rPr>
                <w:rFonts w:ascii="Arial" w:hAnsi="Arial"/>
                <w:b w:val="0"/>
                <w:color w:val="000000"/>
                <w:sz w:val="18"/>
              </w:rPr>
              <w:t>Both works care about context IDs. A2ABreak tests missing ownership across clients. My tests examine whether one stream can change or split the task and context pair used by the host.</w:t>
            </w:r>
          </w:p>
        </w:tc>
      </w:tr>
      <w:tr>
        <w:tc>
          <w:tcPr>
            <w:tcW w:type="dxa" w:w="237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SSE Post-Revocation Leakage</w:t>
            </w:r>
          </w:p>
        </w:tc>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Not tested</w:t>
            </w:r>
          </w:p>
        </w:tc>
        <w:tc>
          <w:tcPr>
            <w:tcW w:type="dxa" w:w="61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My wrapper processes streaming events, but no experiment revokes authorization during an open stream.</w:t>
            </w:r>
          </w:p>
        </w:tc>
      </w:tr>
      <w:tr>
        <w:tc>
          <w:tcPr>
            <w:tcW w:type="dxa" w:w="2376"/>
            <w:tcMar>
              <w:top w:w="90" w:type="dxa"/>
              <w:start w:w="110" w:type="dxa"/>
              <w:bottom w:w="90" w:type="dxa"/>
              <w:end w:w="110" w:type="dxa"/>
            </w:tcMar>
            <w:vAlign w:val="center"/>
          </w:tcPr>
          <w:p>
            <w:pPr>
              <w:spacing w:after="0" w:line="245" w:lineRule="auto"/>
              <w:jc w:val="left"/>
            </w:pPr>
            <w:r>
              <w:rPr>
                <w:rFonts w:ascii="Arial" w:hAnsi="Arial"/>
                <w:b w:val="0"/>
                <w:color w:val="000000"/>
                <w:sz w:val="18"/>
              </w:rPr>
              <w:t>Artifact Chunk Integrity Gap</w:t>
            </w:r>
          </w:p>
        </w:tc>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Good extension</w:t>
            </w:r>
          </w:p>
        </w:tc>
        <w:tc>
          <w:tcPr>
            <w:tcW w:type="dxa" w:w="6192"/>
            <w:tcMar>
              <w:top w:w="90" w:type="dxa"/>
              <w:start w:w="110" w:type="dxa"/>
              <w:bottom w:w="90" w:type="dxa"/>
              <w:end w:w="110" w:type="dxa"/>
            </w:tcMar>
            <w:vAlign w:val="center"/>
          </w:tcPr>
          <w:p>
            <w:pPr>
              <w:spacing w:after="0" w:line="245" w:lineRule="auto"/>
              <w:jc w:val="left"/>
            </w:pPr>
            <w:r>
              <w:rPr>
                <w:rFonts w:ascii="Arial" w:hAnsi="Arial"/>
                <w:b w:val="0"/>
                <w:color w:val="000000"/>
                <w:sz w:val="18"/>
              </w:rPr>
              <w:t>My reports observe artifact updates, but I do not reorder, duplicate, omit, or verify chunks. This could be added with inert numbered canaries and expected hashes.</w:t>
            </w:r>
          </w:p>
        </w:tc>
      </w:tr>
      <w:tr>
        <w:tc>
          <w:tcPr>
            <w:tcW w:type="dxa" w:w="237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Concurrent Access TOCTOU</w:t>
            </w:r>
          </w:p>
        </w:tc>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Not tested</w:t>
            </w:r>
          </w:p>
        </w:tc>
        <w:tc>
          <w:tcPr>
            <w:tcW w:type="dxa" w:w="61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The retained experiments run sequentially. They do not create two clients or simultaneous operations against the same task or context.</w:t>
            </w:r>
          </w:p>
        </w:tc>
      </w:tr>
      <w:tr>
        <w:tc>
          <w:tcPr>
            <w:tcW w:type="dxa" w:w="2376"/>
            <w:tcMar>
              <w:top w:w="90" w:type="dxa"/>
              <w:start w:w="110" w:type="dxa"/>
              <w:bottom w:w="90" w:type="dxa"/>
              <w:end w:w="110" w:type="dxa"/>
            </w:tcMar>
            <w:vAlign w:val="center"/>
          </w:tcPr>
          <w:p>
            <w:pPr>
              <w:spacing w:after="0" w:line="245" w:lineRule="auto"/>
              <w:jc w:val="left"/>
            </w:pPr>
            <w:r>
              <w:rPr>
                <w:rFonts w:ascii="Arial" w:hAnsi="Arial"/>
                <w:b w:val="0"/>
                <w:color w:val="000000"/>
                <w:sz w:val="18"/>
              </w:rPr>
              <w:t>Unverified Webhook URL</w:t>
            </w:r>
          </w:p>
        </w:tc>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Outside current scope</w:t>
            </w:r>
          </w:p>
        </w:tc>
        <w:tc>
          <w:tcPr>
            <w:tcW w:type="dxa" w:w="6192"/>
            <w:tcMar>
              <w:top w:w="90" w:type="dxa"/>
              <w:start w:w="110" w:type="dxa"/>
              <w:bottom w:w="90" w:type="dxa"/>
              <w:end w:w="110" w:type="dxa"/>
            </w:tcMar>
            <w:vAlign w:val="center"/>
          </w:tcPr>
          <w:p>
            <w:pPr>
              <w:spacing w:after="0" w:line="245" w:lineRule="auto"/>
              <w:jc w:val="left"/>
            </w:pPr>
            <w:r>
              <w:rPr>
                <w:rFonts w:ascii="Arial" w:hAnsi="Arial"/>
                <w:b w:val="0"/>
                <w:color w:val="000000"/>
                <w:sz w:val="18"/>
              </w:rPr>
              <w:t>The framework does not use push-notification webhooks in these experiments.</w:t>
            </w:r>
          </w:p>
        </w:tc>
      </w:tr>
      <w:tr>
        <w:tc>
          <w:tcPr>
            <w:tcW w:type="dxa" w:w="237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Auth Scope Amplification</w:t>
            </w:r>
          </w:p>
        </w:tc>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Same stage but different data</w:t>
            </w:r>
          </w:p>
        </w:tc>
        <w:tc>
          <w:tcPr>
            <w:tcW w:type="dxa" w:w="61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My server uses input-required state and plain canary text. It does not request credentials, change OAuth scopes, or test authorization-required state.</w:t>
            </w:r>
          </w:p>
        </w:tc>
      </w:tr>
      <w:tr>
        <w:tc>
          <w:tcPr>
            <w:tcW w:type="dxa" w:w="2376"/>
            <w:tcMar>
              <w:top w:w="90" w:type="dxa"/>
              <w:start w:w="110" w:type="dxa"/>
              <w:bottom w:w="90" w:type="dxa"/>
              <w:end w:w="110" w:type="dxa"/>
            </w:tcMar>
            <w:vAlign w:val="center"/>
          </w:tcPr>
          <w:p>
            <w:pPr>
              <w:spacing w:after="0" w:line="245" w:lineRule="auto"/>
              <w:jc w:val="left"/>
            </w:pPr>
            <w:r>
              <w:rPr>
                <w:rFonts w:ascii="Arial" w:hAnsi="Arial"/>
                <w:b w:val="0"/>
                <w:color w:val="000000"/>
                <w:sz w:val="18"/>
              </w:rPr>
              <w:t>Multi-Hop Identity Loss</w:t>
            </w:r>
          </w:p>
        </w:tc>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Partial architectural overlap</w:t>
            </w:r>
          </w:p>
        </w:tc>
        <w:tc>
          <w:tcPr>
            <w:tcW w:type="dxa" w:w="6192"/>
            <w:tcMar>
              <w:top w:w="90" w:type="dxa"/>
              <w:start w:w="110" w:type="dxa"/>
              <w:bottom w:w="90" w:type="dxa"/>
              <w:end w:w="110" w:type="dxa"/>
            </w:tcMar>
            <w:vAlign w:val="center"/>
          </w:tcPr>
          <w:p>
            <w:pPr>
              <w:spacing w:after="0" w:line="245" w:lineRule="auto"/>
              <w:jc w:val="left"/>
            </w:pPr>
            <w:r>
              <w:rPr>
                <w:rFonts w:ascii="Arial" w:hAnsi="Arial"/>
                <w:b w:val="0"/>
                <w:color w:val="000000"/>
                <w:sz w:val="18"/>
              </w:rPr>
              <w:t>My plan has several agents and passes results between steps, but it does not forward credentials or preserve an original principal through a delegation chain.</w:t>
            </w:r>
          </w:p>
        </w:tc>
      </w:tr>
      <w:tr>
        <w:tc>
          <w:tcPr>
            <w:tcW w:type="dxa" w:w="237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Circular Delegation Deadlock</w:t>
            </w:r>
          </w:p>
        </w:tc>
        <w:tc>
          <w:tcPr>
            <w:tcW w:type="dxa" w:w="1944"/>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Not tested</w:t>
            </w:r>
          </w:p>
        </w:tc>
        <w:tc>
          <w:tcPr>
            <w:tcW w:type="dxa" w:w="61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The fixed plans are acyclic. No agent delegates back to an earlier agent or creates a protocol loop.</w:t>
            </w:r>
          </w:p>
        </w:tc>
      </w:tr>
      <w:tr>
        <w:tc>
          <w:tcPr>
            <w:tcW w:type="dxa" w:w="2376"/>
            <w:tcMar>
              <w:top w:w="90" w:type="dxa"/>
              <w:start w:w="110" w:type="dxa"/>
              <w:bottom w:w="90" w:type="dxa"/>
              <w:end w:w="110" w:type="dxa"/>
            </w:tcMar>
            <w:vAlign w:val="center"/>
          </w:tcPr>
          <w:p>
            <w:pPr>
              <w:spacing w:after="0" w:line="245" w:lineRule="auto"/>
              <w:jc w:val="left"/>
            </w:pPr>
            <w:r>
              <w:rPr>
                <w:rFonts w:ascii="Arial" w:hAnsi="Arial"/>
                <w:b w:val="0"/>
                <w:color w:val="000000"/>
                <w:sz w:val="18"/>
              </w:rPr>
              <w:t>No Timeout from Interrupted States</w:t>
            </w:r>
          </w:p>
        </w:tc>
        <w:tc>
          <w:tcPr>
            <w:tcW w:type="dxa" w:w="1944"/>
            <w:tcMar>
              <w:top w:w="90" w:type="dxa"/>
              <w:start w:w="110" w:type="dxa"/>
              <w:bottom w:w="90" w:type="dxa"/>
              <w:end w:w="110" w:type="dxa"/>
            </w:tcMar>
            <w:vAlign w:val="center"/>
          </w:tcPr>
          <w:p>
            <w:pPr>
              <w:spacing w:after="0" w:line="245" w:lineRule="auto"/>
              <w:jc w:val="left"/>
            </w:pPr>
            <w:r>
              <w:rPr>
                <w:rFonts w:ascii="Arial" w:hAnsi="Arial"/>
                <w:b w:val="0"/>
                <w:color w:val="000000"/>
                <w:sz w:val="18"/>
              </w:rPr>
              <w:t>Strongest direct overlap</w:t>
            </w:r>
          </w:p>
        </w:tc>
        <w:tc>
          <w:tcPr>
            <w:tcW w:type="dxa" w:w="6192"/>
            <w:tcMar>
              <w:top w:w="90" w:type="dxa"/>
              <w:start w:w="110" w:type="dxa"/>
              <w:bottom w:w="90" w:type="dxa"/>
              <w:end w:w="110" w:type="dxa"/>
            </w:tcMar>
            <w:vAlign w:val="center"/>
          </w:tcPr>
          <w:p>
            <w:pPr>
              <w:spacing w:after="0" w:line="245" w:lineRule="auto"/>
              <w:jc w:val="left"/>
            </w:pPr>
            <w:r>
              <w:rPr>
                <w:rFonts w:ascii="Arial" w:hAnsi="Arial"/>
                <w:b w:val="0"/>
                <w:color w:val="000000"/>
                <w:sz w:val="18"/>
              </w:rPr>
              <w:t>My pending input-required step can block the sequential plan. I have demonstrated the pause and continuation path, but I have not yet measured timeout enforcement or bounded recovery.</w:t>
            </w:r>
          </w:p>
        </w:tc>
      </w:tr>
    </w:tbl>
    <w:p>
      <w:pPr>
        <w:spacing w:after="0"/>
      </w:pPr>
    </w:p>
    <w:p>
      <w:pPr>
        <w:pStyle w:val="Heading1"/>
        <w:keepNext/>
        <w:spacing w:after="80" w:line="259" w:lineRule="auto"/>
      </w:pPr>
      <w:r>
        <w:rPr>
          <w:rFonts w:ascii="Arial" w:hAnsi="Arial"/>
          <w:b/>
          <w:color w:val="000000"/>
          <w:sz w:val="26"/>
        </w:rPr>
        <w:t>What I should add next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04"/>
        <w:gridCol w:w="3504"/>
        <w:gridCol w:w="3504"/>
      </w:tblGrid>
      <w:tr>
        <w:trPr>
          <w:tblHeader w:val="true"/>
        </w:trPr>
        <w:tc>
          <w:tcPr>
            <w:tcW w:type="dxa" w:w="792"/>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Order</w:t>
            </w:r>
          </w:p>
        </w:tc>
        <w:tc>
          <w:tcPr>
            <w:tcW w:type="dxa" w:w="3096"/>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Addition</w:t>
            </w:r>
          </w:p>
        </w:tc>
        <w:tc>
          <w:tcPr>
            <w:tcW w:type="dxa" w:w="6623"/>
            <w:shd w:fill="D9E2F3"/>
            <w:tcMar>
              <w:top w:w="110" w:type="dxa"/>
              <w:start w:w="110" w:type="dxa"/>
              <w:bottom w:w="110" w:type="dxa"/>
              <w:end w:w="110" w:type="dxa"/>
            </w:tcMar>
            <w:vAlign w:val="center"/>
          </w:tcPr>
          <w:p>
            <w:pPr>
              <w:spacing w:after="0" w:line="240" w:lineRule="auto"/>
              <w:jc w:val="left"/>
            </w:pPr>
            <w:r>
              <w:rPr>
                <w:rFonts w:ascii="Arial" w:hAnsi="Arial"/>
                <w:b/>
                <w:color w:val="000000"/>
                <w:sz w:val="19"/>
              </w:rPr>
              <w:t>Why it improves the research</w:t>
            </w:r>
          </w:p>
        </w:tc>
      </w:tr>
      <w:tr>
        <w:tc>
          <w:tcPr>
            <w:tcW w:type="dxa" w:w="792"/>
            <w:tcMar>
              <w:top w:w="90" w:type="dxa"/>
              <w:start w:w="110" w:type="dxa"/>
              <w:bottom w:w="90" w:type="dxa"/>
              <w:end w:w="110" w:type="dxa"/>
            </w:tcMar>
            <w:vAlign w:val="center"/>
          </w:tcPr>
          <w:p>
            <w:pPr>
              <w:spacing w:after="0" w:line="245" w:lineRule="auto"/>
              <w:jc w:val="left"/>
            </w:pPr>
            <w:r>
              <w:rPr>
                <w:rFonts w:ascii="Arial" w:hAnsi="Arial"/>
                <w:b w:val="0"/>
                <w:color w:val="000000"/>
                <w:sz w:val="18"/>
              </w:rPr>
              <w:t>1</w:t>
            </w:r>
          </w:p>
        </w:tc>
        <w:tc>
          <w:tcPr>
            <w:tcW w:type="dxa" w:w="3096"/>
            <w:tcMar>
              <w:top w:w="90" w:type="dxa"/>
              <w:start w:w="110" w:type="dxa"/>
              <w:bottom w:w="90" w:type="dxa"/>
              <w:end w:w="110" w:type="dxa"/>
            </w:tcMar>
            <w:vAlign w:val="center"/>
          </w:tcPr>
          <w:p>
            <w:pPr>
              <w:spacing w:after="0" w:line="245" w:lineRule="auto"/>
              <w:jc w:val="left"/>
            </w:pPr>
            <w:r>
              <w:rPr>
                <w:rFonts w:ascii="Arial" w:hAnsi="Arial"/>
                <w:b w:val="0"/>
                <w:color w:val="000000"/>
                <w:sz w:val="18"/>
              </w:rPr>
              <w:t>Prove the classification of EA-A3 and TM-1 and TM-2</w:t>
            </w:r>
          </w:p>
        </w:tc>
        <w:tc>
          <w:tcPr>
            <w:tcW w:type="dxa" w:w="6623"/>
            <w:tcMar>
              <w:top w:w="90" w:type="dxa"/>
              <w:start w:w="110" w:type="dxa"/>
              <w:bottom w:w="90" w:type="dxa"/>
              <w:end w:w="110" w:type="dxa"/>
            </w:tcMar>
            <w:vAlign w:val="center"/>
          </w:tcPr>
          <w:p>
            <w:pPr>
              <w:spacing w:after="0" w:line="245" w:lineRule="auto"/>
              <w:jc w:val="left"/>
            </w:pPr>
            <w:r>
              <w:rPr>
                <w:rFonts w:ascii="Arial" w:hAnsi="Arial"/>
                <w:b w:val="0"/>
                <w:color w:val="000000"/>
                <w:sz w:val="18"/>
              </w:rPr>
              <w:t>Create a trace table that maps every emitted event and ID change to the exact A2A specification rule. State clearly whether each step is compliant, ambiguous, or noncompliant. This decides whether the contribution is a protocol flaw, an implementation robustness flaw, or both.</w:t>
            </w:r>
          </w:p>
        </w:tc>
      </w:tr>
      <w:tr>
        <w:tc>
          <w:tcPr>
            <w:tcW w:type="dxa" w:w="7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2</w:t>
            </w:r>
          </w:p>
        </w:tc>
        <w:tc>
          <w:tcPr>
            <w:tcW w:type="dxa" w:w="309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Reframe the project as executable validation</w:t>
            </w:r>
          </w:p>
        </w:tc>
        <w:tc>
          <w:tcPr>
            <w:tcW w:type="dxa" w:w="6623"/>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Present the framework as an empirical A2A security testbed that complements formal specification analysis. Emphasize real streaming, host state, continuation requests, model behavior, synthesis, and database evidence.</w:t>
            </w:r>
          </w:p>
        </w:tc>
      </w:tr>
      <w:tr>
        <w:tc>
          <w:tcPr>
            <w:tcW w:type="dxa" w:w="792"/>
            <w:tcMar>
              <w:top w:w="90" w:type="dxa"/>
              <w:start w:w="110" w:type="dxa"/>
              <w:bottom w:w="90" w:type="dxa"/>
              <w:end w:w="110" w:type="dxa"/>
            </w:tcMar>
            <w:vAlign w:val="center"/>
          </w:tcPr>
          <w:p>
            <w:pPr>
              <w:spacing w:after="0" w:line="245" w:lineRule="auto"/>
              <w:jc w:val="left"/>
            </w:pPr>
            <w:r>
              <w:rPr>
                <w:rFonts w:ascii="Arial" w:hAnsi="Arial"/>
                <w:b w:val="0"/>
                <w:color w:val="000000"/>
                <w:sz w:val="18"/>
              </w:rPr>
              <w:t>3</w:t>
            </w:r>
          </w:p>
        </w:tc>
        <w:tc>
          <w:tcPr>
            <w:tcW w:type="dxa" w:w="3096"/>
            <w:tcMar>
              <w:top w:w="90" w:type="dxa"/>
              <w:start w:w="110" w:type="dxa"/>
              <w:bottom w:w="90" w:type="dxa"/>
              <w:end w:w="110" w:type="dxa"/>
            </w:tcMar>
            <w:vAlign w:val="center"/>
          </w:tcPr>
          <w:p>
            <w:pPr>
              <w:spacing w:after="0" w:line="245" w:lineRule="auto"/>
              <w:jc w:val="left"/>
            </w:pPr>
            <w:r>
              <w:rPr>
                <w:rFonts w:ascii="Arial" w:hAnsi="Arial"/>
                <w:b w:val="0"/>
                <w:color w:val="000000"/>
                <w:sz w:val="18"/>
              </w:rPr>
              <w:t>Reproduce the paper's cross-client context injection</w:t>
            </w:r>
          </w:p>
        </w:tc>
        <w:tc>
          <w:tcPr>
            <w:tcW w:type="dxa" w:w="6623"/>
            <w:tcMar>
              <w:top w:w="90" w:type="dxa"/>
              <w:start w:w="110" w:type="dxa"/>
              <w:bottom w:w="90" w:type="dxa"/>
              <w:end w:w="110" w:type="dxa"/>
            </w:tcMar>
            <w:vAlign w:val="center"/>
          </w:tcPr>
          <w:p>
            <w:pPr>
              <w:spacing w:after="0" w:line="245" w:lineRule="auto"/>
              <w:jc w:val="left"/>
            </w:pPr>
            <w:r>
              <w:rPr>
                <w:rFonts w:ascii="Arial" w:hAnsi="Arial"/>
                <w:b w:val="0"/>
                <w:color w:val="000000"/>
                <w:sz w:val="18"/>
              </w:rPr>
              <w:t>Add two harmless clients with separate canaries. Let Client B submit a new task using Client A's context ID, then measure whether state is read, changed, or isolated. Keep task ownership and context ownership as separate measurements.</w:t>
            </w:r>
          </w:p>
        </w:tc>
      </w:tr>
      <w:tr>
        <w:tc>
          <w:tcPr>
            <w:tcW w:type="dxa" w:w="7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4</w:t>
            </w:r>
          </w:p>
        </w:tc>
        <w:tc>
          <w:tcPr>
            <w:tcW w:type="dxa" w:w="309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Add state and transition coverage</w:t>
            </w:r>
          </w:p>
        </w:tc>
        <w:tc>
          <w:tcPr>
            <w:tcW w:type="dxa" w:w="6623"/>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Map the test runner to A2ABreak's public 37-state and 76-transition FSM. Report which states and transitions each experiment covers. This gives the testbed a formal coverage target instead of only a list of scenarios.</w:t>
            </w:r>
          </w:p>
        </w:tc>
      </w:tr>
      <w:tr>
        <w:tc>
          <w:tcPr>
            <w:tcW w:type="dxa" w:w="792"/>
            <w:tcMar>
              <w:top w:w="90" w:type="dxa"/>
              <w:start w:w="110" w:type="dxa"/>
              <w:bottom w:w="90" w:type="dxa"/>
              <w:end w:w="110" w:type="dxa"/>
            </w:tcMar>
            <w:vAlign w:val="center"/>
          </w:tcPr>
          <w:p>
            <w:pPr>
              <w:spacing w:after="0" w:line="245" w:lineRule="auto"/>
              <w:jc w:val="left"/>
            </w:pPr>
            <w:r>
              <w:rPr>
                <w:rFonts w:ascii="Arial" w:hAnsi="Arial"/>
                <w:b w:val="0"/>
                <w:color w:val="000000"/>
                <w:sz w:val="18"/>
              </w:rPr>
              <w:t>5</w:t>
            </w:r>
          </w:p>
        </w:tc>
        <w:tc>
          <w:tcPr>
            <w:tcW w:type="dxa" w:w="3096"/>
            <w:tcMar>
              <w:top w:w="90" w:type="dxa"/>
              <w:start w:w="110" w:type="dxa"/>
              <w:bottom w:w="90" w:type="dxa"/>
              <w:end w:w="110" w:type="dxa"/>
            </w:tcMar>
            <w:vAlign w:val="center"/>
          </w:tcPr>
          <w:p>
            <w:pPr>
              <w:spacing w:after="0" w:line="245" w:lineRule="auto"/>
              <w:jc w:val="left"/>
            </w:pPr>
            <w:r>
              <w:rPr>
                <w:rFonts w:ascii="Arial" w:hAnsi="Arial"/>
                <w:b w:val="0"/>
                <w:color w:val="000000"/>
                <w:sz w:val="18"/>
              </w:rPr>
              <w:t>Add the nearest safe protocol cases</w:t>
            </w:r>
          </w:p>
        </w:tc>
        <w:tc>
          <w:tcPr>
            <w:tcW w:type="dxa" w:w="6623"/>
            <w:tcMar>
              <w:top w:w="90" w:type="dxa"/>
              <w:start w:w="110" w:type="dxa"/>
              <w:bottom w:w="90" w:type="dxa"/>
              <w:end w:w="110" w:type="dxa"/>
            </w:tcMar>
            <w:vAlign w:val="center"/>
          </w:tcPr>
          <w:p>
            <w:pPr>
              <w:spacing w:after="0" w:line="245" w:lineRule="auto"/>
              <w:jc w:val="left"/>
            </w:pPr>
            <w:r>
              <w:rPr>
                <w:rFonts w:ascii="Arial" w:hAnsi="Arial"/>
                <w:b w:val="0"/>
                <w:color w:val="000000"/>
                <w:sz w:val="18"/>
              </w:rPr>
              <w:t>The most practical additions are interrupted-state timeout, artifact chunk integrity, and a bounded circular-delegation test. Use inert canaries, strict local limits, and a maximum step count.</w:t>
            </w:r>
          </w:p>
        </w:tc>
      </w:tr>
      <w:tr>
        <w:tc>
          <w:tcPr>
            <w:tcW w:type="dxa" w:w="7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6</w:t>
            </w:r>
          </w:p>
        </w:tc>
        <w:tc>
          <w:tcPr>
            <w:tcW w:type="dxa" w:w="309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Evaluate defenses, not only attacks</w:t>
            </w:r>
          </w:p>
        </w:tc>
        <w:tc>
          <w:tcPr>
            <w:tcW w:type="dxa" w:w="6623"/>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Implement atomic tuple pinning, per-stream task binding, context ownership checks, provenance labels, synthesis inclusion policy, and interrupted-state timeouts. Rerun the same controls and attacks to show which layer blocks each effect.</w:t>
            </w:r>
          </w:p>
        </w:tc>
      </w:tr>
      <w:tr>
        <w:tc>
          <w:tcPr>
            <w:tcW w:type="dxa" w:w="792"/>
            <w:tcMar>
              <w:top w:w="90" w:type="dxa"/>
              <w:start w:w="110" w:type="dxa"/>
              <w:bottom w:w="90" w:type="dxa"/>
              <w:end w:w="110" w:type="dxa"/>
            </w:tcMar>
            <w:vAlign w:val="center"/>
          </w:tcPr>
          <w:p>
            <w:pPr>
              <w:spacing w:after="0" w:line="245" w:lineRule="auto"/>
              <w:jc w:val="left"/>
            </w:pPr>
            <w:r>
              <w:rPr>
                <w:rFonts w:ascii="Arial" w:hAnsi="Arial"/>
                <w:b w:val="0"/>
                <w:color w:val="000000"/>
                <w:sz w:val="18"/>
              </w:rPr>
              <w:t>7</w:t>
            </w:r>
          </w:p>
        </w:tc>
        <w:tc>
          <w:tcPr>
            <w:tcW w:type="dxa" w:w="3096"/>
            <w:tcMar>
              <w:top w:w="90" w:type="dxa"/>
              <w:start w:w="110" w:type="dxa"/>
              <w:bottom w:w="90" w:type="dxa"/>
              <w:end w:w="110" w:type="dxa"/>
            </w:tcMar>
            <w:vAlign w:val="center"/>
          </w:tcPr>
          <w:p>
            <w:pPr>
              <w:spacing w:after="0" w:line="245" w:lineRule="auto"/>
              <w:jc w:val="left"/>
            </w:pPr>
            <w:r>
              <w:rPr>
                <w:rFonts w:ascii="Arial" w:hAnsi="Arial"/>
                <w:b w:val="0"/>
                <w:color w:val="000000"/>
                <w:sz w:val="18"/>
              </w:rPr>
              <w:t>Test more than one implementation path</w:t>
            </w:r>
          </w:p>
        </w:tc>
        <w:tc>
          <w:tcPr>
            <w:tcW w:type="dxa" w:w="6623"/>
            <w:tcMar>
              <w:top w:w="90" w:type="dxa"/>
              <w:start w:w="110" w:type="dxa"/>
              <w:bottom w:w="90" w:type="dxa"/>
              <w:end w:w="110" w:type="dxa"/>
            </w:tcMar>
            <w:vAlign w:val="center"/>
          </w:tcPr>
          <w:p>
            <w:pPr>
              <w:spacing w:after="0" w:line="245" w:lineRule="auto"/>
              <w:jc w:val="left"/>
            </w:pPr>
            <w:r>
              <w:rPr>
                <w:rFonts w:ascii="Arial" w:hAnsi="Arial"/>
                <w:b w:val="0"/>
                <w:color w:val="000000"/>
                <w:sz w:val="18"/>
              </w:rPr>
              <w:t>If practical, compare SDK versions or another A2A implementation and transport binding. A result found in several independent implementations is stronger than one wrapper-specific result.</w:t>
            </w:r>
          </w:p>
        </w:tc>
      </w:tr>
      <w:tr>
        <w:tc>
          <w:tcPr>
            <w:tcW w:type="dxa" w:w="792"/>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8</w:t>
            </w:r>
          </w:p>
        </w:tc>
        <w:tc>
          <w:tcPr>
            <w:tcW w:type="dxa" w:w="3096"/>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Package the testbed for reproducibility</w:t>
            </w:r>
          </w:p>
        </w:tc>
        <w:tc>
          <w:tcPr>
            <w:tcW w:type="dxa" w:w="6623"/>
            <w:tcMar>
              <w:top w:w="90" w:type="dxa"/>
              <w:start w:w="110" w:type="dxa"/>
              <w:bottom w:w="90" w:type="dxa"/>
              <w:end w:w="110" w:type="dxa"/>
            </w:tcMar>
            <w:shd w:fill="F7F9FC"/>
            <w:vAlign w:val="center"/>
          </w:tcPr>
          <w:p>
            <w:pPr>
              <w:spacing w:after="0" w:line="245" w:lineRule="auto"/>
              <w:jc w:val="left"/>
            </w:pPr>
            <w:r>
              <w:rPr>
                <w:rFonts w:ascii="Arial" w:hAnsi="Arial"/>
                <w:b w:val="0"/>
                <w:color w:val="000000"/>
                <w:sz w:val="18"/>
              </w:rPr>
              <w:t>Publish fixed scenarios, expected traces, exact versions, control and attack pairs, database snapshots, and a machine-readable result schema. This directly answers the simulation-framework gap identified in A2ABreak's future work.</w:t>
            </w:r>
          </w:p>
        </w:tc>
      </w:tr>
    </w:tbl>
    <w:p>
      <w:pPr>
        <w:spacing w:after="0"/>
      </w:pPr>
    </w:p>
    <w:p>
      <w:pPr>
        <w:pStyle w:val="Heading1"/>
        <w:keepNext/>
        <w:spacing w:after="80" w:line="259" w:lineRule="auto"/>
      </w:pPr>
      <w:r>
        <w:rPr>
          <w:rFonts w:ascii="Arial" w:hAnsi="Arial"/>
          <w:b/>
          <w:color w:val="000000"/>
          <w:sz w:val="26"/>
        </w:rPr>
        <w:t>Suggested updated framing</w:t>
      </w:r>
    </w:p>
    <w:p>
      <w:pPr>
        <w:spacing w:after="80" w:line="259" w:lineRule="auto"/>
      </w:pPr>
      <w:r>
        <w:rPr>
          <w:rFonts w:ascii="Arial" w:hAnsi="Arial"/>
          <w:b w:val="0"/>
          <w:color w:val="000000"/>
          <w:sz w:val="21"/>
        </w:rPr>
        <w:t>My project provides executable, implementation-level validation of A2A task and context continuity and downstream provenance behavior in a functioning multi-agent testbed. It complements A2ABreak's specification-level FSM analysis by showing how a real wrapper, host orchestrator, delegated agents, synthesis step, and SQLite stores respond to controlled protocol event sequences.</w:t>
      </w:r>
    </w:p>
    <w:p>
      <w:pPr>
        <w:spacing w:after="80" w:line="259" w:lineRule="auto"/>
      </w:pPr>
      <w:r>
        <w:rPr>
          <w:rFonts w:ascii="Arial" w:hAnsi="Arial"/>
          <w:b/>
          <w:color w:val="000000"/>
          <w:sz w:val="21"/>
        </w:rPr>
        <w:t xml:space="preserve">Claim carefully: </w:t>
      </w:r>
      <w:r>
        <w:rPr>
          <w:rFonts w:ascii="Arial" w:hAnsi="Arial"/>
          <w:b w:val="0"/>
          <w:color w:val="000000"/>
          <w:sz w:val="21"/>
        </w:rPr>
        <w:t>I should not claim the first systematic A2A security analysis. A2ABreak now occupies that position. I can instead claim a narrow empirical study of tuple continuity and content provenance, subject to a fresh literature review and a completed specification-compliance map.</w:t>
      </w:r>
    </w:p>
    <w:p>
      <w:pPr>
        <w:pStyle w:val="Heading1"/>
        <w:keepNext/>
        <w:spacing w:after="80" w:line="259" w:lineRule="auto"/>
      </w:pPr>
      <w:r>
        <w:rPr>
          <w:rFonts w:ascii="Arial" w:hAnsi="Arial"/>
          <w:b/>
          <w:color w:val="000000"/>
          <w:sz w:val="26"/>
        </w:rPr>
        <w:t>Sources used</w:t>
      </w:r>
    </w:p>
    <w:p>
      <w:pPr>
        <w:pStyle w:val="ListNumber"/>
        <w:spacing w:after="80" w:line="259" w:lineRule="auto"/>
      </w:pPr>
      <w:r>
        <w:rPr>
          <w:rFonts w:ascii="Arial" w:hAnsi="Arial"/>
          <w:b w:val="0"/>
          <w:color w:val="000000"/>
          <w:sz w:val="20"/>
        </w:rPr>
        <w:t>Lotfi, A., Rahman, M. M., Karim, I., and Bertino, E. A2ABreak Systematic Security Analysis of the A2A Protocol. arXiv 2609.10871v1, 9 September 2026. The paper states that it was accepted at ACSAC 2026.</w:t>
      </w:r>
    </w:p>
    <w:p>
      <w:pPr>
        <w:pStyle w:val="ListNumber"/>
        <w:spacing w:after="80" w:line="259" w:lineRule="auto"/>
      </w:pPr>
      <w:r>
        <w:rPr>
          <w:rFonts w:ascii="Arial" w:hAnsi="Arial"/>
          <w:b w:val="0"/>
          <w:color w:val="000000"/>
          <w:sz w:val="20"/>
        </w:rPr>
        <w:t>Current framework evidence: README.md, THREAT_MODEL.md, logs/README.md, and the retained EA-A3, TM-1, TM-2, DO-2, DO-3, DO-5, and DO-6 JSON reports in logs/audit.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My Gap 3 Experiments and A2ABreak</dc:title>
  <dc:subject>A simple comparison of A2ABreak and the current A2A Gap 3 experiments</dc:subject>
  <dc:creator>David</dc:creator>
  <cp:keywords>A2A, A2ABreak, Gap 3, task ID, context ID, security</cp:keywords>
  <dc:description>generated by python-docx</dc:description>
  <cp:lastModifiedBy/>
  <cp:revision>1</cp:revision>
  <dcterms:created xsi:type="dcterms:W3CDTF">2013-12-23T23:15:00Z</dcterms:created>
  <dcterms:modified xsi:type="dcterms:W3CDTF">2013-12-23T23:15:00Z</dcterms:modified>
  <cp:category/>
</cp:coreProperties>
</file>