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Bdr>
          <w:top w:val="nil"/>
          <w:left w:val="nil"/>
          <w:bottom w:val="nil"/>
          <w:right w:val="nil"/>
          <w:between w:val="nil"/>
        </w:pBdr>
      </w:pPr>
      <w:r>
        <w:t>A2ABreak and My Gap 3 Research</w:t>
      </w:r>
    </w:p>
    <w:p>
      <w:r>
        <w:rPr>
          <w:b/>
        </w:rPr>
        <w:t xml:space="preserve">Main conclusion  </w:t>
      </w:r>
      <w:r>
        <w:t>A2ABreak does not make my research outdated. The paper finds broad security gaps in the written A2A protocol. My project tests a smaller set of those concerns in a running framework and records what the SDK, wrapper, orchestrator, agents, synthesis step, and databases actually do.</w:t>
      </w:r>
    </w:p>
    <w:p>
      <w:pPr>
        <w:pStyle w:val="Heading1"/>
      </w:pPr>
      <w:r>
        <w:t>What A2ABreak studied</w:t>
      </w:r>
    </w:p>
    <w:p>
      <w:pPr>
        <w:pStyle w:val="ListBullet"/>
        <w:spacing w:after="50"/>
        <w:ind w:left="317" w:hanging="173"/>
      </w:pPr>
      <w:r>
        <w:t>The researchers converted the A2A specification into a finite-state model with 37 states and 76 transitions.</w:t>
      </w:r>
    </w:p>
    <w:p>
      <w:pPr>
        <w:pStyle w:val="ListBullet"/>
        <w:spacing w:after="50"/>
        <w:ind w:left="317" w:hanging="173"/>
      </w:pPr>
      <w:r>
        <w:t>They reviewed 929 specification statements and reported eleven security weaknesses across the A2A lifecycle.</w:t>
      </w:r>
    </w:p>
    <w:p>
      <w:pPr>
        <w:pStyle w:val="ListBullet"/>
        <w:spacing w:after="50"/>
        <w:ind w:left="317" w:hanging="173"/>
      </w:pPr>
      <w:r>
        <w:t>Their threat model assumes an authenticated A2A participant can take advantage of missing or unclear protocol protections.</w:t>
      </w:r>
    </w:p>
    <w:p>
      <w:pPr>
        <w:pStyle w:val="ListBullet"/>
        <w:spacing w:after="50"/>
        <w:ind w:left="317" w:hanging="173"/>
      </w:pPr>
      <w:r>
        <w:t>The work is mainly specification analysis. It does not reproduce every finding in a complete multi-agent deployment.</w:t>
      </w:r>
    </w:p>
    <w:p>
      <w:pPr>
        <w:pStyle w:val="Heading1"/>
      </w:pPr>
      <w:r>
        <w:t>Main groups of findings</w:t>
      </w:r>
    </w:p>
    <w:tbl>
      <w:tblPr>
        <w:tblW w:type="auto" w:w="0"/>
        <w:jc w:val="center"/>
        <w:tblLayout w:type="fixed"/>
        <w:tblLook w:firstColumn="1" w:firstRow="1" w:lastColumn="0" w:lastRow="0" w:noHBand="0" w:noVBand="1" w:val="04A0"/>
      </w:tblPr>
      <w:tblGrid>
        <w:gridCol w:w="5184"/>
        <w:gridCol w:w="5184"/>
      </w:tblGrid>
      <w:tr>
        <w:trPr>
          <w:tblHeader w:val="true"/>
          <w:cantSplit/>
        </w:trPr>
        <w:tc>
          <w:tcPr>
            <w:tcW w:type="dxa" w:w="23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D9E3F3"/>
          </w:tcPr>
          <w:p>
            <w:pPr>
              <w:spacing w:before="0" w:after="0" w:line="245" w:lineRule="auto"/>
            </w:pPr>
            <w:r/>
            <w:r>
              <w:rPr>
                <w:rFonts w:ascii="Arial" w:hAnsi="Arial"/>
                <w:b/>
                <w:color w:val="000000"/>
                <w:sz w:val="19"/>
              </w:rPr>
              <w:t>Area</w:t>
            </w:r>
          </w:p>
        </w:tc>
        <w:tc>
          <w:tcPr>
            <w:tcW w:type="dxa" w:w="79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D9E3F3"/>
          </w:tcPr>
          <w:p>
            <w:pPr>
              <w:spacing w:before="0" w:after="0" w:line="245" w:lineRule="auto"/>
            </w:pPr>
            <w:r/>
            <w:r>
              <w:rPr>
                <w:rFonts w:ascii="Arial" w:hAnsi="Arial"/>
                <w:b/>
                <w:color w:val="000000"/>
                <w:sz w:val="19"/>
              </w:rPr>
              <w:t>What the paper questions</w:t>
            </w:r>
          </w:p>
        </w:tc>
      </w:tr>
      <w:tr>
        <w:trPr>
          <w:cantSplit/>
        </w:trPr>
        <w:tc>
          <w:tcPr>
            <w:tcW w:type="dxa" w:w="23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Discovery and trust</w:t>
            </w:r>
          </w:p>
        </w:tc>
        <w:tc>
          <w:tcPr>
            <w:tcW w:type="dxa" w:w="79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Unattested skill claims and uncertainty about trusting Agent Card signing keys.</w:t>
            </w:r>
          </w:p>
        </w:tc>
      </w:tr>
      <w:tr>
        <w:trPr>
          <w:cantSplit/>
        </w:trPr>
        <w:tc>
          <w:tcPr>
            <w:tcW w:type="dxa" w:w="23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Context and clients</w:t>
            </w:r>
          </w:p>
        </w:tc>
        <w:tc>
          <w:tcPr>
            <w:tcW w:type="dxa" w:w="79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Cross-client context injection and weak ownership checks for context identifiers.</w:t>
            </w:r>
          </w:p>
        </w:tc>
      </w:tr>
      <w:tr>
        <w:trPr>
          <w:cantSplit/>
        </w:trPr>
        <w:tc>
          <w:tcPr>
            <w:tcW w:type="dxa" w:w="23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Streams and artifacts</w:t>
            </w:r>
          </w:p>
        </w:tc>
        <w:tc>
          <w:tcPr>
            <w:tcW w:type="dxa" w:w="79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Continued streaming after revocation, incomplete artifact chunk protection, and concurrent state changes.</w:t>
            </w:r>
          </w:p>
        </w:tc>
      </w:tr>
      <w:tr>
        <w:trPr>
          <w:cantSplit/>
        </w:trPr>
        <w:tc>
          <w:tcPr>
            <w:tcW w:type="dxa" w:w="23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Notifications and authority</w:t>
            </w:r>
          </w:p>
        </w:tc>
        <w:tc>
          <w:tcPr>
            <w:tcW w:type="dxa" w:w="79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Unverified webhook addresses and permission growth when interrupted work resumes.</w:t>
            </w:r>
          </w:p>
        </w:tc>
      </w:tr>
      <w:tr>
        <w:trPr>
          <w:cantSplit/>
        </w:trPr>
        <w:tc>
          <w:tcPr>
            <w:tcW w:type="dxa" w:w="23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Delegation and interruption</w:t>
            </w:r>
          </w:p>
        </w:tc>
        <w:tc>
          <w:tcPr>
            <w:tcW w:type="dxa" w:w="79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Lost requester identity, circular delegation, and interrupted tasks with no required timeout.</w:t>
            </w:r>
          </w:p>
        </w:tc>
      </w:tr>
    </w:tbl>
    <w:p>
      <w:pPr>
        <w:spacing w:after="0"/>
      </w:pPr>
    </w:p>
    <w:p>
      <w:pPr>
        <w:pStyle w:val="Heading1"/>
      </w:pPr>
      <w:r>
        <w:t>How it compares with my work</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D9E3F3"/>
          </w:tcPr>
          <w:p>
            <w:pPr>
              <w:spacing w:before="0" w:after="0" w:line="245" w:lineRule="auto"/>
            </w:pPr>
            <w:r/>
            <w:r>
              <w:rPr>
                <w:rFonts w:ascii="Arial" w:hAnsi="Arial"/>
                <w:b/>
                <w:color w:val="000000"/>
                <w:sz w:val="19"/>
              </w:rPr>
              <w:t>Topic</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D9E3F3"/>
          </w:tcPr>
          <w:p>
            <w:pPr>
              <w:spacing w:before="0" w:after="0" w:line="245" w:lineRule="auto"/>
            </w:pPr>
            <w:r/>
            <w:r>
              <w:rPr>
                <w:rFonts w:ascii="Arial" w:hAnsi="Arial"/>
                <w:b/>
                <w:color w:val="000000"/>
                <w:sz w:val="19"/>
              </w:rPr>
              <w:t>A2ABreak</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D9E3F3"/>
          </w:tcPr>
          <w:p>
            <w:pPr>
              <w:spacing w:before="0" w:after="0" w:line="245" w:lineRule="auto"/>
            </w:pPr>
            <w:r/>
            <w:r>
              <w:rPr>
                <w:rFonts w:ascii="Arial" w:hAnsi="Arial"/>
                <w:b/>
                <w:color w:val="000000"/>
                <w:sz w:val="19"/>
              </w:rPr>
              <w:t>My current project</w:t>
            </w:r>
          </w:p>
        </w:tc>
      </w:tr>
      <w:tr>
        <w:trPr>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Research level</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Broad analysis of the A2A specification.</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Focused experiments in a live local implementation.</w:t>
            </w:r>
          </w:p>
        </w:tc>
      </w:tr>
      <w:tr>
        <w:trPr>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Main evidence</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A formal state model and expert review of proposed gaps.</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Requests, streamed events, selected IDs, agent output, synthesis, and SQLite records.</w:t>
            </w:r>
          </w:p>
        </w:tc>
      </w:tr>
      <w:tr>
        <w:trPr>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Closest overlap</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Context ownership and interrupted-task protections.</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Task and context tuple selection during streaming and continuation.</w:t>
            </w:r>
          </w:p>
        </w:tc>
      </w:tr>
      <w:tr>
        <w:trPr>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Context difference</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One client reuses another client's context ID.</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One response stream changes or splits the task ID and context ID pair.</w:t>
            </w:r>
          </w:p>
        </w:tc>
      </w:tr>
      <w:tr>
        <w:trPr>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Downstream effects</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Explains how false claims or artifacts could affect later work.</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5" w:lineRule="auto"/>
            </w:pPr>
            <w:r/>
            <w:r>
              <w:rPr>
                <w:rFonts w:ascii="Arial" w:hAnsi="Arial"/>
                <w:b w:val="0"/>
                <w:color w:val="000000"/>
                <w:sz w:val="19"/>
              </w:rPr>
              <w:t>Measures whether harmless canaries reach later agents, synthesis, and storage.</w:t>
            </w:r>
          </w:p>
        </w:tc>
      </w:tr>
      <w:tr>
        <w:trPr>
          <w:cantSplit/>
        </w:trPr>
        <w:tc>
          <w:tcPr>
            <w:tcW w:type="dxa" w:w="180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Main limitation</w:t>
            </w:r>
          </w:p>
        </w:tc>
        <w:tc>
          <w:tcPr>
            <w:tcW w:type="dxa" w:w="4176"/>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Most findings are not reproduced in a running A2A system.</w:t>
            </w:r>
          </w:p>
        </w:tc>
        <w:tc>
          <w:tcPr>
            <w:tcW w:type="dxa" w:w="4320"/>
            <w:vAlign w:val="center"/>
            <w:tcMar>
              <w:top w:w="80" w:type="dxa"/>
              <w:start w:w="95" w:type="dxa"/>
              <w:bottom w:w="80" w:type="dxa"/>
              <w:end w:w="95" w:type="dxa"/>
            </w:tcMar>
            <w:tcBorders>
              <w:top w:val="single" w:sz="6" w:color="D9D9D9"/>
              <w:left w:val="single" w:sz="6" w:color="D9D9D9"/>
              <w:bottom w:val="single" w:sz="6" w:color="D9D9D9"/>
              <w:right w:val="single" w:sz="6" w:color="D9D9D9"/>
              <w:insideH w:val="single" w:sz="6" w:color="D9D9D9"/>
              <w:insideV w:val="single" w:sz="6" w:color="D9D9D9"/>
            </w:tcBorders>
            <w:shd w:fill="F5F7FA"/>
          </w:tcPr>
          <w:p>
            <w:pPr>
              <w:spacing w:before="0" w:after="0" w:line="245" w:lineRule="auto"/>
            </w:pPr>
            <w:r/>
            <w:r>
              <w:rPr>
                <w:rFonts w:ascii="Arial" w:hAnsi="Arial"/>
                <w:b w:val="0"/>
                <w:color w:val="000000"/>
                <w:sz w:val="19"/>
              </w:rPr>
              <w:t>My malicious sequences still need to be mapped to exact A2A compliance rules.</w:t>
            </w:r>
          </w:p>
        </w:tc>
      </w:tr>
    </w:tbl>
    <w:p>
      <w:pPr>
        <w:spacing w:after="0"/>
      </w:pPr>
    </w:p>
    <w:p>
      <w:pPr>
        <w:pStyle w:val="Heading1"/>
      </w:pPr>
      <w:r>
        <w:t>What my work can still contribute</w:t>
      </w:r>
    </w:p>
    <w:p>
      <w:r>
        <w:t>My useful research position is implementation-level validation. A2ABreak explains what the protocol may fail to require. My framework can show how an actual host behaves when those boundaries are tested. My reports also follow harmless canary text into later prompts, model responses, final synthesis, and database storage.</w:t>
      </w:r>
    </w:p>
    <w:p>
      <w:r>
        <w:rPr>
          <w:b/>
        </w:rPr>
        <w:t xml:space="preserve">Important distinction  </w:t>
      </w:r>
      <w:r>
        <w:t>If EA-A3, TM-1, or TM-2 uses a response that the A2A specification allows, the result may support a protocol-level gap. If the response violates the specification, the result still shows an implementation or conformance-checking weakness.</w:t>
      </w:r>
    </w:p>
    <w:p>
      <w:pPr>
        <w:pStyle w:val="Heading1"/>
      </w:pPr>
      <w:r>
        <w:t>Best next steps</w:t>
      </w:r>
    </w:p>
    <w:p>
      <w:pPr>
        <w:pStyle w:val="ListNumber"/>
        <w:spacing w:after="60"/>
        <w:ind w:left="403" w:hanging="259"/>
      </w:pPr>
      <w:r>
        <w:rPr>
          <w:b/>
        </w:rPr>
        <w:t xml:space="preserve">Map the current tests to the specification. </w:t>
      </w:r>
      <w:r>
        <w:t>Label every emitted event as compliant, noncompliant, or unclear.</w:t>
      </w:r>
    </w:p>
    <w:p>
      <w:pPr>
        <w:pStyle w:val="ListNumber"/>
        <w:spacing w:after="60"/>
        <w:ind w:left="403" w:hanging="259"/>
      </w:pPr>
      <w:r>
        <w:rPr>
          <w:b/>
        </w:rPr>
        <w:t xml:space="preserve">Reproduce cross-client context injection separately. </w:t>
      </w:r>
      <w:r>
        <w:t>Use two harmless clients so context ownership is not confused with tuple mixing.</w:t>
      </w:r>
    </w:p>
    <w:p>
      <w:pPr>
        <w:pStyle w:val="ListNumber"/>
        <w:spacing w:after="60"/>
        <w:ind w:left="403" w:hanging="259"/>
      </w:pPr>
      <w:r>
        <w:rPr>
          <w:b/>
        </w:rPr>
        <w:t xml:space="preserve">Add coverage measurements. </w:t>
      </w:r>
      <w:r>
        <w:t>Report which A2ABreak states and transitions each experiment reaches.</w:t>
      </w:r>
    </w:p>
    <w:p>
      <w:pPr>
        <w:pStyle w:val="ListNumber"/>
        <w:spacing w:after="60"/>
        <w:ind w:left="403" w:hanging="259"/>
      </w:pPr>
      <w:r>
        <w:rPr>
          <w:b/>
        </w:rPr>
        <w:t xml:space="preserve">Test defenses. </w:t>
      </w:r>
      <w:r>
        <w:t>Compare results before and after tuple pinning, ownership checks, provenance labels, and interrupted-state timeouts.</w:t>
      </w:r>
    </w:p>
    <w:p>
      <w:pPr>
        <w:pStyle w:val="ListNumber"/>
        <w:spacing w:after="60"/>
        <w:ind w:left="403" w:hanging="259"/>
      </w:pPr>
      <w:r>
        <w:rPr>
          <w:b/>
        </w:rPr>
        <w:t xml:space="preserve">Improve reproducibility. </w:t>
      </w:r>
      <w:r>
        <w:t>Keep fixed inputs, expected traces, software versions, controls, reports, and database snapshots together.</w:t>
      </w:r>
    </w:p>
    <w:p>
      <w:pPr>
        <w:pStyle w:val="Heading1"/>
      </w:pPr>
      <w:r>
        <w:t>Suggested research position</w:t>
      </w:r>
    </w:p>
    <w:p>
      <w:pPr>
        <w:spacing w:after="120"/>
      </w:pPr>
      <w:r>
        <w:rPr>
          <w:i/>
        </w:rPr>
        <w:t>My project provides implementation-level validation of A2A task and context continuity, interrupted-task continuation, and downstream result provenance in a functioning multi-agent testbed. It complements A2ABreak's specification-level analysis with evidence from a real wrapper, host orchestrator, delegated agents, synthesis step, and SQLite stores.</w:t>
      </w:r>
    </w:p>
    <w:p>
      <w:pPr>
        <w:pStyle w:val="Heading1"/>
      </w:pPr>
      <w:r>
        <w:t>Sources</w:t>
      </w:r>
    </w:p>
    <w:p>
      <w:pPr>
        <w:spacing w:after="40"/>
      </w:pPr>
      <w:r>
        <w:t>1. Lotfi, A., Rahman, M. M., Karim, I., and Bertino, E. A2ABreak Systematic Security Analysis of the A2A Protocol. arXiv 2609.10871v1, 9 September 2026.</w:t>
      </w:r>
    </w:p>
    <w:p>
      <w:pPr>
        <w:spacing w:after="0"/>
      </w:pPr>
      <w:r>
        <w:t>2. Current framework evidence from README.md, THREAT_MODEL.md, logs/README.md, and the retained EA-A3, TM-1, TM-2, DO-2, DO-3, DO-5, and DO-6 reports.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A2ABreak and My Gap 3 Research</dc:title>
  <dc:subject>A concise comparison of A2ABreak and the current Gap 3 experiments</dc:subject>
  <dc:creator>David</dc:creator>
  <cp:keywords/>
  <dc:description>generated by python-docx</dc:description>
  <cp:lastModifiedBy/>
  <cp:revision>1</cp:revision>
  <dcterms:created xsi:type="dcterms:W3CDTF">2013-12-23T23:15:00Z</dcterms:created>
  <dcterms:modified xsi:type="dcterms:W3CDTF">2013-12-23T23:15:00Z</dcterms:modified>
  <cp:category/>
</cp:coreProperties>
</file>