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>
          <w:rFonts w:ascii="Malgun Gothic" w:cs="Malgun Gothic" w:eastAsia="Malgun Gothic" w:hAnsi="Malgun Gothic"/>
        </w:rPr>
      </w:pPr>
      <w:bookmarkStart w:colFirst="0" w:colLast="0" w:name="_m13yztnyfzf" w:id="0"/>
      <w:bookmarkEnd w:id="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 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버튼을 버튼처럼 보이게 만들기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]</w:t>
      </w:r>
    </w:p>
    <w:p w:rsidR="00000000" w:rsidDel="00000000" w:rsidP="00000000" w:rsidRDefault="00000000" w:rsidRPr="00000000" w14:paraId="0000000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모양과 색상을 사용하여 요소를 버튼처럼 보이게 만든다.</w:t>
      </w:r>
    </w:p>
    <w:p w:rsidR="00000000" w:rsidDel="00000000" w:rsidP="00000000" w:rsidRDefault="00000000" w:rsidRPr="00000000" w14:paraId="00000003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667500" cy="3629025"/>
                  <wp:effectExtent b="0" l="0" r="0" t="0"/>
                  <wp:docPr id="2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0" cy="3629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shd w:fill="e0e0e0" w:val="clear"/>
                <w:rtl w:val="0"/>
              </w:rPr>
              <w:t xml:space="preserve">Groupon - 로그인 폼 기본 동작에 초점.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rPr>
          <w:rFonts w:ascii="Malgun Gothic" w:cs="Malgun Gothic" w:eastAsia="Malgun Gothic" w:hAnsi="Malgun Gothic"/>
        </w:rPr>
      </w:pPr>
      <w:bookmarkStart w:colFirst="0" w:colLast="0" w:name="_ys3ut8mik7ib" w:id="1"/>
      <w:bookmarkEnd w:id="1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 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터치영역을 감안하여 크기를 지정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]</w:t>
      </w:r>
    </w:p>
    <w:p w:rsidR="00000000" w:rsidDel="00000000" w:rsidP="00000000" w:rsidRDefault="00000000" w:rsidRPr="00000000" w14:paraId="0000000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핑거 패드의 평균 길이는 10-14mm이며 손가락 끝은 8-10mm이며 10mm x 10mm가 최소 터치 대상 크기로 적합</w:t>
      </w:r>
    </w:p>
    <w:tbl>
      <w:tblPr>
        <w:tblStyle w:val="Table2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048000" cy="3714750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714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shd w:fill="e0e0e0" w:val="clear"/>
                <w:rtl w:val="0"/>
              </w:rPr>
              <w:t xml:space="preserve">Image Source: </w:t>
            </w:r>
            <w:hyperlink r:id="rId8">
              <w:r w:rsidDel="00000000" w:rsidR="00000000" w:rsidRPr="00000000">
                <w:rPr>
                  <w:rFonts w:ascii="Malgun Gothic" w:cs="Malgun Gothic" w:eastAsia="Malgun Gothic" w:hAnsi="Malgun Gothic"/>
                  <w:color w:val="2196f3"/>
                  <w:sz w:val="20"/>
                  <w:szCs w:val="20"/>
                  <w:u w:val="single"/>
                  <w:shd w:fill="e0e0e0" w:val="clear"/>
                  <w:rtl w:val="0"/>
                </w:rPr>
                <w:t xml:space="preserve">uxmag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rPr>
          <w:rFonts w:ascii="Malgun Gothic" w:cs="Malgun Gothic" w:eastAsia="Malgun Gothic" w:hAnsi="Malgun Gothic"/>
        </w:rPr>
      </w:pPr>
      <w:bookmarkStart w:colFirst="0" w:colLast="0" w:name="_vrckz5nhsryv" w:id="2"/>
      <w:bookmarkEnd w:id="2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 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위치 및 순서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]</w:t>
      </w:r>
    </w:p>
    <w:p w:rsidR="00000000" w:rsidDel="00000000" w:rsidP="00000000" w:rsidRDefault="00000000" w:rsidRPr="00000000" w14:paraId="0000000F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사용자가 쉽게 찾을 수 있거나 볼 것으로 예상되는 위치에 버튼을 배치한다.</w:t>
      </w:r>
    </w:p>
    <w:p w:rsidR="00000000" w:rsidDel="00000000" w:rsidP="00000000" w:rsidRDefault="00000000" w:rsidRPr="00000000" w14:paraId="0000001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잠재적으로 파괴적인 동작을 수행하는 버튼에 빨간색을 사용하고, 오른쪽에 배치한다.</w:t>
      </w:r>
    </w:p>
    <w:tbl>
      <w:tblPr>
        <w:tblStyle w:val="Table3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762500" cy="2381250"/>
                  <wp:effectExtent b="0" l="0" r="0" t="0"/>
                  <wp:docPr id="1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2381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shd w:fill="e0e0e0" w:val="clear"/>
                <w:rtl w:val="0"/>
              </w:rPr>
              <w:t xml:space="preserve">"삭제"버튼은 "취소"버튼 보다 두드러지도록 한다.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rPr>
          <w:rFonts w:ascii="Malgun Gothic" w:cs="Malgun Gothic" w:eastAsia="Malgun Gothic" w:hAnsi="Malgun Gothic"/>
        </w:rPr>
      </w:pPr>
      <w:bookmarkStart w:colFirst="0" w:colLast="0" w:name="_e2h7ato7bwue" w:id="3"/>
      <w:bookmarkEnd w:id="3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 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클릭 유도 문안 (CTA - Call To Action)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]</w:t>
      </w:r>
    </w:p>
    <w:p w:rsidR="00000000" w:rsidDel="00000000" w:rsidP="00000000" w:rsidRDefault="00000000" w:rsidRPr="00000000" w14:paraId="0000001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가장 중요한 버튼은 정말 중요하게 만든다.</w:t>
      </w:r>
    </w:p>
    <w:tbl>
      <w:tblPr>
        <w:tblStyle w:val="Table4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6381750" cy="3086100"/>
                  <wp:effectExtent b="0" l="0" r="0" t="0"/>
                  <wp:docPr id="2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rPr>
          <w:rFonts w:ascii="Malgun Gothic" w:cs="Malgun Gothic" w:eastAsia="Malgun Gothic" w:hAnsi="Malgun Gothic"/>
        </w:rPr>
      </w:pPr>
      <w:bookmarkStart w:colFirst="0" w:colLast="0" w:name="_tvn33vi7ynii" w:id="4"/>
      <w:bookmarkEnd w:id="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 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버튼 모양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]</w:t>
      </w:r>
    </w:p>
    <w:p w:rsidR="00000000" w:rsidDel="00000000" w:rsidP="00000000" w:rsidRDefault="00000000" w:rsidRPr="00000000" w14:paraId="0000001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연구에 따르면 둥근 모서리는 정보 처리를 향상시키고 요소 중심에 눈을 끈다는 것으로 알려져있다.</w:t>
      </w:r>
    </w:p>
    <w:tbl>
      <w:tblPr>
        <w:tblStyle w:val="Table5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5600700" cy="1487850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18193" l="0" r="0" t="12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1487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rPr>
          <w:rFonts w:ascii="Malgun Gothic" w:cs="Malgun Gothic" w:eastAsia="Malgun Gothic" w:hAnsi="Malgun Gothic"/>
        </w:rPr>
      </w:pPr>
      <w:bookmarkStart w:colFirst="0" w:colLast="0" w:name="_r9c5gwol1jsh" w:id="5"/>
      <w:bookmarkEnd w:id="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 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버튼 유형 및 동작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]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8"/>
          <w:szCs w:val="28"/>
          <w:rtl w:val="0"/>
        </w:rPr>
        <w:t xml:space="preserve"> Raised Button</w:t>
      </w:r>
    </w:p>
    <w:p w:rsidR="00000000" w:rsidDel="00000000" w:rsidP="00000000" w:rsidRDefault="00000000" w:rsidRPr="00000000" w14:paraId="00000023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일반적으로 들어올려진 직사각형 버튼을 말하는 것으로 넓은 공간에서 기능을 강조하고자 할 때 사용. </w:t>
      </w:r>
    </w:p>
    <w:p w:rsidR="00000000" w:rsidDel="00000000" w:rsidP="00000000" w:rsidRDefault="00000000" w:rsidRPr="00000000" w14:paraId="00000024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rtl w:val="0"/>
        </w:rPr>
        <w:t xml:space="preserve">용도: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Raised button을 사용하여 다양한 콘텐츠가 많은 레이아웃에서 더 많은 주목을 받게할 수 있다.</w:t>
      </w:r>
    </w:p>
    <w:p w:rsidR="00000000" w:rsidDel="00000000" w:rsidP="00000000" w:rsidRDefault="00000000" w:rsidRPr="00000000" w14:paraId="0000002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6842850" cy="4864100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850" cy="486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rtl w:val="0"/>
        </w:rPr>
        <w:t xml:space="preserve">동작 :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마우스를 올렸을때, 포커스가 걸렸을 때, 누르는 순간, 비활성화 되어 있을때 등의 효과를 적용한다.</w:t>
      </w:r>
    </w:p>
    <w:p w:rsidR="00000000" w:rsidDel="00000000" w:rsidP="00000000" w:rsidRDefault="00000000" w:rsidRPr="00000000" w14:paraId="0000002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360250" cy="4762500"/>
                  <wp:effectExtent b="0" l="0" r="0" t="0"/>
                  <wp:docPr id="1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20425" r="2283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250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676525" cy="4762500"/>
                  <wp:effectExtent b="0" l="0" r="0" t="0"/>
                  <wp:docPr id="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    </w:t>
      </w:r>
    </w:p>
    <w:p w:rsidR="00000000" w:rsidDel="00000000" w:rsidP="00000000" w:rsidRDefault="00000000" w:rsidRPr="00000000" w14:paraId="0000002F">
      <w:pPr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8"/>
          <w:szCs w:val="28"/>
          <w:rtl w:val="0"/>
        </w:rPr>
        <w:t xml:space="preserve"> Flat Button</w:t>
      </w:r>
    </w:p>
    <w:p w:rsidR="00000000" w:rsidDel="00000000" w:rsidP="00000000" w:rsidRDefault="00000000" w:rsidRPr="00000000" w14:paraId="0000003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Flat button은 들어 올리지 않지만 클릭했을 때 색을 채우는 식으로 효과를 줄 수 있다. . 플랫 버튼의 주요 이점은 간단한 디자인으로 주의를 산만하게 하지 않는다.</w:t>
      </w:r>
    </w:p>
    <w:p w:rsidR="00000000" w:rsidDel="00000000" w:rsidP="00000000" w:rsidRDefault="00000000" w:rsidRPr="00000000" w14:paraId="00000033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019550" cy="2857500"/>
                  <wp:effectExtent b="0" l="0" r="0" t="0"/>
                  <wp:docPr id="1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rtl w:val="0"/>
        </w:rPr>
        <w:t xml:space="preserve">용도 :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대화 상자-dialogs (대화 상자-dialogs 내용과 버튼 동작을 일체화하기 위해)</w:t>
      </w:r>
    </w:p>
    <w:p w:rsidR="00000000" w:rsidDel="00000000" w:rsidP="00000000" w:rsidRDefault="00000000" w:rsidRPr="00000000" w14:paraId="0000003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676525" cy="3295650"/>
                  <wp:effectExtent b="0" l="0" r="0" t="0"/>
                  <wp:docPr id="2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3295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rtl w:val="0"/>
        </w:rPr>
        <w:t xml:space="preserve">용도 :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toolbars에서</w:t>
      </w:r>
    </w:p>
    <w:p w:rsidR="00000000" w:rsidDel="00000000" w:rsidP="00000000" w:rsidRDefault="00000000" w:rsidRPr="00000000" w14:paraId="0000004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102463" cy="639938"/>
                  <wp:effectExtent b="0" l="0" r="0" t="0"/>
                  <wp:docPr id="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463" cy="639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</w:t>
            </w: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676525" cy="4762500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rtl w:val="0"/>
        </w:rPr>
        <w:t xml:space="preserve">동작 : </w:t>
      </w:r>
    </w:p>
    <w:p w:rsidR="00000000" w:rsidDel="00000000" w:rsidP="00000000" w:rsidRDefault="00000000" w:rsidRPr="00000000" w14:paraId="0000004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429000" cy="40005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400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676525" cy="476250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 </w:t>
      </w:r>
    </w:p>
    <w:p w:rsidR="00000000" w:rsidDel="00000000" w:rsidP="00000000" w:rsidRDefault="00000000" w:rsidRPr="00000000" w14:paraId="00000050">
      <w:pPr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8"/>
          <w:szCs w:val="28"/>
          <w:rtl w:val="0"/>
        </w:rPr>
        <w:t xml:space="preserve">Toggle Button</w:t>
      </w:r>
    </w:p>
    <w:p w:rsidR="00000000" w:rsidDel="00000000" w:rsidP="00000000" w:rsidRDefault="00000000" w:rsidRPr="00000000" w14:paraId="00000053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Toggle button을 사용하면 두 가지 이상의 상태 사이에서 설정을 변경할 수 있다.</w:t>
      </w:r>
    </w:p>
    <w:p w:rsidR="00000000" w:rsidDel="00000000" w:rsidP="00000000" w:rsidRDefault="00000000" w:rsidRPr="00000000" w14:paraId="0000005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721338" cy="2022757"/>
                  <wp:effectExtent b="0" l="0" r="0" t="0"/>
                  <wp:docPr id="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338" cy="20227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616687" cy="34337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687" cy="34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8"/>
          <w:szCs w:val="28"/>
          <w:rtl w:val="0"/>
        </w:rPr>
        <w:t xml:space="preserve">Ghost Button</w:t>
      </w:r>
    </w:p>
    <w:p w:rsidR="00000000" w:rsidDel="00000000" w:rsidP="00000000" w:rsidRDefault="00000000" w:rsidRPr="00000000" w14:paraId="0000005D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Ghost button은 직사각형과 같은 기본 모양 양식을 갖는 투명하고 빈 버튼. 내부 섹션은 일반 텍스트로 구성되지만 일반적으로 매우가는 선으로 경계가 지정된다.</w:t>
      </w:r>
    </w:p>
    <w:p w:rsidR="00000000" w:rsidDel="00000000" w:rsidP="00000000" w:rsidRDefault="00000000" w:rsidRPr="00000000" w14:paraId="0000005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762500" cy="47625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Ghost button을 기본 CTA로 사용하는 것은 대개 좋은 생각이 아니다. 부트스트랩 예제와 ghost button 다운로드 부트스트랩을 볼 수 있다. 부트스트랩의 메인 로고와 같은 모양으로 사용자를 혼란스럽게 할 수 있다.</w:t>
      </w:r>
    </w:p>
    <w:p w:rsidR="00000000" w:rsidDel="00000000" w:rsidP="00000000" w:rsidRDefault="00000000" w:rsidRPr="00000000" w14:paraId="0000006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7620000" cy="3438525"/>
                  <wp:effectExtent b="0" l="0" r="0" t="0"/>
                  <wp:docPr id="1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0" cy="3438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Ghost button은 기본 CTA와 경쟁하지 않아야 하므로 때문에 2차 또는 3차 콘텐츠에 가장 적합하다.</w:t>
      </w:r>
    </w:p>
    <w:p w:rsidR="00000000" w:rsidDel="00000000" w:rsidP="00000000" w:rsidRDefault="00000000" w:rsidRPr="00000000" w14:paraId="0000006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6572250" cy="3190875"/>
                  <wp:effectExtent b="0" l="0" r="0" t="0"/>
                  <wp:docPr id="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0" cy="3190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Purchase Now (CTA)은 메인 버튼이고 Take Tour는 보조 버튼이다.</w:t>
      </w:r>
    </w:p>
    <w:p w:rsidR="00000000" w:rsidDel="00000000" w:rsidP="00000000" w:rsidRDefault="00000000" w:rsidRPr="00000000" w14:paraId="0000006D">
      <w:pPr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6842850" cy="27178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850" cy="271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Accept는 메인 버튼이고 Go back은 보조 버튼이다.</w:t>
      </w:r>
    </w:p>
    <w:p w:rsidR="00000000" w:rsidDel="00000000" w:rsidP="00000000" w:rsidRDefault="00000000" w:rsidRPr="00000000" w14:paraId="00000072">
      <w:pPr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7620000" cy="2505075"/>
                  <wp:effectExtent b="0" l="0" r="0" t="0"/>
                  <wp:docPr id="9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0" cy="2505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8"/>
          <w:szCs w:val="28"/>
          <w:rtl w:val="0"/>
        </w:rPr>
        <w:t xml:space="preserve">Floating Action Button</w:t>
      </w:r>
    </w:p>
    <w:p w:rsidR="00000000" w:rsidDel="00000000" w:rsidP="00000000" w:rsidRDefault="00000000" w:rsidRPr="00000000" w14:paraId="0000007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Floating action button은 Google Material Design의 일부</w:t>
      </w:r>
    </w:p>
    <w:p w:rsidR="00000000" w:rsidDel="00000000" w:rsidP="00000000" w:rsidRDefault="00000000" w:rsidRPr="00000000" w14:paraId="0000007D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클릭 시-press에 잉크 반응을 일으키고 표시하는 원형 재료 버튼</w:t>
      </w:r>
    </w:p>
    <w:p w:rsidR="00000000" w:rsidDel="00000000" w:rsidP="00000000" w:rsidRDefault="00000000" w:rsidRPr="00000000" w14:paraId="0000007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5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06"/>
        <w:tblGridChange w:id="0">
          <w:tblGrid>
            <w:gridCol w:w="15706"/>
          </w:tblGrid>
        </w:tblGridChange>
      </w:tblGrid>
      <w:t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7620000" cy="57150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0" cy="571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pgSz w:h="11906" w:w="16838" w:orient="landscape"/>
      <w:pgMar w:bottom="566.9291338582677" w:top="566.9291338582677" w:left="566.9291338582677" w:right="566.9291338582677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Malgun Gothic"/>
  <w:font w:name="Verdan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8.png"/><Relationship Id="rId21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3.png"/><Relationship Id="rId25" Type="http://schemas.openxmlformats.org/officeDocument/2006/relationships/image" Target="media/image15.png"/><Relationship Id="rId28" Type="http://schemas.openxmlformats.org/officeDocument/2006/relationships/image" Target="media/image10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5.png"/><Relationship Id="rId8" Type="http://schemas.openxmlformats.org/officeDocument/2006/relationships/hyperlink" Target="https://uxmag.com/articles/excerpt-from-the-new-book-the-mobile-frontier" TargetMode="External"/><Relationship Id="rId11" Type="http://schemas.openxmlformats.org/officeDocument/2006/relationships/image" Target="media/image4.png"/><Relationship Id="rId10" Type="http://schemas.openxmlformats.org/officeDocument/2006/relationships/image" Target="media/image20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19" Type="http://schemas.openxmlformats.org/officeDocument/2006/relationships/image" Target="media/image7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