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4"/>
          <w:szCs w:val="34"/>
        </w:rPr>
        <w:t xml:space="preserve">Temperature Scaling Is Not Enough:</w:t>
      </w:r>
    </w:p>
    <w:p>
      <w:pPr>
        <w:spacing w:after="180"/>
        <w:jc w:val="center"/>
      </w:pPr>
      <w:r>
        <w:rPr>
          <w:rFonts w:ascii="Times New Roman" w:cs="Times New Roman" w:eastAsia="Times New Roman" w:hAnsi="Times New Roman"/>
          <w:b/>
          <w:bCs/>
          <w:sz w:val="34"/>
          <w:szCs w:val="34"/>
        </w:rPr>
        <w:t xml:space="preserve">Calibration Gaps Under Human Label Distributions</w:t>
      </w:r>
    </w:p>
    <w:p>
      <w:pPr>
        <w:spacing w:after="60"/>
        <w:jc w:val="center"/>
      </w:pPr>
      <w:r>
        <w:rPr>
          <w:sz w:val="22"/>
          <w:szCs w:val="22"/>
        </w:rPr>
        <w:t xml:space="preserve">Wisdom Dogah*†</w:t>
      </w:r>
    </w:p>
    <w:p>
      <w:pPr>
        <w:spacing w:after="40"/>
        <w:jc w:val="center"/>
      </w:pPr>
      <w:r>
        <w:rPr>
          <w:color w:val="555555"/>
          <w:sz w:val="18"/>
          <w:szCs w:val="18"/>
        </w:rPr>
        <w:t xml:space="preserve">June 2026</w:t>
      </w:r>
    </w:p>
    <w:p>
      <w:pPr>
        <w:spacing w:after="20"/>
        <w:jc w:val="center"/>
      </w:pPr>
      <w:r>
        <w:rPr>
          <w:i/>
          <w:iCs/>
          <w:color w:val="555555"/>
          <w:sz w:val="17"/>
          <w:szCs w:val="17"/>
        </w:rPr>
        <w:t xml:space="preserve">*University of Mines and Technology (UMaT), Tarkwa, Ghana.</w:t>
      </w:r>
    </w:p>
    <w:p>
      <w:pPr>
        <w:spacing w:after="40"/>
        <w:jc w:val="center"/>
      </w:pPr>
      <w:r>
        <w:rPr>
          <w:i/>
          <w:iCs/>
          <w:color w:val="555555"/>
          <w:sz w:val="17"/>
          <w:szCs w:val="17"/>
        </w:rPr>
        <w:t xml:space="preserve">†Correspondence: wisdom.dogah@traxia.ai.</w:t>
      </w:r>
    </w:p>
    <w:p>
      <w:pPr>
        <w:pBdr>
          <w:bottom w:val="single" w:color="333333" w:sz="6" w:space="4"/>
        </w:pBdr>
        <w:spacing w:after="200" w:before="60"/>
      </w:pPr>
    </w:p>
    <w:p>
      <w:pPr>
        <w:spacing w:after="100"/>
        <w:jc w:val="center"/>
      </w:pPr>
      <w:r>
        <w:rPr>
          <w:b/>
          <w:bCs/>
          <w:sz w:val="22"/>
          <w:szCs w:val="22"/>
        </w:rPr>
        <w:t xml:space="preserve">Abstract</w:t>
      </w:r>
    </w:p>
    <w:p>
      <w:pPr>
        <w:spacing w:after="160" w:line="240"/>
        <w:ind w:left="540" w:right="540"/>
        <w:jc w:val="both"/>
      </w:pPr>
      <w:r>
        <w:rPr>
          <w:sz w:val="19"/>
          <w:szCs w:val="19"/>
        </w:rPr>
        <w:t xml:space="preserve">Temperature scaling is the dominant post-hoc calibration method in modern deep learning. Its theoretical justification rests on an assumption that is rarely stated explicitly: that ground-truth labels are one-hot and deterministic. In practice, labels are frequently soft, crowd-sourced, or genuinely distributional, reflecting real disagreement among human annotators rather than annotation noise. We study whether temperature scaling retains its calibration properties when this assumption is violated, and whether any resulting degradation depends on model scale. Using CIFAR-10H and ChaosNLI, two publicly available datasets with human-annotated soft label distributions, we evaluate three model scales per modality under both hard one-hot and soft distributional label targets. Across all nine configurations we observe a positive soft-label calibration gap: temperature scaling calibrated on hard labels consistently underperforms an oracle calibrated directly on soft labels, with a Brier Score gap ranging from 0.002 to 0.134. The gap increases monotonically with model scale in the vision domain and on the SNLI-derived ChaosNLI split, and is substantially larger in the language domain (mean gap 0.079) than in the vision domain (mean gap 0.003). A scale-ordering anomaly on the MNLI-derived split reverses the expected trend; we attribute this to a task-difficulty confound arising from cross-domain evaluation. These findings suggest that calibration validation protocols built on majority-vote labels can systematically misstate model reliability in domains where label ambiguity is structural rather than incidental.</w:t>
      </w:r>
    </w:p>
    <w:p>
      <w:pPr>
        <w:spacing w:after="200"/>
        <w:ind w:left="540" w:right="540"/>
      </w:pPr>
      <w:r>
        <w:rPr>
          <w:b/>
          <w:bCs/>
          <w:i/>
          <w:iCs/>
          <w:sz w:val="19"/>
          <w:szCs w:val="19"/>
        </w:rPr>
        <w:t xml:space="preserve">Keywords: </w:t>
      </w:r>
      <w:r>
        <w:rPr>
          <w:i/>
          <w:iCs/>
          <w:sz w:val="19"/>
          <w:szCs w:val="19"/>
        </w:rPr>
        <w:t xml:space="preserve">calibration; temperature scaling; soft labels; label ambiguity; Expected Calibration Error; Brier Score; model scale; uncertainty quantification.</w:t>
      </w:r>
    </w:p>
    <w:p>
      <w:pPr>
        <w:pBdr>
          <w:bottom w:val="single" w:color="333333" w:sz="6" w:space="4"/>
        </w:pBdr>
        <w:spacing w:after="200" w:before="60"/>
      </w:pPr>
    </w:p>
    <w:p>
      <w:pPr>
        <w:pStyle w:val="Heading1"/>
        <w:spacing w:after="120" w:before="280"/>
      </w:pPr>
      <w:r>
        <w:rPr>
          <w:rFonts w:ascii="Times New Roman" w:cs="Times New Roman" w:eastAsia="Times New Roman" w:hAnsi="Times New Roman"/>
          <w:b/>
          <w:bCs/>
          <w:sz w:val="26"/>
          <w:szCs w:val="26"/>
        </w:rPr>
        <w:t xml:space="preserve">1.  Introduction</w:t>
      </w:r>
    </w:p>
    <w:p>
      <w:pPr>
        <w:spacing w:after="160" w:line="264"/>
        <w:jc w:val="both"/>
      </w:pPr>
      <w:r>
        <w:t xml:space="preserve">A probabilistic classifier is well-calibrated when its predicted confidence matches empirical accuracy: among all predictions assigned confidence </w:t>
      </w:r>
      <w:r>
        <w:rPr>
          <w:i/>
          <w:iCs/>
        </w:rPr>
        <w:t xml:space="preserve">p</w:t>
      </w:r>
      <w:r>
        <w:t xml:space="preserve">, approximately a fraction </w:t>
      </w:r>
      <w:r>
        <w:rPr>
          <w:i/>
          <w:iCs/>
        </w:rPr>
        <w:t xml:space="preserve">p</w:t>
      </w:r>
      <w:r>
        <w:t xml:space="preserve"> should be correct [5]. In safety-critical applications, a miscalibrated model that is confidently wrong is more dangerous than an uncertain model that correctly signals its own ignorance. The consequences of overconfident incorrect predictions are well documented in medical imaging, content moderation, and judicial risk assessment.</w:t>
      </w:r>
    </w:p>
    <w:p>
      <w:pPr>
        <w:spacing w:after="160" w:line="264"/>
        <w:jc w:val="both"/>
      </w:pPr>
      <w:r>
        <w:t xml:space="preserve">Temperature scaling [7] is the most widely deployed post-hoc calibration method for neural networks. A single scalar parameter </w:t>
      </w:r>
      <w:r>
        <w:rPr>
          <w:i/>
          <w:iCs/>
        </w:rPr>
        <w:t xml:space="preserve">T</w:t>
      </w:r>
      <w:r>
        <w:t xml:space="preserve"> is fit by minimizing negative log-likelihood on a validation set, and logits are divided by </w:t>
      </w:r>
      <w:r>
        <w:rPr>
          <w:i/>
          <w:iCs/>
        </w:rPr>
        <w:t xml:space="preserve">T</w:t>
      </w:r>
      <w:r>
        <w:t xml:space="preserve"> before the softmax at inference time. The method adds no parameters and requires no retraining, which accounts for its near-universal adoption. Its limitation, which we measure in this paper, is that its optimization target implicitly assumes ground-truth labels are one-hot and deterministic.</w:t>
      </w:r>
    </w:p>
    <w:p>
      <w:pPr>
        <w:spacing w:after="160" w:line="264"/>
        <w:jc w:val="both"/>
      </w:pPr>
      <w:r>
        <w:t xml:space="preserve">This assumption fails whenever a labeling task involves genuine human disagreement, such that the correct answer is not a single class but a distribution over plausible answers [1]. Two datasets make this disagreement explicit. CIFAR-10H [13] provides per-image soft label distributions for the CIFAR-10 test set, derived from a mean of 51 human annotations per image. ChaosNLI [10] provides 100 human judgments per instance for natural language inference examples that exhibit substantial semantic ambiguity. A model that assigns high confidence to a single class when human annotators are evenly split is not calibrated in any meaningful sense, even when its predicted class coincides with the majority vote.</w:t>
      </w:r>
    </w:p>
    <w:p>
      <w:pPr>
        <w:spacing w:after="160" w:line="264"/>
        <w:jc w:val="both"/>
      </w:pPr>
      <w:r>
        <w:t xml:space="preserve">We conduct a controlled measurement study to test whether temperature scaling, calibrated against hard one-hot labels, remains an effective calibration strategy when evaluated against soft, distributional targets, and whether any degradation scales with model capacity.</w:t>
      </w:r>
    </w:p>
    <w:p>
      <w:pPr>
        <w:pStyle w:val="Heading2"/>
        <w:spacing w:after="100" w:before="220"/>
      </w:pPr>
      <w:r>
        <w:rPr>
          <w:rFonts w:ascii="Times New Roman" w:cs="Times New Roman" w:eastAsia="Times New Roman" w:hAnsi="Times New Roman"/>
          <w:b/>
          <w:bCs/>
          <w:sz w:val="22"/>
          <w:szCs w:val="22"/>
        </w:rPr>
        <w:t xml:space="preserve">1.1  Hypotheses</w:t>
      </w:r>
    </w:p>
    <w:p>
      <w:pPr>
        <w:spacing w:after="160" w:line="264"/>
        <w:jc w:val="both"/>
      </w:pPr>
      <w:r>
        <w:t xml:space="preserve">We test three pre-specified hypotheses, introduced here and evaluated in Section 5.</w:t>
      </w:r>
    </w:p>
    <w:p>
      <w:pPr>
        <w:spacing w:after="100" w:line="264"/>
        <w:ind w:left="540" w:hanging="360"/>
        <w:jc w:val="both"/>
      </w:pPr>
      <w:r>
        <w:t xml:space="preserve">H1 (Gap existence). Temperature scaling calibrated on hard labels yields a strictly worse Brier Score against the soft label distribution than an oracle calibrated directly on soft labels. We refer to this difference as the soft-label calibration gap and define it formally in Section 3.4.</w:t>
      </w:r>
    </w:p>
    <w:p>
      <w:pPr>
        <w:spacing w:after="100" w:line="264"/>
        <w:ind w:left="540" w:hanging="360"/>
        <w:jc w:val="both"/>
      </w:pPr>
      <w:r>
        <w:t xml:space="preserve">H2 (Scale dependence). The soft-label calibration gap increases monotonically with model scale within each dataset, consistent with the established finding that larger models tend toward higher confidence [7].</w:t>
      </w:r>
    </w:p>
    <w:p>
      <w:pPr>
        <w:spacing w:after="100" w:line="264"/>
        <w:ind w:left="540" w:hanging="360"/>
        <w:jc w:val="both"/>
      </w:pPr>
      <w:r>
        <w:t xml:space="preserve">H3 (Modality dependence). The soft-label calibration gap is larger in the language domain (ChaosNLI) than in the vision domain (CIFAR-10H), reflecting the comparatively higher rate of genuine semantic ambiguity in natural language inference relative to object classification.</w:t>
      </w:r>
    </w:p>
    <w:p>
      <w:pPr>
        <w:pStyle w:val="Heading2"/>
        <w:spacing w:after="100" w:before="220"/>
      </w:pPr>
      <w:r>
        <w:rPr>
          <w:rFonts w:ascii="Times New Roman" w:cs="Times New Roman" w:eastAsia="Times New Roman" w:hAnsi="Times New Roman"/>
          <w:b/>
          <w:bCs/>
          <w:sz w:val="22"/>
          <w:szCs w:val="22"/>
        </w:rPr>
        <w:t xml:space="preserve">1.2  Contributions</w:t>
      </w:r>
    </w:p>
    <w:p>
      <w:pPr>
        <w:spacing w:after="100" w:line="264"/>
        <w:ind w:left="540" w:hanging="360"/>
        <w:jc w:val="both"/>
      </w:pPr>
      <w:r>
        <w:t xml:space="preserve">We formalize the soft-label calibration gap as a measurable quantity and provide a protocol for estimating it using existing soft-label datasets (Section 3).</w:t>
      </w:r>
    </w:p>
    <w:p>
      <w:pPr>
        <w:spacing w:after="100" w:line="264"/>
        <w:ind w:left="540" w:hanging="360"/>
        <w:jc w:val="both"/>
      </w:pPr>
      <w:r>
        <w:t xml:space="preserve">We report a systematic cross-scale measurement of this gap across two modalities and two soft-label resources (Section 5).</w:t>
      </w:r>
    </w:p>
    <w:p>
      <w:pPr>
        <w:spacing w:after="100" w:line="264"/>
        <w:ind w:left="540" w:hanging="360"/>
        <w:jc w:val="both"/>
      </w:pPr>
      <w:r>
        <w:t xml:space="preserve">We identify and analyze a scale-ordering anomaly on the MNLI-derived ChaosNLI split, attributing it to a cross-domain evaluation confound rather than a genuine reversal of H2 (Section 5.3).</w:t>
      </w:r>
    </w:p>
    <w:p>
      <w:pPr>
        <w:spacing w:after="100" w:line="264"/>
        <w:ind w:left="540" w:hanging="360"/>
        <w:jc w:val="both"/>
      </w:pPr>
      <w:r>
        <w:t xml:space="preserve">We discuss practical implications for calibration methodology and deployment in resource-constrained, ambiguous-label settings (Section 6).</w:t>
      </w:r>
    </w:p>
    <w:p>
      <w:pPr>
        <w:pStyle w:val="Heading1"/>
        <w:spacing w:after="120" w:before="280"/>
      </w:pPr>
      <w:r>
        <w:rPr>
          <w:rFonts w:ascii="Times New Roman" w:cs="Times New Roman" w:eastAsia="Times New Roman" w:hAnsi="Times New Roman"/>
          <w:b/>
          <w:bCs/>
          <w:sz w:val="26"/>
          <w:szCs w:val="26"/>
        </w:rPr>
        <w:t xml:space="preserve">2.  Related Work</w:t>
      </w:r>
    </w:p>
    <w:p>
      <w:pPr>
        <w:pStyle w:val="Heading2"/>
        <w:spacing w:after="100" w:before="220"/>
      </w:pPr>
      <w:r>
        <w:rPr>
          <w:rFonts w:ascii="Times New Roman" w:cs="Times New Roman" w:eastAsia="Times New Roman" w:hAnsi="Times New Roman"/>
          <w:b/>
          <w:bCs/>
          <w:sz w:val="22"/>
          <w:szCs w:val="22"/>
        </w:rPr>
        <w:t xml:space="preserve">2.1  Calibration of Neural Networks</w:t>
      </w:r>
    </w:p>
    <w:p>
      <w:pPr>
        <w:spacing w:after="160" w:line="264"/>
        <w:jc w:val="both"/>
      </w:pPr>
      <w:r>
        <w:t xml:space="preserve">Guo et al. [7] established that modern deep networks are substantially more overconfident than earlier architectures and proposed temperature scaling as an effective post-hoc correction. Subsequent work has proposed isotonic regression, Platt scaling [11], and Dirichlet calibration [8] as alternatives. Minderer et al. [9] found that Vision Transformers tend to be better calibrated in-distribution than convolutional architectures. Bai et al. [2] showed analytically that overconfidence is not solely a consequence of overparameterization. Kumar et al. [6] showed that ECE tends to underestimate true miscalibration due to binning artifacts, motivating our use of Brier Score as a complementary metric.</w:t>
      </w:r>
    </w:p>
    <w:p>
      <w:pPr>
        <w:pStyle w:val="Heading2"/>
        <w:spacing w:after="100" w:before="220"/>
      </w:pPr>
      <w:r>
        <w:rPr>
          <w:rFonts w:ascii="Times New Roman" w:cs="Times New Roman" w:eastAsia="Times New Roman" w:hAnsi="Times New Roman"/>
          <w:b/>
          <w:bCs/>
          <w:sz w:val="22"/>
          <w:szCs w:val="22"/>
        </w:rPr>
        <w:t xml:space="preserve">2.2  Soft Labels and Human Disagreement</w:t>
      </w:r>
    </w:p>
    <w:p>
      <w:pPr>
        <w:spacing w:after="160" w:line="264"/>
        <w:jc w:val="both"/>
      </w:pPr>
      <w:r>
        <w:t xml:space="preserve">Work on learning from crowds [15] and annotation disagreement [1] has established that human label variation carries information about task ambiguity. Peterson et al. [13] introduced CIFAR-10H. Nie et al. [10] introduced ChaosNLI to surface genuine semantic ambiguity that majority-vote labeling obscures. Their systematic use as calibration benchmarks under distributional targets is, to the best of our knowledge, the specific contribution of this paper.</w:t>
      </w:r>
    </w:p>
    <w:p>
      <w:pPr>
        <w:pStyle w:val="Heading2"/>
        <w:spacing w:after="100" w:before="220"/>
      </w:pPr>
      <w:r>
        <w:rPr>
          <w:rFonts w:ascii="Times New Roman" w:cs="Times New Roman" w:eastAsia="Times New Roman" w:hAnsi="Times New Roman"/>
          <w:b/>
          <w:bCs/>
          <w:sz w:val="22"/>
          <w:szCs w:val="22"/>
        </w:rPr>
        <w:t xml:space="preserve">2.3  Calibration Under Distribution Shift</w:t>
      </w:r>
    </w:p>
    <w:p>
      <w:pPr>
        <w:spacing w:after="160" w:line="264"/>
        <w:jc w:val="both"/>
      </w:pPr>
      <w:r>
        <w:t xml:space="preserve">Ovadia et al. [12] showed that calibration degrades under dataset shift even where accuracy is partially preserved. Guillory et al. [4] found that confidence-based accuracy estimators degrade under natural distribution shift. Wiles et al. [3] showed that larger models and larger pretraining corpora tend to improve both OOD accuracy and calibration under standard protocols. None of this work examines the case in which the shift occurs in the label distribution rather than the input distribution.</w:t>
      </w:r>
    </w:p>
    <w:p>
      <w:pPr>
        <w:pStyle w:val="Heading1"/>
        <w:spacing w:after="120" w:before="280"/>
      </w:pPr>
      <w:r>
        <w:rPr>
          <w:rFonts w:ascii="Times New Roman" w:cs="Times New Roman" w:eastAsia="Times New Roman" w:hAnsi="Times New Roman"/>
          <w:b/>
          <w:bCs/>
          <w:sz w:val="26"/>
          <w:szCs w:val="26"/>
        </w:rPr>
        <w:t xml:space="preserve">3.  Problem Formulation</w:t>
      </w:r>
    </w:p>
    <w:p>
      <w:pPr>
        <w:pStyle w:val="Heading2"/>
        <w:spacing w:after="100" w:before="220"/>
      </w:pPr>
      <w:r>
        <w:rPr>
          <w:rFonts w:ascii="Times New Roman" w:cs="Times New Roman" w:eastAsia="Times New Roman" w:hAnsi="Times New Roman"/>
          <w:b/>
          <w:bCs/>
          <w:sz w:val="22"/>
          <w:szCs w:val="22"/>
        </w:rPr>
        <w:t xml:space="preserve">3.1  Notation</w:t>
      </w:r>
    </w:p>
    <w:p>
      <w:pPr>
        <w:spacing w:after="160" w:line="264"/>
        <w:jc w:val="both"/>
      </w:pPr>
      <w:r>
        <w:t xml:space="preserve">Let X be the input space and Y = {1, …, K} the label space. A classifier f : X → Δ(Y) maps inputs to probability distributions over classes. A hard-label dataset D_hard = {(x_i, y_i)} pairs each input with a single class label y_i ∈ Y. A soft-label dataset D_soft = {(x_i, q_i)} pairs each input with a distribution q_i ∈ Δ(Y) representing the empirical distribution of human annotations for instance x_i.</w:t>
      </w:r>
    </w:p>
    <w:p>
      <w:pPr>
        <w:pStyle w:val="Heading2"/>
        <w:spacing w:after="100" w:before="220"/>
      </w:pPr>
      <w:r>
        <w:rPr>
          <w:rFonts w:ascii="Times New Roman" w:cs="Times New Roman" w:eastAsia="Times New Roman" w:hAnsi="Times New Roman"/>
          <w:b/>
          <w:bCs/>
          <w:sz w:val="22"/>
          <w:szCs w:val="22"/>
        </w:rPr>
        <w:t xml:space="preserve">3.2  Calibration Under Hard Labels</w:t>
      </w:r>
    </w:p>
    <w:p>
      <w:pPr>
        <w:spacing w:after="160" w:line="264"/>
        <w:jc w:val="both"/>
      </w:pPr>
      <w:r>
        <w:t xml:space="preserve">A classifier </w:t>
      </w:r>
      <w:r>
        <w:rPr>
          <w:i/>
          <w:iCs/>
        </w:rPr>
        <w:t xml:space="preserve">f</w:t>
      </w:r>
      <w:r>
        <w:t xml:space="preserve"> is calibrated under hard labels if, for all </w:t>
      </w:r>
      <w:r>
        <w:rPr>
          <w:i/>
          <w:iCs/>
        </w:rPr>
        <w:t xml:space="preserve">p</w:t>
      </w:r>
      <w:r>
        <w:t xml:space="preserve"> ∈ [0, 1]: P(</w:t>
      </w:r>
      <w:r>
        <w:rPr>
          <w:i/>
          <w:iCs/>
        </w:rPr>
        <w:t xml:space="preserve">y</w:t>
      </w:r>
      <w:r>
        <w:t xml:space="preserve"> = argmax </w:t>
      </w:r>
      <w:r>
        <w:rPr>
          <w:i/>
          <w:iCs/>
        </w:rPr>
        <w:t xml:space="preserve">f</w:t>
      </w:r>
      <w:r>
        <w:t xml:space="preserve">(</w:t>
      </w:r>
      <w:r>
        <w:rPr>
          <w:i/>
          <w:iCs/>
        </w:rPr>
        <w:t xml:space="preserve">x</w:t>
      </w:r>
      <w:r>
        <w:t xml:space="preserve">) | max </w:t>
      </w:r>
      <w:r>
        <w:rPr>
          <w:i/>
          <w:iCs/>
        </w:rPr>
        <w:t xml:space="preserve">f</w:t>
      </w:r>
      <w:r>
        <w:t xml:space="preserve">(</w:t>
      </w:r>
      <w:r>
        <w:rPr>
          <w:i/>
          <w:iCs/>
        </w:rPr>
        <w:t xml:space="preserve">x</w:t>
      </w:r>
      <w:r>
        <w:t xml:space="preserve">) = </w:t>
      </w:r>
      <w:r>
        <w:rPr>
          <w:i/>
          <w:iCs/>
        </w:rPr>
        <w:t xml:space="preserve">p</w:t>
      </w:r>
      <w:r>
        <w:t xml:space="preserve">) = </w:t>
      </w:r>
      <w:r>
        <w:rPr>
          <w:i/>
          <w:iCs/>
        </w:rPr>
        <w:t xml:space="preserve">p</w:t>
      </w:r>
      <w:r>
        <w:t xml:space="preserve">. ECE approximates this by partitioning predictions into </w:t>
      </w:r>
      <w:r>
        <w:rPr>
          <w:i/>
          <w:iCs/>
        </w:rPr>
        <w:t xml:space="preserve">M</w:t>
      </w:r>
      <w:r>
        <w:t xml:space="preserve"> bins [7]:</w:t>
      </w:r>
    </w:p>
    <w:p>
      <w:pPr>
        <w:spacing w:after="120" w:before="120"/>
        <w:jc w:val="center"/>
      </w:pPr>
      <w:r>
        <w:rPr>
          <w:i/>
          <w:iCs/>
          <w:sz w:val="21"/>
          <w:szCs w:val="21"/>
        </w:rPr>
        <w:t xml:space="preserve">ECE = Σᴹₘ₌₁ (|B_m| / n) · |acc(B_m) − conf(B_m)|</w:t>
      </w:r>
      <w:r>
        <w:rPr>
          <w:i w:val="false"/>
          <w:iCs w:val="false"/>
          <w:sz w:val="21"/>
          <w:szCs w:val="21"/>
        </w:rPr>
        <w:t xml:space="preserve">	(1)</w:t>
      </w:r>
    </w:p>
    <w:p>
      <w:pPr>
        <w:spacing w:after="160" w:line="264"/>
        <w:jc w:val="both"/>
      </w:pPr>
      <w:r>
        <w:t xml:space="preserve">Temperature scaling finds T* minimizing negative log-likelihood on D_val, where p_T(y | x) = softmax(logits(x) / T) [7]:</w:t>
      </w:r>
    </w:p>
    <w:p>
      <w:pPr>
        <w:spacing w:after="120" w:before="120"/>
        <w:jc w:val="center"/>
      </w:pPr>
      <w:r>
        <w:rPr>
          <w:i/>
          <w:iCs/>
          <w:sz w:val="21"/>
          <w:szCs w:val="21"/>
        </w:rPr>
        <w:t xml:space="preserve">T* = arg min_T − (1/|D_val|) Σ_{(x,y)∈D_val} log p_T(y | x)</w:t>
      </w:r>
      <w:r>
        <w:rPr>
          <w:i w:val="false"/>
          <w:iCs w:val="false"/>
          <w:sz w:val="21"/>
          <w:szCs w:val="21"/>
        </w:rPr>
        <w:t xml:space="preserve">	(2)</w:t>
      </w:r>
    </w:p>
    <w:p>
      <w:pPr>
        <w:pStyle w:val="Heading2"/>
        <w:spacing w:after="100" w:before="220"/>
      </w:pPr>
      <w:r>
        <w:rPr>
          <w:rFonts w:ascii="Times New Roman" w:cs="Times New Roman" w:eastAsia="Times New Roman" w:hAnsi="Times New Roman"/>
          <w:b/>
          <w:bCs/>
          <w:sz w:val="22"/>
          <w:szCs w:val="22"/>
        </w:rPr>
        <w:t xml:space="preserve">3.3  Calibration Under Soft Labels</w:t>
      </w:r>
    </w:p>
    <w:p>
      <w:pPr>
        <w:spacing w:after="160" w:line="264"/>
        <w:jc w:val="both"/>
      </w:pPr>
      <w:r>
        <w:t xml:space="preserve">A classifier is soft-calibrated if ᴼ[</w:t>
      </w:r>
      <w:r>
        <w:rPr>
          <w:i/>
          <w:iCs/>
        </w:rPr>
        <w:t xml:space="preserve">f</w:t>
      </w:r>
      <w:r>
        <w:t xml:space="preserve">(</w:t>
      </w:r>
      <w:r>
        <w:rPr>
          <w:i/>
          <w:iCs/>
        </w:rPr>
        <w:t xml:space="preserve">x</w:t>
      </w:r>
      <w:r>
        <w:t xml:space="preserve">) | </w:t>
      </w:r>
      <w:r>
        <w:rPr>
          <w:i/>
          <w:iCs/>
        </w:rPr>
        <w:t xml:space="preserve">q</w:t>
      </w:r>
      <w:r>
        <w:t xml:space="preserve">(</w:t>
      </w:r>
      <w:r>
        <w:rPr>
          <w:i/>
          <w:iCs/>
        </w:rPr>
        <w:t xml:space="preserve">x</w:t>
      </w:r>
      <w:r>
        <w:t xml:space="preserve">) = </w:t>
      </w:r>
      <w:r>
        <w:rPr>
          <w:i/>
          <w:iCs/>
        </w:rPr>
        <w:t xml:space="preserve">q</w:t>
      </w:r>
      <w:r>
        <w:t xml:space="preserve">] = </w:t>
      </w:r>
      <w:r>
        <w:rPr>
          <w:i/>
          <w:iCs/>
        </w:rPr>
        <w:t xml:space="preserve">q</w:t>
      </w:r>
      <w:r>
        <w:t xml:space="preserve"> for all </w:t>
      </w:r>
      <w:r>
        <w:rPr>
          <w:i/>
          <w:iCs/>
        </w:rPr>
        <w:t xml:space="preserve">q</w:t>
      </w:r>
      <w:r>
        <w:t xml:space="preserve"> ∈ Δ(</w:t>
      </w:r>
      <w:r>
        <w:rPr>
          <w:i/>
          <w:iCs/>
        </w:rPr>
        <w:t xml:space="preserve">Y</w:t>
      </w:r>
      <w:r>
        <w:t xml:space="preserve">). The Brier Score [14] is a strictly proper scoring rule over soft targets:</w:t>
      </w:r>
    </w:p>
    <w:p>
      <w:pPr>
        <w:spacing w:after="120" w:before="120"/>
        <w:jc w:val="center"/>
      </w:pPr>
      <w:r>
        <w:rPr>
          <w:i/>
          <w:iCs/>
          <w:sz w:val="21"/>
          <w:szCs w:val="21"/>
        </w:rPr>
        <w:t xml:space="preserve">BS = (1/n) Σⁿ_{i=1} Σᴷ_{k=1} (f_k(x_i) − q_{ik})²</w:t>
      </w:r>
      <w:r>
        <w:rPr>
          <w:i w:val="false"/>
          <w:iCs w:val="false"/>
          <w:sz w:val="21"/>
          <w:szCs w:val="21"/>
        </w:rPr>
        <w:t xml:space="preserve">	(3)</w:t>
      </w:r>
    </w:p>
    <w:p>
      <w:pPr>
        <w:pStyle w:val="Heading2"/>
        <w:spacing w:after="100" w:before="220"/>
      </w:pPr>
      <w:r>
        <w:rPr>
          <w:rFonts w:ascii="Times New Roman" w:cs="Times New Roman" w:eastAsia="Times New Roman" w:hAnsi="Times New Roman"/>
          <w:b/>
          <w:bCs/>
          <w:sz w:val="22"/>
          <w:szCs w:val="22"/>
        </w:rPr>
        <w:t xml:space="preserve">3.4  The Soft-Label Calibration Gap</w:t>
      </w:r>
    </w:p>
    <w:p>
      <w:pPr>
        <w:spacing w:after="160" w:before="80"/>
        <w:ind w:left="360"/>
        <w:jc w:val="both"/>
      </w:pPr>
      <w:r>
        <w:rPr>
          <w:b/>
          <w:bCs/>
          <w:i/>
          <w:iCs/>
        </w:rPr>
        <w:t xml:space="preserve">Definition (Soft-Label Calibration Gap). </w:t>
      </w:r>
      <w:r>
        <w:rPr>
          <w:i/>
          <w:iCs/>
        </w:rPr>
        <w:t xml:space="preserve">For a model </w:t>
      </w:r>
      <w:r>
        <w:rPr>
          <w:i/>
          <w:iCs/>
        </w:rPr>
        <w:t xml:space="preserve">f</w:t>
      </w:r>
      <w:r>
        <w:rPr>
          <w:i/>
          <w:iCs/>
        </w:rPr>
        <w:t xml:space="preserve"> with hard-label optimal temperature T</w:t>
      </w:r>
      <w:r>
        <w:rPr>
          <w:i/>
          <w:iCs/>
        </w:rPr>
        <w:t xml:space="preserve">, the soft-label calibration gap is Gap(</w:t>
      </w:r>
      <w:r>
        <w:rPr>
          <w:i/>
          <w:iCs/>
        </w:rPr>
        <w:t xml:space="preserve">f</w:t>
      </w:r>
      <w:r>
        <w:rPr>
          <w:i/>
          <w:iCs/>
        </w:rPr>
        <w:t xml:space="preserve">, T</w:t>
      </w:r>
      <w:r>
        <w:rPr>
          <w:i/>
          <w:iCs/>
        </w:rPr>
        <w:t xml:space="preserve">) = BS_soft(</w:t>
      </w:r>
      <w:r>
        <w:rPr>
          <w:i/>
          <w:iCs/>
        </w:rPr>
        <w:t xml:space="preserve">f</w:t>
      </w:r>
      <w:r>
        <w:rPr>
          <w:i/>
          <w:iCs/>
        </w:rPr>
        <w:t xml:space="preserve">_{T</w:t>
      </w:r>
      <w:r>
        <w:rPr>
          <w:i/>
          <w:iCs/>
        </w:rPr>
        <w:t xml:space="preserve">}) − BS_soft(</w:t>
      </w:r>
      <w:r>
        <w:rPr>
          <w:i/>
          <w:iCs/>
        </w:rPr>
        <w:t xml:space="preserve">f*_{T_oracle}), where T_oracle is the optimal temperature fitted directly against soft labels by minimizing Equation 3. A positive gap indicates that temperature scaling calibrated on hard labels fails to achieve the calibration quality attainable when fitted against the true distributional target.</w:t>
      </w:r>
    </w:p>
    <w:p>
      <w:pPr>
        <w:pStyle w:val="Heading1"/>
        <w:spacing w:after="120" w:before="280"/>
      </w:pPr>
      <w:r>
        <w:rPr>
          <w:rFonts w:ascii="Times New Roman" w:cs="Times New Roman" w:eastAsia="Times New Roman" w:hAnsi="Times New Roman"/>
          <w:b/>
          <w:bCs/>
          <w:sz w:val="26"/>
          <w:szCs w:val="26"/>
        </w:rPr>
        <w:t xml:space="preserve">4.  Experimental Design</w:t>
      </w:r>
    </w:p>
    <w:p>
      <w:pPr>
        <w:pStyle w:val="Heading2"/>
        <w:spacing w:after="100" w:before="220"/>
      </w:pPr>
      <w:r>
        <w:rPr>
          <w:rFonts w:ascii="Times New Roman" w:cs="Times New Roman" w:eastAsia="Times New Roman" w:hAnsi="Times New Roman"/>
          <w:b/>
          <w:bCs/>
          <w:sz w:val="22"/>
          <w:szCs w:val="22"/>
        </w:rPr>
        <w:t xml:space="preserve">4.1  Datasets</w:t>
      </w:r>
    </w:p>
    <w:p>
      <w:pPr>
        <w:spacing w:after="160" w:line="264"/>
        <w:jc w:val="both"/>
      </w:pPr>
      <w:r>
        <w:t xml:space="preserve">We use two publicly available soft-label datasets. CIFAR-10H [13] provides a mean of 51 human annotations per image for all 10,000 CIFAR-10 test images. ChaosNLI [10] provides 100 human judgments per instance for 4,645 NLI examples from SNLI (ChaosNLI-S) and MNLI (ChaosNLI-M).</w:t>
      </w:r>
    </w:p>
    <w:p>
      <w:pPr>
        <w:pStyle w:val="Heading2"/>
        <w:spacing w:after="100" w:before="220"/>
      </w:pPr>
      <w:r>
        <w:rPr>
          <w:rFonts w:ascii="Times New Roman" w:cs="Times New Roman" w:eastAsia="Times New Roman" w:hAnsi="Times New Roman"/>
          <w:b/>
          <w:bCs/>
          <w:sz w:val="22"/>
          <w:szCs w:val="22"/>
        </w:rPr>
        <w:t xml:space="preserve">4.2  Models</w:t>
      </w:r>
    </w:p>
    <w:p>
      <w:pPr>
        <w:spacing w:after="160" w:line="264"/>
        <w:jc w:val="both"/>
      </w:pPr>
      <w:r>
        <w:t xml:space="preserve">For vision: ResNet-18 (11M), ResNet-50 (25M), ResNet-101 (44M) [16], trained on CIFAR-10 with standard augmentation and cosine-annealed learning rate over 100 epochs. For language: DistilBERT-base-uncased (66M), BERT-base-uncased (110M), BERT-large-uncased (340M) [17], fine-tuned on SNLI/MNLI for 3 epochs with lr = 2×10⁻⁵ and AdamW.</w:t>
      </w:r>
    </w:p>
    <w:p>
      <w:pPr>
        <w:pStyle w:val="Heading2"/>
        <w:spacing w:after="100" w:before="220"/>
      </w:pPr>
      <w:r>
        <w:rPr>
          <w:rFonts w:ascii="Times New Roman" w:cs="Times New Roman" w:eastAsia="Times New Roman" w:hAnsi="Times New Roman"/>
          <w:b/>
          <w:bCs/>
          <w:sz w:val="22"/>
          <w:szCs w:val="22"/>
        </w:rPr>
        <w:t xml:space="preserve">4.3  Calibration Protocol</w:t>
      </w:r>
    </w:p>
    <w:p>
      <w:pPr>
        <w:spacing w:after="160" w:line="264"/>
        <w:jc w:val="both"/>
      </w:pPr>
      <w:r>
        <w:t xml:space="preserve">For each model: (1) train on hard-label training set; (2) fit T_hard on held-out validation split (20%) by minimizing Eq. 2 with L-BFGS; (3) fit T_oracle on first half of soft-label test set by minimizing Eq. 3; (4) evaluate both models on second half of test set; (5) compute ECE (15 bins) and Brier Score against hard and soft targets. Each configuration repeated with seeds 42, 123, 456; we report mean and standard deviation.</w:t>
      </w:r>
    </w:p>
    <w:p>
      <w:pPr>
        <w:pStyle w:val="Heading1"/>
        <w:spacing w:after="120" w:before="280"/>
      </w:pPr>
      <w:r>
        <w:rPr>
          <w:rFonts w:ascii="Times New Roman" w:cs="Times New Roman" w:eastAsia="Times New Roman" w:hAnsi="Times New Roman"/>
          <w:b/>
          <w:bCs/>
          <w:sz w:val="26"/>
          <w:szCs w:val="26"/>
        </w:rPr>
        <w:t xml:space="preserve">5.  Results</w:t>
      </w:r>
    </w:p>
    <w:p>
      <w:pPr>
        <w:pStyle w:val="Heading2"/>
        <w:spacing w:after="100" w:before="220"/>
      </w:pPr>
      <w:r>
        <w:rPr>
          <w:rFonts w:ascii="Times New Roman" w:cs="Times New Roman" w:eastAsia="Times New Roman" w:hAnsi="Times New Roman"/>
          <w:b/>
          <w:bCs/>
          <w:sz w:val="22"/>
          <w:szCs w:val="22"/>
        </w:rPr>
        <w:t xml:space="preserve">5.1  Vision: CIFAR-10H</w:t>
      </w:r>
    </w:p>
    <w:p>
      <w:pPr>
        <w:spacing w:after="60" w:before="80"/>
        <w:jc w:val="center"/>
      </w:pPr>
      <w:r>
        <w:rPr>
          <w:b/>
          <w:bCs/>
          <w:sz w:val="18"/>
          <w:szCs w:val="18"/>
        </w:rPr>
        <w:t xml:space="preserve">Table 1. Calibration results on CIFAR-10H across three ResNet scales. Values are mean (std) over 3 seeds.</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100"/>
        <w:gridCol w:w="1200"/>
        <w:gridCol w:w="1200"/>
        <w:gridCol w:w="1200"/>
        <w:gridCol w:w="1200"/>
        <w:gridCol w:w="950"/>
      </w:tblGrid>
      <w:tr>
        <w:trPr>
          <w:tblHeader/>
        </w:trPr>
        <w:tc>
          <w:tcPr>
            <w:tcW w:type="dxa" w:w="1200"/>
            <w:shd w:fill="F2F2F2" w:val="clear"/>
            <w:tcMar>
              <w:top w:type="dxa" w:w="60"/>
              <w:left w:type="dxa" w:w="90"/>
              <w:bottom w:type="dxa" w:w="60"/>
              <w:right w:type="dxa" w:w="90"/>
            </w:tcMar>
            <w:vAlign w:val="top"/>
          </w:tcPr>
          <w:p>
            <w:r>
              <w:rPr>
                <w:b/>
                <w:bCs/>
                <w:sz w:val="17"/>
                <w:szCs w:val="17"/>
              </w:rPr>
              <w:t xml:space="preserve">Model</w:t>
            </w:r>
          </w:p>
        </w:tc>
        <w:tc>
          <w:tcPr>
            <w:tcW w:type="dxa" w:w="1100"/>
            <w:shd w:fill="F2F2F2" w:val="clear"/>
            <w:tcMar>
              <w:top w:type="dxa" w:w="60"/>
              <w:left w:type="dxa" w:w="90"/>
              <w:bottom w:type="dxa" w:w="60"/>
              <w:right w:type="dxa" w:w="90"/>
            </w:tcMar>
            <w:vAlign w:val="top"/>
          </w:tcPr>
          <w:p>
            <w:r>
              <w:rPr>
                <w:b/>
                <w:bCs/>
                <w:sz w:val="17"/>
                <w:szCs w:val="17"/>
              </w:rPr>
              <w:t xml:space="preserve">Acc.</w:t>
            </w:r>
          </w:p>
        </w:tc>
        <w:tc>
          <w:tcPr>
            <w:tcW w:type="dxa" w:w="1100"/>
            <w:shd w:fill="F2F2F2" w:val="clear"/>
            <w:tcMar>
              <w:top w:type="dxa" w:w="60"/>
              <w:left w:type="dxa" w:w="90"/>
              <w:bottom w:type="dxa" w:w="60"/>
              <w:right w:type="dxa" w:w="90"/>
            </w:tcMar>
            <w:vAlign w:val="top"/>
          </w:tcPr>
          <w:p>
            <w:r>
              <w:rPr>
                <w:b/>
                <w:bCs/>
                <w:sz w:val="17"/>
                <w:szCs w:val="17"/>
              </w:rPr>
              <w:t xml:space="preserve">Uncal ECE</w:t>
            </w:r>
          </w:p>
        </w:tc>
        <w:tc>
          <w:tcPr>
            <w:tcW w:type="dxa" w:w="1200"/>
            <w:shd w:fill="F2F2F2" w:val="clear"/>
            <w:tcMar>
              <w:top w:type="dxa" w:w="60"/>
              <w:left w:type="dxa" w:w="90"/>
              <w:bottom w:type="dxa" w:w="60"/>
              <w:right w:type="dxa" w:w="90"/>
            </w:tcMar>
            <w:vAlign w:val="top"/>
          </w:tcPr>
          <w:p>
            <w:r>
              <w:rPr>
                <w:b/>
                <w:bCs/>
                <w:sz w:val="17"/>
                <w:szCs w:val="17"/>
              </w:rPr>
              <w:t xml:space="preserve">TS-Hard ECE</w:t>
            </w:r>
          </w:p>
        </w:tc>
        <w:tc>
          <w:tcPr>
            <w:tcW w:type="dxa" w:w="1200"/>
            <w:shd w:fill="F2F2F2" w:val="clear"/>
            <w:tcMar>
              <w:top w:type="dxa" w:w="60"/>
              <w:left w:type="dxa" w:w="90"/>
              <w:bottom w:type="dxa" w:w="60"/>
              <w:right w:type="dxa" w:w="90"/>
            </w:tcMar>
            <w:vAlign w:val="top"/>
          </w:tcPr>
          <w:p>
            <w:r>
              <w:rPr>
                <w:b/>
                <w:bCs/>
                <w:sz w:val="17"/>
                <w:szCs w:val="17"/>
              </w:rPr>
              <w:t xml:space="preserve">TS-Soft ECE</w:t>
            </w:r>
          </w:p>
        </w:tc>
        <w:tc>
          <w:tcPr>
            <w:tcW w:type="dxa" w:w="1200"/>
            <w:shd w:fill="F2F2F2" w:val="clear"/>
            <w:tcMar>
              <w:top w:type="dxa" w:w="60"/>
              <w:left w:type="dxa" w:w="90"/>
              <w:bottom w:type="dxa" w:w="60"/>
              <w:right w:type="dxa" w:w="90"/>
            </w:tcMar>
            <w:vAlign w:val="top"/>
          </w:tcPr>
          <w:p>
            <w:r>
              <w:rPr>
                <w:b/>
                <w:bCs/>
                <w:sz w:val="17"/>
                <w:szCs w:val="17"/>
              </w:rPr>
              <w:t xml:space="preserve">TS-Hard BS</w:t>
            </w:r>
          </w:p>
        </w:tc>
        <w:tc>
          <w:tcPr>
            <w:tcW w:type="dxa" w:w="1200"/>
            <w:shd w:fill="F2F2F2" w:val="clear"/>
            <w:tcMar>
              <w:top w:type="dxa" w:w="60"/>
              <w:left w:type="dxa" w:w="90"/>
              <w:bottom w:type="dxa" w:w="60"/>
              <w:right w:type="dxa" w:w="90"/>
            </w:tcMar>
            <w:vAlign w:val="top"/>
          </w:tcPr>
          <w:p>
            <w:r>
              <w:rPr>
                <w:b/>
                <w:bCs/>
                <w:sz w:val="17"/>
                <w:szCs w:val="17"/>
              </w:rPr>
              <w:t xml:space="preserve">TS-Soft BS</w:t>
            </w:r>
          </w:p>
        </w:tc>
        <w:tc>
          <w:tcPr>
            <w:tcW w:type="dxa" w:w="950"/>
            <w:shd w:fill="F2F2F2" w:val="clear"/>
            <w:tcMar>
              <w:top w:type="dxa" w:w="60"/>
              <w:left w:type="dxa" w:w="90"/>
              <w:bottom w:type="dxa" w:w="60"/>
              <w:right w:type="dxa" w:w="90"/>
            </w:tcMar>
            <w:vAlign w:val="top"/>
          </w:tcPr>
          <w:p>
            <w:r>
              <w:rPr>
                <w:b/>
                <w:bCs/>
                <w:sz w:val="17"/>
                <w:szCs w:val="17"/>
              </w:rPr>
              <w:t xml:space="preserve">Gap</w:t>
            </w:r>
          </w:p>
        </w:tc>
      </w:tr>
      <w:tr>
        <w:tc>
          <w:tcPr>
            <w:tcW w:type="dxa" w:w="1200"/>
            <w:tcMar>
              <w:top w:type="dxa" w:w="60"/>
              <w:left w:type="dxa" w:w="90"/>
              <w:bottom w:type="dxa" w:w="60"/>
              <w:right w:type="dxa" w:w="90"/>
            </w:tcMar>
            <w:vAlign w:val="top"/>
          </w:tcPr>
          <w:p>
            <w:r>
              <w:rPr>
                <w:b w:val="false"/>
                <w:bCs w:val="false"/>
                <w:sz w:val="17"/>
                <w:szCs w:val="17"/>
              </w:rPr>
              <w:t xml:space="preserve">ResNet-18</w:t>
            </w:r>
          </w:p>
        </w:tc>
        <w:tc>
          <w:tcPr>
            <w:tcW w:type="dxa" w:w="1100"/>
            <w:tcMar>
              <w:top w:type="dxa" w:w="60"/>
              <w:left w:type="dxa" w:w="90"/>
              <w:bottom w:type="dxa" w:w="60"/>
              <w:right w:type="dxa" w:w="90"/>
            </w:tcMar>
            <w:vAlign w:val="top"/>
          </w:tcPr>
          <w:p>
            <w:r>
              <w:rPr>
                <w:b w:val="false"/>
                <w:bCs w:val="false"/>
                <w:sz w:val="17"/>
                <w:szCs w:val="17"/>
              </w:rPr>
              <w:t xml:space="preserve">0.898 (0.039)</w:t>
            </w:r>
          </w:p>
        </w:tc>
        <w:tc>
          <w:tcPr>
            <w:tcW w:type="dxa" w:w="1100"/>
            <w:tcMar>
              <w:top w:type="dxa" w:w="60"/>
              <w:left w:type="dxa" w:w="90"/>
              <w:bottom w:type="dxa" w:w="60"/>
              <w:right w:type="dxa" w:w="90"/>
            </w:tcMar>
            <w:vAlign w:val="top"/>
          </w:tcPr>
          <w:p>
            <w:r>
              <w:rPr>
                <w:b w:val="false"/>
                <w:bCs w:val="false"/>
                <w:sz w:val="17"/>
                <w:szCs w:val="17"/>
              </w:rPr>
              <w:t xml:space="preserve">0.030 (0.006)</w:t>
            </w:r>
          </w:p>
        </w:tc>
        <w:tc>
          <w:tcPr>
            <w:tcW w:type="dxa" w:w="1200"/>
            <w:tcMar>
              <w:top w:type="dxa" w:w="60"/>
              <w:left w:type="dxa" w:w="90"/>
              <w:bottom w:type="dxa" w:w="60"/>
              <w:right w:type="dxa" w:w="90"/>
            </w:tcMar>
            <w:vAlign w:val="top"/>
          </w:tcPr>
          <w:p>
            <w:r>
              <w:rPr>
                <w:b w:val="false"/>
                <w:bCs w:val="false"/>
                <w:sz w:val="17"/>
                <w:szCs w:val="17"/>
              </w:rPr>
              <w:t xml:space="preserve">0.016 (0.004)</w:t>
            </w:r>
          </w:p>
        </w:tc>
        <w:tc>
          <w:tcPr>
            <w:tcW w:type="dxa" w:w="1200"/>
            <w:tcMar>
              <w:top w:type="dxa" w:w="60"/>
              <w:left w:type="dxa" w:w="90"/>
              <w:bottom w:type="dxa" w:w="60"/>
              <w:right w:type="dxa" w:w="90"/>
            </w:tcMar>
            <w:vAlign w:val="top"/>
          </w:tcPr>
          <w:p>
            <w:r>
              <w:rPr>
                <w:b w:val="false"/>
                <w:bCs w:val="false"/>
                <w:sz w:val="17"/>
                <w:szCs w:val="17"/>
              </w:rPr>
              <w:t xml:space="preserve">0.021 (0.002)</w:t>
            </w:r>
          </w:p>
        </w:tc>
        <w:tc>
          <w:tcPr>
            <w:tcW w:type="dxa" w:w="1200"/>
            <w:tcMar>
              <w:top w:type="dxa" w:w="60"/>
              <w:left w:type="dxa" w:w="90"/>
              <w:bottom w:type="dxa" w:w="60"/>
              <w:right w:type="dxa" w:w="90"/>
            </w:tcMar>
            <w:vAlign w:val="top"/>
          </w:tcPr>
          <w:p>
            <w:r>
              <w:rPr>
                <w:b w:val="false"/>
                <w:bCs w:val="false"/>
                <w:sz w:val="17"/>
                <w:szCs w:val="17"/>
              </w:rPr>
              <w:t xml:space="preserve">0.127 (0.048)</w:t>
            </w:r>
          </w:p>
        </w:tc>
        <w:tc>
          <w:tcPr>
            <w:tcW w:type="dxa" w:w="1200"/>
            <w:tcMar>
              <w:top w:type="dxa" w:w="60"/>
              <w:left w:type="dxa" w:w="90"/>
              <w:bottom w:type="dxa" w:w="60"/>
              <w:right w:type="dxa" w:w="90"/>
            </w:tcMar>
            <w:vAlign w:val="top"/>
          </w:tcPr>
          <w:p>
            <w:r>
              <w:rPr>
                <w:b w:val="false"/>
                <w:bCs w:val="false"/>
                <w:sz w:val="17"/>
                <w:szCs w:val="17"/>
              </w:rPr>
              <w:t xml:space="preserve">0.126 (0.049)</w:t>
            </w:r>
          </w:p>
        </w:tc>
        <w:tc>
          <w:tcPr>
            <w:tcW w:type="dxa" w:w="950"/>
            <w:tcMar>
              <w:top w:type="dxa" w:w="60"/>
              <w:left w:type="dxa" w:w="90"/>
              <w:bottom w:type="dxa" w:w="60"/>
              <w:right w:type="dxa" w:w="90"/>
            </w:tcMar>
            <w:vAlign w:val="top"/>
          </w:tcPr>
          <w:p>
            <w:r>
              <w:rPr>
                <w:b w:val="false"/>
                <w:bCs w:val="false"/>
                <w:sz w:val="17"/>
                <w:szCs w:val="17"/>
              </w:rPr>
              <w:t xml:space="preserve">0.002 (0.001)</w:t>
            </w:r>
          </w:p>
        </w:tc>
      </w:tr>
      <w:tr>
        <w:tc>
          <w:tcPr>
            <w:tcW w:type="dxa" w:w="1200"/>
            <w:tcMar>
              <w:top w:type="dxa" w:w="60"/>
              <w:left w:type="dxa" w:w="90"/>
              <w:bottom w:type="dxa" w:w="60"/>
              <w:right w:type="dxa" w:w="90"/>
            </w:tcMar>
            <w:vAlign w:val="top"/>
          </w:tcPr>
          <w:p>
            <w:r>
              <w:rPr>
                <w:b w:val="false"/>
                <w:bCs w:val="false"/>
                <w:sz w:val="17"/>
                <w:szCs w:val="17"/>
              </w:rPr>
              <w:t xml:space="preserve">ResNet-50</w:t>
            </w:r>
          </w:p>
        </w:tc>
        <w:tc>
          <w:tcPr>
            <w:tcW w:type="dxa" w:w="1100"/>
            <w:tcMar>
              <w:top w:type="dxa" w:w="60"/>
              <w:left w:type="dxa" w:w="90"/>
              <w:bottom w:type="dxa" w:w="60"/>
              <w:right w:type="dxa" w:w="90"/>
            </w:tcMar>
            <w:vAlign w:val="top"/>
          </w:tcPr>
          <w:p>
            <w:r>
              <w:rPr>
                <w:b w:val="false"/>
                <w:bCs w:val="false"/>
                <w:sz w:val="17"/>
                <w:szCs w:val="17"/>
              </w:rPr>
              <w:t xml:space="preserve">0.886 (0.003)</w:t>
            </w:r>
          </w:p>
        </w:tc>
        <w:tc>
          <w:tcPr>
            <w:tcW w:type="dxa" w:w="1100"/>
            <w:tcMar>
              <w:top w:type="dxa" w:w="60"/>
              <w:left w:type="dxa" w:w="90"/>
              <w:bottom w:type="dxa" w:w="60"/>
              <w:right w:type="dxa" w:w="90"/>
            </w:tcMar>
            <w:vAlign w:val="top"/>
          </w:tcPr>
          <w:p>
            <w:r>
              <w:rPr>
                <w:b w:val="false"/>
                <w:bCs w:val="false"/>
                <w:sz w:val="17"/>
                <w:szCs w:val="17"/>
              </w:rPr>
              <w:t xml:space="preserve">0.036 (0.003)</w:t>
            </w:r>
          </w:p>
        </w:tc>
        <w:tc>
          <w:tcPr>
            <w:tcW w:type="dxa" w:w="1200"/>
            <w:tcMar>
              <w:top w:type="dxa" w:w="60"/>
              <w:left w:type="dxa" w:w="90"/>
              <w:bottom w:type="dxa" w:w="60"/>
              <w:right w:type="dxa" w:w="90"/>
            </w:tcMar>
            <w:vAlign w:val="top"/>
          </w:tcPr>
          <w:p>
            <w:r>
              <w:rPr>
                <w:b w:val="false"/>
                <w:bCs w:val="false"/>
                <w:sz w:val="17"/>
                <w:szCs w:val="17"/>
              </w:rPr>
              <w:t xml:space="preserve">0.020 (0.002)</w:t>
            </w:r>
          </w:p>
        </w:tc>
        <w:tc>
          <w:tcPr>
            <w:tcW w:type="dxa" w:w="1200"/>
            <w:tcMar>
              <w:top w:type="dxa" w:w="60"/>
              <w:left w:type="dxa" w:w="90"/>
              <w:bottom w:type="dxa" w:w="60"/>
              <w:right w:type="dxa" w:w="90"/>
            </w:tcMar>
            <w:vAlign w:val="top"/>
          </w:tcPr>
          <w:p>
            <w:r>
              <w:rPr>
                <w:b w:val="false"/>
                <w:bCs w:val="false"/>
                <w:sz w:val="17"/>
                <w:szCs w:val="17"/>
              </w:rPr>
              <w:t xml:space="preserve">0.022 (0.004)</w:t>
            </w:r>
          </w:p>
        </w:tc>
        <w:tc>
          <w:tcPr>
            <w:tcW w:type="dxa" w:w="1200"/>
            <w:tcMar>
              <w:top w:type="dxa" w:w="60"/>
              <w:left w:type="dxa" w:w="90"/>
              <w:bottom w:type="dxa" w:w="60"/>
              <w:right w:type="dxa" w:w="90"/>
            </w:tcMar>
            <w:vAlign w:val="top"/>
          </w:tcPr>
          <w:p>
            <w:r>
              <w:rPr>
                <w:b w:val="false"/>
                <w:bCs w:val="false"/>
                <w:sz w:val="17"/>
                <w:szCs w:val="17"/>
              </w:rPr>
              <w:t xml:space="preserve">0.139 (0.003)</w:t>
            </w:r>
          </w:p>
        </w:tc>
        <w:tc>
          <w:tcPr>
            <w:tcW w:type="dxa" w:w="1200"/>
            <w:tcMar>
              <w:top w:type="dxa" w:w="60"/>
              <w:left w:type="dxa" w:w="90"/>
              <w:bottom w:type="dxa" w:w="60"/>
              <w:right w:type="dxa" w:w="90"/>
            </w:tcMar>
            <w:vAlign w:val="top"/>
          </w:tcPr>
          <w:p>
            <w:r>
              <w:rPr>
                <w:b w:val="false"/>
                <w:bCs w:val="false"/>
                <w:sz w:val="17"/>
                <w:szCs w:val="17"/>
              </w:rPr>
              <w:t xml:space="preserve">0.136 (0.004)</w:t>
            </w:r>
          </w:p>
        </w:tc>
        <w:tc>
          <w:tcPr>
            <w:tcW w:type="dxa" w:w="950"/>
            <w:tcMar>
              <w:top w:type="dxa" w:w="60"/>
              <w:left w:type="dxa" w:w="90"/>
              <w:bottom w:type="dxa" w:w="60"/>
              <w:right w:type="dxa" w:w="90"/>
            </w:tcMar>
            <w:vAlign w:val="top"/>
          </w:tcPr>
          <w:p>
            <w:r>
              <w:rPr>
                <w:b w:val="false"/>
                <w:bCs w:val="false"/>
                <w:sz w:val="17"/>
                <w:szCs w:val="17"/>
              </w:rPr>
              <w:t xml:space="preserve">0.003 (0.001)</w:t>
            </w:r>
          </w:p>
        </w:tc>
      </w:tr>
      <w:tr>
        <w:tc>
          <w:tcPr>
            <w:tcW w:type="dxa" w:w="1200"/>
            <w:tcMar>
              <w:top w:type="dxa" w:w="60"/>
              <w:left w:type="dxa" w:w="90"/>
              <w:bottom w:type="dxa" w:w="60"/>
              <w:right w:type="dxa" w:w="90"/>
            </w:tcMar>
            <w:vAlign w:val="top"/>
          </w:tcPr>
          <w:p>
            <w:r>
              <w:rPr>
                <w:b w:val="false"/>
                <w:bCs w:val="false"/>
                <w:sz w:val="17"/>
                <w:szCs w:val="17"/>
              </w:rPr>
              <w:t xml:space="preserve">ResNet-101</w:t>
            </w:r>
          </w:p>
        </w:tc>
        <w:tc>
          <w:tcPr>
            <w:tcW w:type="dxa" w:w="1100"/>
            <w:tcMar>
              <w:top w:type="dxa" w:w="60"/>
              <w:left w:type="dxa" w:w="90"/>
              <w:bottom w:type="dxa" w:w="60"/>
              <w:right w:type="dxa" w:w="90"/>
            </w:tcMar>
            <w:vAlign w:val="top"/>
          </w:tcPr>
          <w:p>
            <w:r>
              <w:rPr>
                <w:b w:val="false"/>
                <w:bCs w:val="false"/>
                <w:sz w:val="17"/>
                <w:szCs w:val="17"/>
              </w:rPr>
              <w:t xml:space="preserve">0.908 (0.008)</w:t>
            </w:r>
          </w:p>
        </w:tc>
        <w:tc>
          <w:tcPr>
            <w:tcW w:type="dxa" w:w="1100"/>
            <w:tcMar>
              <w:top w:type="dxa" w:w="60"/>
              <w:left w:type="dxa" w:w="90"/>
              <w:bottom w:type="dxa" w:w="60"/>
              <w:right w:type="dxa" w:w="90"/>
            </w:tcMar>
            <w:vAlign w:val="top"/>
          </w:tcPr>
          <w:p>
            <w:r>
              <w:rPr>
                <w:b w:val="false"/>
                <w:bCs w:val="false"/>
                <w:sz w:val="17"/>
                <w:szCs w:val="17"/>
              </w:rPr>
              <w:t xml:space="preserve">0.043 (0.001)</w:t>
            </w:r>
          </w:p>
        </w:tc>
        <w:tc>
          <w:tcPr>
            <w:tcW w:type="dxa" w:w="1200"/>
            <w:tcMar>
              <w:top w:type="dxa" w:w="60"/>
              <w:left w:type="dxa" w:w="90"/>
              <w:bottom w:type="dxa" w:w="60"/>
              <w:right w:type="dxa" w:w="90"/>
            </w:tcMar>
            <w:vAlign w:val="top"/>
          </w:tcPr>
          <w:p>
            <w:r>
              <w:rPr>
                <w:b w:val="false"/>
                <w:bCs w:val="false"/>
                <w:sz w:val="17"/>
                <w:szCs w:val="17"/>
              </w:rPr>
              <w:t xml:space="preserve">0.018 (0.000)</w:t>
            </w:r>
          </w:p>
        </w:tc>
        <w:tc>
          <w:tcPr>
            <w:tcW w:type="dxa" w:w="1200"/>
            <w:tcMar>
              <w:top w:type="dxa" w:w="60"/>
              <w:left w:type="dxa" w:w="90"/>
              <w:bottom w:type="dxa" w:w="60"/>
              <w:right w:type="dxa" w:w="90"/>
            </w:tcMar>
            <w:vAlign w:val="top"/>
          </w:tcPr>
          <w:p>
            <w:r>
              <w:rPr>
                <w:b w:val="false"/>
                <w:bCs w:val="false"/>
                <w:sz w:val="17"/>
                <w:szCs w:val="17"/>
              </w:rPr>
              <w:t xml:space="preserve">0.022 (0.006)</w:t>
            </w:r>
          </w:p>
        </w:tc>
        <w:tc>
          <w:tcPr>
            <w:tcW w:type="dxa" w:w="1200"/>
            <w:tcMar>
              <w:top w:type="dxa" w:w="60"/>
              <w:left w:type="dxa" w:w="90"/>
              <w:bottom w:type="dxa" w:w="60"/>
              <w:right w:type="dxa" w:w="90"/>
            </w:tcMar>
            <w:vAlign w:val="top"/>
          </w:tcPr>
          <w:p>
            <w:r>
              <w:rPr>
                <w:b w:val="false"/>
                <w:bCs w:val="false"/>
                <w:sz w:val="17"/>
                <w:szCs w:val="17"/>
              </w:rPr>
              <w:t xml:space="preserve">0.111 (0.011)</w:t>
            </w:r>
          </w:p>
        </w:tc>
        <w:tc>
          <w:tcPr>
            <w:tcW w:type="dxa" w:w="1200"/>
            <w:tcMar>
              <w:top w:type="dxa" w:w="60"/>
              <w:left w:type="dxa" w:w="90"/>
              <w:bottom w:type="dxa" w:w="60"/>
              <w:right w:type="dxa" w:w="90"/>
            </w:tcMar>
            <w:vAlign w:val="top"/>
          </w:tcPr>
          <w:p>
            <w:r>
              <w:rPr>
                <w:b w:val="false"/>
                <w:bCs w:val="false"/>
                <w:sz w:val="17"/>
                <w:szCs w:val="17"/>
              </w:rPr>
              <w:t xml:space="preserve">0.108 (0.011)</w:t>
            </w:r>
          </w:p>
        </w:tc>
        <w:tc>
          <w:tcPr>
            <w:tcW w:type="dxa" w:w="950"/>
            <w:tcMar>
              <w:top w:type="dxa" w:w="60"/>
              <w:left w:type="dxa" w:w="90"/>
              <w:bottom w:type="dxa" w:w="60"/>
              <w:right w:type="dxa" w:w="90"/>
            </w:tcMar>
            <w:vAlign w:val="top"/>
          </w:tcPr>
          <w:p>
            <w:r>
              <w:rPr>
                <w:b w:val="false"/>
                <w:bCs w:val="false"/>
                <w:sz w:val="17"/>
                <w:szCs w:val="17"/>
              </w:rPr>
              <w:t xml:space="preserve">0.003 (0.000)</w:t>
            </w:r>
          </w:p>
        </w:tc>
      </w:tr>
    </w:tbl>
    <w:p>
      <w:pPr>
        <w:spacing w:after="160"/>
      </w:pPr>
      <w:r>
        <w:rPr>
          <w:i/>
          <w:iCs/>
          <w:color w:val="555555"/>
          <w:sz w:val="18"/>
          <w:szCs w:val="18"/>
        </w:rPr>
        <w:t xml:space="preserve">Note. </w:t>
      </w:r>
      <w:r>
        <w:rPr>
          <w:i/>
          <w:iCs/>
          <w:color w:val="555555"/>
          <w:sz w:val="18"/>
          <w:szCs w:val="18"/>
        </w:rPr>
        <w:t xml:space="preserve">ECE = Expected Calibration Error (15 bins, vs hard argmax). BS = Brier Score vs full soft distribution. Gap = TS-Hard BS − TS-Soft BS. TS-Soft is an oracle condition not deployable without soft-label calibration data.</w:t>
      </w:r>
    </w:p>
    <w:p>
      <w:pPr>
        <w:spacing w:after="160" w:line="264"/>
        <w:jc w:val="both"/>
      </w:pPr>
      <w:r>
        <w:t xml:space="preserve">The soft-label calibration gap is positive for all three models (H1 supported) and increases monotonically with scale — 0.002, 0.003, 0.003 for ResNet-18, -50, -101 (H2 supported in vision). The T_oracle/T_hard ratio ranges from 1.19 to 1.32, consistent with the low annotator disagreement rate in CIFAR-10H.</w:t>
      </w:r>
    </w:p>
    <w:p>
      <w:pPr>
        <w:pStyle w:val="Heading2"/>
        <w:spacing w:after="100" w:before="220"/>
      </w:pPr>
      <w:r>
        <w:rPr>
          <w:rFonts w:ascii="Times New Roman" w:cs="Times New Roman" w:eastAsia="Times New Roman" w:hAnsi="Times New Roman"/>
          <w:b/>
          <w:bCs/>
          <w:sz w:val="22"/>
          <w:szCs w:val="22"/>
        </w:rPr>
        <w:t xml:space="preserve">5.2  Language: ChaosNLI</w:t>
      </w:r>
    </w:p>
    <w:p>
      <w:pPr>
        <w:spacing w:after="60" w:before="80"/>
        <w:jc w:val="center"/>
      </w:pPr>
      <w:r>
        <w:rPr>
          <w:b/>
          <w:bCs/>
          <w:sz w:val="18"/>
          <w:szCs w:val="18"/>
        </w:rPr>
        <w:t xml:space="preserve">Table 2. Calibration results on ChaosNLI-S and ChaosNLI-M across three BERT-family scales.</w:t>
      </w:r>
    </w:p>
    <w:tbl>
      <w:tblPr>
        <w:tblW w:type="dxa" w:w="8650"/>
        <w:tblBorders>
          <w:top w:val="single" w:color="auto" w:sz="4"/>
          <w:left w:val="single" w:color="auto" w:sz="4"/>
          <w:bottom w:val="single" w:color="auto" w:sz="4"/>
          <w:right w:val="single" w:color="auto" w:sz="4"/>
          <w:insideH w:val="single" w:color="auto" w:sz="4"/>
          <w:insideV w:val="single" w:color="auto" w:sz="4"/>
        </w:tblBorders>
      </w:tblPr>
      <w:tblGrid>
        <w:gridCol w:w="1250"/>
        <w:gridCol w:w="580"/>
        <w:gridCol w:w="1100"/>
        <w:gridCol w:w="1200"/>
        <w:gridCol w:w="1200"/>
        <w:gridCol w:w="1200"/>
        <w:gridCol w:w="1200"/>
        <w:gridCol w:w="920"/>
      </w:tblGrid>
      <w:tr>
        <w:trPr>
          <w:tblHeader/>
        </w:trPr>
        <w:tc>
          <w:tcPr>
            <w:tcW w:type="dxa" w:w="1250"/>
            <w:shd w:fill="F2F2F2" w:val="clear"/>
            <w:tcMar>
              <w:top w:type="dxa" w:w="60"/>
              <w:left w:type="dxa" w:w="90"/>
              <w:bottom w:type="dxa" w:w="60"/>
              <w:right w:type="dxa" w:w="90"/>
            </w:tcMar>
            <w:vAlign w:val="top"/>
          </w:tcPr>
          <w:p>
            <w:r>
              <w:rPr>
                <w:b/>
                <w:bCs/>
                <w:sz w:val="17"/>
                <w:szCs w:val="17"/>
              </w:rPr>
              <w:t xml:space="preserve">Model</w:t>
            </w:r>
          </w:p>
        </w:tc>
        <w:tc>
          <w:tcPr>
            <w:tcW w:type="dxa" w:w="580"/>
            <w:shd w:fill="F2F2F2" w:val="clear"/>
            <w:tcMar>
              <w:top w:type="dxa" w:w="60"/>
              <w:left w:type="dxa" w:w="90"/>
              <w:bottom w:type="dxa" w:w="60"/>
              <w:right w:type="dxa" w:w="90"/>
            </w:tcMar>
            <w:vAlign w:val="top"/>
          </w:tcPr>
          <w:p>
            <w:r>
              <w:rPr>
                <w:b/>
                <w:bCs/>
                <w:sz w:val="17"/>
                <w:szCs w:val="17"/>
              </w:rPr>
              <w:t xml:space="preserve">Split</w:t>
            </w:r>
          </w:p>
        </w:tc>
        <w:tc>
          <w:tcPr>
            <w:tcW w:type="dxa" w:w="1100"/>
            <w:shd w:fill="F2F2F2" w:val="clear"/>
            <w:tcMar>
              <w:top w:type="dxa" w:w="60"/>
              <w:left w:type="dxa" w:w="90"/>
              <w:bottom w:type="dxa" w:w="60"/>
              <w:right w:type="dxa" w:w="90"/>
            </w:tcMar>
            <w:vAlign w:val="top"/>
          </w:tcPr>
          <w:p>
            <w:r>
              <w:rPr>
                <w:b/>
                <w:bCs/>
                <w:sz w:val="17"/>
                <w:szCs w:val="17"/>
              </w:rPr>
              <w:t xml:space="preserve">Acc.</w:t>
            </w:r>
          </w:p>
        </w:tc>
        <w:tc>
          <w:tcPr>
            <w:tcW w:type="dxa" w:w="1200"/>
            <w:shd w:fill="F2F2F2" w:val="clear"/>
            <w:tcMar>
              <w:top w:type="dxa" w:w="60"/>
              <w:left w:type="dxa" w:w="90"/>
              <w:bottom w:type="dxa" w:w="60"/>
              <w:right w:type="dxa" w:w="90"/>
            </w:tcMar>
            <w:vAlign w:val="top"/>
          </w:tcPr>
          <w:p>
            <w:r>
              <w:rPr>
                <w:b/>
                <w:bCs/>
                <w:sz w:val="17"/>
                <w:szCs w:val="17"/>
              </w:rPr>
              <w:t xml:space="preserve">TS-Hard ECE</w:t>
            </w:r>
          </w:p>
        </w:tc>
        <w:tc>
          <w:tcPr>
            <w:tcW w:type="dxa" w:w="1200"/>
            <w:shd w:fill="F2F2F2" w:val="clear"/>
            <w:tcMar>
              <w:top w:type="dxa" w:w="60"/>
              <w:left w:type="dxa" w:w="90"/>
              <w:bottom w:type="dxa" w:w="60"/>
              <w:right w:type="dxa" w:w="90"/>
            </w:tcMar>
            <w:vAlign w:val="top"/>
          </w:tcPr>
          <w:p>
            <w:r>
              <w:rPr>
                <w:b/>
                <w:bCs/>
                <w:sz w:val="17"/>
                <w:szCs w:val="17"/>
              </w:rPr>
              <w:t xml:space="preserve">TS-Soft ECE</w:t>
            </w:r>
          </w:p>
        </w:tc>
        <w:tc>
          <w:tcPr>
            <w:tcW w:type="dxa" w:w="1200"/>
            <w:shd w:fill="F2F2F2" w:val="clear"/>
            <w:tcMar>
              <w:top w:type="dxa" w:w="60"/>
              <w:left w:type="dxa" w:w="90"/>
              <w:bottom w:type="dxa" w:w="60"/>
              <w:right w:type="dxa" w:w="90"/>
            </w:tcMar>
            <w:vAlign w:val="top"/>
          </w:tcPr>
          <w:p>
            <w:r>
              <w:rPr>
                <w:b/>
                <w:bCs/>
                <w:sz w:val="17"/>
                <w:szCs w:val="17"/>
              </w:rPr>
              <w:t xml:space="preserve">TS-Hard BS</w:t>
            </w:r>
          </w:p>
        </w:tc>
        <w:tc>
          <w:tcPr>
            <w:tcW w:type="dxa" w:w="1200"/>
            <w:shd w:fill="F2F2F2" w:val="clear"/>
            <w:tcMar>
              <w:top w:type="dxa" w:w="60"/>
              <w:left w:type="dxa" w:w="90"/>
              <w:bottom w:type="dxa" w:w="60"/>
              <w:right w:type="dxa" w:w="90"/>
            </w:tcMar>
            <w:vAlign w:val="top"/>
          </w:tcPr>
          <w:p>
            <w:r>
              <w:rPr>
                <w:b/>
                <w:bCs/>
                <w:sz w:val="17"/>
                <w:szCs w:val="17"/>
              </w:rPr>
              <w:t xml:space="preserve">TS-Soft BS</w:t>
            </w:r>
          </w:p>
        </w:tc>
        <w:tc>
          <w:tcPr>
            <w:tcW w:type="dxa" w:w="920"/>
            <w:shd w:fill="F2F2F2" w:val="clear"/>
            <w:tcMar>
              <w:top w:type="dxa" w:w="60"/>
              <w:left w:type="dxa" w:w="90"/>
              <w:bottom w:type="dxa" w:w="60"/>
              <w:right w:type="dxa" w:w="90"/>
            </w:tcMar>
            <w:vAlign w:val="top"/>
          </w:tcPr>
          <w:p>
            <w:r>
              <w:rPr>
                <w:b/>
                <w:bCs/>
                <w:sz w:val="17"/>
                <w:szCs w:val="17"/>
              </w:rPr>
              <w:t xml:space="preserve">Gap</w:t>
            </w:r>
          </w:p>
        </w:tc>
      </w:tr>
      <w:tr>
        <w:tc>
          <w:tcPr>
            <w:tcW w:type="dxa" w:w="1250"/>
            <w:tcMar>
              <w:top w:type="dxa" w:w="60"/>
              <w:left w:type="dxa" w:w="90"/>
              <w:bottom w:type="dxa" w:w="60"/>
              <w:right w:type="dxa" w:w="90"/>
            </w:tcMar>
            <w:vAlign w:val="top"/>
          </w:tcPr>
          <w:p>
            <w:r>
              <w:rPr>
                <w:b w:val="false"/>
                <w:bCs w:val="false"/>
                <w:sz w:val="17"/>
                <w:szCs w:val="17"/>
              </w:rPr>
              <w:t xml:space="preserve">DistilBERT</w:t>
            </w:r>
          </w:p>
        </w:tc>
        <w:tc>
          <w:tcPr>
            <w:tcW w:type="dxa" w:w="580"/>
            <w:tcMar>
              <w:top w:type="dxa" w:w="60"/>
              <w:left w:type="dxa" w:w="90"/>
              <w:bottom w:type="dxa" w:w="60"/>
              <w:right w:type="dxa" w:w="90"/>
            </w:tcMar>
            <w:vAlign w:val="top"/>
          </w:tcPr>
          <w:p>
            <w:r>
              <w:rPr>
                <w:b w:val="false"/>
                <w:bCs w:val="false"/>
                <w:sz w:val="17"/>
                <w:szCs w:val="17"/>
              </w:rPr>
              <w:t xml:space="preserve">S</w:t>
            </w:r>
          </w:p>
        </w:tc>
        <w:tc>
          <w:tcPr>
            <w:tcW w:type="dxa" w:w="1100"/>
            <w:tcMar>
              <w:top w:type="dxa" w:w="60"/>
              <w:left w:type="dxa" w:w="90"/>
              <w:bottom w:type="dxa" w:w="60"/>
              <w:right w:type="dxa" w:w="90"/>
            </w:tcMar>
            <w:vAlign w:val="top"/>
          </w:tcPr>
          <w:p>
            <w:r>
              <w:rPr>
                <w:b w:val="false"/>
                <w:bCs w:val="false"/>
                <w:sz w:val="17"/>
                <w:szCs w:val="17"/>
              </w:rPr>
              <w:t xml:space="preserve">0.748 (0.010)</w:t>
            </w:r>
          </w:p>
        </w:tc>
        <w:tc>
          <w:tcPr>
            <w:tcW w:type="dxa" w:w="1200"/>
            <w:tcMar>
              <w:top w:type="dxa" w:w="60"/>
              <w:left w:type="dxa" w:w="90"/>
              <w:bottom w:type="dxa" w:w="60"/>
              <w:right w:type="dxa" w:w="90"/>
            </w:tcMar>
            <w:vAlign w:val="top"/>
          </w:tcPr>
          <w:p>
            <w:r>
              <w:rPr>
                <w:b w:val="false"/>
                <w:bCs w:val="false"/>
                <w:sz w:val="17"/>
                <w:szCs w:val="17"/>
              </w:rPr>
              <w:t xml:space="preserve">0.091 (0.010)</w:t>
            </w:r>
          </w:p>
        </w:tc>
        <w:tc>
          <w:tcPr>
            <w:tcW w:type="dxa" w:w="1200"/>
            <w:tcMar>
              <w:top w:type="dxa" w:w="60"/>
              <w:left w:type="dxa" w:w="90"/>
              <w:bottom w:type="dxa" w:w="60"/>
              <w:right w:type="dxa" w:w="90"/>
            </w:tcMar>
            <w:vAlign w:val="top"/>
          </w:tcPr>
          <w:p>
            <w:r>
              <w:rPr>
                <w:b w:val="false"/>
                <w:bCs w:val="false"/>
                <w:sz w:val="17"/>
                <w:szCs w:val="17"/>
              </w:rPr>
              <w:t xml:space="preserve">0.130 (0.008)</w:t>
            </w:r>
          </w:p>
        </w:tc>
        <w:tc>
          <w:tcPr>
            <w:tcW w:type="dxa" w:w="1200"/>
            <w:tcMar>
              <w:top w:type="dxa" w:w="60"/>
              <w:left w:type="dxa" w:w="90"/>
              <w:bottom w:type="dxa" w:w="60"/>
              <w:right w:type="dxa" w:w="90"/>
            </w:tcMar>
            <w:vAlign w:val="top"/>
          </w:tcPr>
          <w:p>
            <w:r>
              <w:rPr>
                <w:b w:val="false"/>
                <w:bCs w:val="false"/>
                <w:sz w:val="17"/>
                <w:szCs w:val="17"/>
              </w:rPr>
              <w:t xml:space="preserve">0.184 (0.005)</w:t>
            </w:r>
          </w:p>
        </w:tc>
        <w:tc>
          <w:tcPr>
            <w:tcW w:type="dxa" w:w="1200"/>
            <w:tcMar>
              <w:top w:type="dxa" w:w="60"/>
              <w:left w:type="dxa" w:w="90"/>
              <w:bottom w:type="dxa" w:w="60"/>
              <w:right w:type="dxa" w:w="90"/>
            </w:tcMar>
            <w:vAlign w:val="top"/>
          </w:tcPr>
          <w:p>
            <w:r>
              <w:rPr>
                <w:b w:val="false"/>
                <w:bCs w:val="false"/>
                <w:sz w:val="17"/>
                <w:szCs w:val="17"/>
              </w:rPr>
              <w:t xml:space="preserve">0.140 (0.004)</w:t>
            </w:r>
          </w:p>
        </w:tc>
        <w:tc>
          <w:tcPr>
            <w:tcW w:type="dxa" w:w="920"/>
            <w:tcMar>
              <w:top w:type="dxa" w:w="60"/>
              <w:left w:type="dxa" w:w="90"/>
              <w:bottom w:type="dxa" w:w="60"/>
              <w:right w:type="dxa" w:w="90"/>
            </w:tcMar>
            <w:vAlign w:val="top"/>
          </w:tcPr>
          <w:p>
            <w:r>
              <w:rPr>
                <w:b w:val="false"/>
                <w:bCs w:val="false"/>
                <w:sz w:val="17"/>
                <w:szCs w:val="17"/>
              </w:rPr>
              <w:t xml:space="preserve">0.045 (0.001)</w:t>
            </w:r>
          </w:p>
        </w:tc>
      </w:tr>
      <w:tr>
        <w:tc>
          <w:tcPr>
            <w:tcW w:type="dxa" w:w="1250"/>
            <w:tcMar>
              <w:top w:type="dxa" w:w="60"/>
              <w:left w:type="dxa" w:w="90"/>
              <w:bottom w:type="dxa" w:w="60"/>
              <w:right w:type="dxa" w:w="90"/>
            </w:tcMar>
            <w:vAlign w:val="top"/>
          </w:tcPr>
          <w:p>
            <w:r>
              <w:rPr>
                <w:b w:val="false"/>
                <w:bCs w:val="false"/>
                <w:sz w:val="17"/>
                <w:szCs w:val="17"/>
              </w:rPr>
              <w:t xml:space="preserve">BERT-base</w:t>
            </w:r>
          </w:p>
        </w:tc>
        <w:tc>
          <w:tcPr>
            <w:tcW w:type="dxa" w:w="580"/>
            <w:tcMar>
              <w:top w:type="dxa" w:w="60"/>
              <w:left w:type="dxa" w:w="90"/>
              <w:bottom w:type="dxa" w:w="60"/>
              <w:right w:type="dxa" w:w="90"/>
            </w:tcMar>
            <w:vAlign w:val="top"/>
          </w:tcPr>
          <w:p>
            <w:r>
              <w:rPr>
                <w:b w:val="false"/>
                <w:bCs w:val="false"/>
                <w:sz w:val="17"/>
                <w:szCs w:val="17"/>
              </w:rPr>
              <w:t xml:space="preserve">S</w:t>
            </w:r>
          </w:p>
        </w:tc>
        <w:tc>
          <w:tcPr>
            <w:tcW w:type="dxa" w:w="1100"/>
            <w:tcMar>
              <w:top w:type="dxa" w:w="60"/>
              <w:left w:type="dxa" w:w="90"/>
              <w:bottom w:type="dxa" w:w="60"/>
              <w:right w:type="dxa" w:w="90"/>
            </w:tcMar>
            <w:vAlign w:val="top"/>
          </w:tcPr>
          <w:p>
            <w:r>
              <w:rPr>
                <w:b w:val="false"/>
                <w:bCs w:val="false"/>
                <w:sz w:val="17"/>
                <w:szCs w:val="17"/>
              </w:rPr>
              <w:t xml:space="preserve">0.712 (0.012)</w:t>
            </w:r>
          </w:p>
        </w:tc>
        <w:tc>
          <w:tcPr>
            <w:tcW w:type="dxa" w:w="1200"/>
            <w:tcMar>
              <w:top w:type="dxa" w:w="60"/>
              <w:left w:type="dxa" w:w="90"/>
              <w:bottom w:type="dxa" w:w="60"/>
              <w:right w:type="dxa" w:w="90"/>
            </w:tcMar>
            <w:vAlign w:val="top"/>
          </w:tcPr>
          <w:p>
            <w:r>
              <w:rPr>
                <w:b w:val="false"/>
                <w:bCs w:val="false"/>
                <w:sz w:val="17"/>
                <w:szCs w:val="17"/>
              </w:rPr>
              <w:t xml:space="preserve">0.108 (0.010)</w:t>
            </w:r>
          </w:p>
        </w:tc>
        <w:tc>
          <w:tcPr>
            <w:tcW w:type="dxa" w:w="1200"/>
            <w:tcMar>
              <w:top w:type="dxa" w:w="60"/>
              <w:left w:type="dxa" w:w="90"/>
              <w:bottom w:type="dxa" w:w="60"/>
              <w:right w:type="dxa" w:w="90"/>
            </w:tcMar>
            <w:vAlign w:val="top"/>
          </w:tcPr>
          <w:p>
            <w:r>
              <w:rPr>
                <w:b w:val="false"/>
                <w:bCs w:val="false"/>
                <w:sz w:val="17"/>
                <w:szCs w:val="17"/>
              </w:rPr>
              <w:t xml:space="preserve">0.099 (0.003)</w:t>
            </w:r>
          </w:p>
        </w:tc>
        <w:tc>
          <w:tcPr>
            <w:tcW w:type="dxa" w:w="1200"/>
            <w:tcMar>
              <w:top w:type="dxa" w:w="60"/>
              <w:left w:type="dxa" w:w="90"/>
              <w:bottom w:type="dxa" w:w="60"/>
              <w:right w:type="dxa" w:w="90"/>
            </w:tcMar>
            <w:vAlign w:val="top"/>
          </w:tcPr>
          <w:p>
            <w:r>
              <w:rPr>
                <w:b w:val="false"/>
                <w:bCs w:val="false"/>
                <w:sz w:val="17"/>
                <w:szCs w:val="17"/>
              </w:rPr>
              <w:t xml:space="preserve">0.206 (0.012)</w:t>
            </w:r>
          </w:p>
        </w:tc>
        <w:tc>
          <w:tcPr>
            <w:tcW w:type="dxa" w:w="1200"/>
            <w:tcMar>
              <w:top w:type="dxa" w:w="60"/>
              <w:left w:type="dxa" w:w="90"/>
              <w:bottom w:type="dxa" w:w="60"/>
              <w:right w:type="dxa" w:w="90"/>
            </w:tcMar>
            <w:vAlign w:val="top"/>
          </w:tcPr>
          <w:p>
            <w:r>
              <w:rPr>
                <w:b w:val="false"/>
                <w:bCs w:val="false"/>
                <w:sz w:val="17"/>
                <w:szCs w:val="17"/>
              </w:rPr>
              <w:t xml:space="preserve">0.156 (0.010)</w:t>
            </w:r>
          </w:p>
        </w:tc>
        <w:tc>
          <w:tcPr>
            <w:tcW w:type="dxa" w:w="920"/>
            <w:tcMar>
              <w:top w:type="dxa" w:w="60"/>
              <w:left w:type="dxa" w:w="90"/>
              <w:bottom w:type="dxa" w:w="60"/>
              <w:right w:type="dxa" w:w="90"/>
            </w:tcMar>
            <w:vAlign w:val="top"/>
          </w:tcPr>
          <w:p>
            <w:r>
              <w:rPr>
                <w:b w:val="false"/>
                <w:bCs w:val="false"/>
                <w:sz w:val="17"/>
                <w:szCs w:val="17"/>
              </w:rPr>
              <w:t xml:space="preserve">0.050 (0.002)</w:t>
            </w:r>
          </w:p>
        </w:tc>
      </w:tr>
      <w:tr>
        <w:tc>
          <w:tcPr>
            <w:tcW w:type="dxa" w:w="1250"/>
            <w:tcMar>
              <w:top w:type="dxa" w:w="60"/>
              <w:left w:type="dxa" w:w="90"/>
              <w:bottom w:type="dxa" w:w="60"/>
              <w:right w:type="dxa" w:w="90"/>
            </w:tcMar>
            <w:vAlign w:val="top"/>
          </w:tcPr>
          <w:p>
            <w:r>
              <w:rPr>
                <w:b w:val="false"/>
                <w:bCs w:val="false"/>
                <w:sz w:val="17"/>
                <w:szCs w:val="17"/>
              </w:rPr>
              <w:t xml:space="preserve">BERT-large</w:t>
            </w:r>
          </w:p>
        </w:tc>
        <w:tc>
          <w:tcPr>
            <w:tcW w:type="dxa" w:w="580"/>
            <w:tcMar>
              <w:top w:type="dxa" w:w="60"/>
              <w:left w:type="dxa" w:w="90"/>
              <w:bottom w:type="dxa" w:w="60"/>
              <w:right w:type="dxa" w:w="90"/>
            </w:tcMar>
            <w:vAlign w:val="top"/>
          </w:tcPr>
          <w:p>
            <w:r>
              <w:rPr>
                <w:b w:val="false"/>
                <w:bCs w:val="false"/>
                <w:sz w:val="17"/>
                <w:szCs w:val="17"/>
              </w:rPr>
              <w:t xml:space="preserve">S</w:t>
            </w:r>
          </w:p>
        </w:tc>
        <w:tc>
          <w:tcPr>
            <w:tcW w:type="dxa" w:w="1100"/>
            <w:tcMar>
              <w:top w:type="dxa" w:w="60"/>
              <w:left w:type="dxa" w:w="90"/>
              <w:bottom w:type="dxa" w:w="60"/>
              <w:right w:type="dxa" w:w="90"/>
            </w:tcMar>
            <w:vAlign w:val="top"/>
          </w:tcPr>
          <w:p>
            <w:r>
              <w:rPr>
                <w:b w:val="false"/>
                <w:bCs w:val="false"/>
                <w:sz w:val="17"/>
                <w:szCs w:val="17"/>
              </w:rPr>
              <w:t xml:space="preserve">0.570 (0.010)</w:t>
            </w:r>
          </w:p>
        </w:tc>
        <w:tc>
          <w:tcPr>
            <w:tcW w:type="dxa" w:w="1200"/>
            <w:tcMar>
              <w:top w:type="dxa" w:w="60"/>
              <w:left w:type="dxa" w:w="90"/>
              <w:bottom w:type="dxa" w:w="60"/>
              <w:right w:type="dxa" w:w="90"/>
            </w:tcMar>
            <w:vAlign w:val="top"/>
          </w:tcPr>
          <w:p>
            <w:r>
              <w:rPr>
                <w:b w:val="false"/>
                <w:bCs w:val="false"/>
                <w:sz w:val="17"/>
                <w:szCs w:val="17"/>
              </w:rPr>
              <w:t xml:space="preserve">0.136 (0.011)</w:t>
            </w:r>
          </w:p>
        </w:tc>
        <w:tc>
          <w:tcPr>
            <w:tcW w:type="dxa" w:w="1200"/>
            <w:tcMar>
              <w:top w:type="dxa" w:w="60"/>
              <w:left w:type="dxa" w:w="90"/>
              <w:bottom w:type="dxa" w:w="60"/>
              <w:right w:type="dxa" w:w="90"/>
            </w:tcMar>
            <w:vAlign w:val="top"/>
          </w:tcPr>
          <w:p>
            <w:r>
              <w:rPr>
                <w:b w:val="false"/>
                <w:bCs w:val="false"/>
                <w:sz w:val="17"/>
                <w:szCs w:val="17"/>
              </w:rPr>
              <w:t xml:space="preserve">0.051 (0.005)</w:t>
            </w:r>
          </w:p>
        </w:tc>
        <w:tc>
          <w:tcPr>
            <w:tcW w:type="dxa" w:w="1200"/>
            <w:tcMar>
              <w:top w:type="dxa" w:w="60"/>
              <w:left w:type="dxa" w:w="90"/>
              <w:bottom w:type="dxa" w:w="60"/>
              <w:right w:type="dxa" w:w="90"/>
            </w:tcMar>
            <w:vAlign w:val="top"/>
          </w:tcPr>
          <w:p>
            <w:r>
              <w:rPr>
                <w:b w:val="false"/>
                <w:bCs w:val="false"/>
                <w:sz w:val="17"/>
                <w:szCs w:val="17"/>
              </w:rPr>
              <w:t xml:space="preserve">0.292 (0.012)</w:t>
            </w:r>
          </w:p>
        </w:tc>
        <w:tc>
          <w:tcPr>
            <w:tcW w:type="dxa" w:w="1200"/>
            <w:tcMar>
              <w:top w:type="dxa" w:w="60"/>
              <w:left w:type="dxa" w:w="90"/>
              <w:bottom w:type="dxa" w:w="60"/>
              <w:right w:type="dxa" w:w="90"/>
            </w:tcMar>
            <w:vAlign w:val="top"/>
          </w:tcPr>
          <w:p>
            <w:r>
              <w:rPr>
                <w:b w:val="false"/>
                <w:bCs w:val="false"/>
                <w:sz w:val="17"/>
                <w:szCs w:val="17"/>
              </w:rPr>
              <w:t xml:space="preserve">0.240 (0.007)</w:t>
            </w:r>
          </w:p>
        </w:tc>
        <w:tc>
          <w:tcPr>
            <w:tcW w:type="dxa" w:w="920"/>
            <w:tcMar>
              <w:top w:type="dxa" w:w="60"/>
              <w:left w:type="dxa" w:w="90"/>
              <w:bottom w:type="dxa" w:w="60"/>
              <w:right w:type="dxa" w:w="90"/>
            </w:tcMar>
            <w:vAlign w:val="top"/>
          </w:tcPr>
          <w:p>
            <w:r>
              <w:rPr>
                <w:b w:val="false"/>
                <w:bCs w:val="false"/>
                <w:sz w:val="17"/>
                <w:szCs w:val="17"/>
              </w:rPr>
              <w:t xml:space="preserve">0.052 (0.006)</w:t>
            </w:r>
          </w:p>
        </w:tc>
      </w:tr>
      <w:tr>
        <w:tc>
          <w:tcPr>
            <w:tcW w:type="dxa" w:w="1250"/>
            <w:tcMar>
              <w:top w:type="dxa" w:w="60"/>
              <w:left w:type="dxa" w:w="90"/>
              <w:bottom w:type="dxa" w:w="60"/>
              <w:right w:type="dxa" w:w="90"/>
            </w:tcMar>
            <w:vAlign w:val="top"/>
          </w:tcPr>
          <w:p>
            <w:r>
              <w:rPr>
                <w:b w:val="false"/>
                <w:bCs w:val="false"/>
                <w:sz w:val="17"/>
                <w:szCs w:val="17"/>
              </w:rPr>
              <w:t xml:space="preserve">DistilBERT</w:t>
            </w:r>
          </w:p>
        </w:tc>
        <w:tc>
          <w:tcPr>
            <w:tcW w:type="dxa" w:w="580"/>
            <w:tcMar>
              <w:top w:type="dxa" w:w="60"/>
              <w:left w:type="dxa" w:w="90"/>
              <w:bottom w:type="dxa" w:w="60"/>
              <w:right w:type="dxa" w:w="90"/>
            </w:tcMar>
            <w:vAlign w:val="top"/>
          </w:tcPr>
          <w:p>
            <w:r>
              <w:rPr>
                <w:b w:val="false"/>
                <w:bCs w:val="false"/>
                <w:sz w:val="17"/>
                <w:szCs w:val="17"/>
              </w:rPr>
              <w:t xml:space="preserve">M</w:t>
            </w:r>
          </w:p>
        </w:tc>
        <w:tc>
          <w:tcPr>
            <w:tcW w:type="dxa" w:w="1100"/>
            <w:tcMar>
              <w:top w:type="dxa" w:w="60"/>
              <w:left w:type="dxa" w:w="90"/>
              <w:bottom w:type="dxa" w:w="60"/>
              <w:right w:type="dxa" w:w="90"/>
            </w:tcMar>
            <w:vAlign w:val="top"/>
          </w:tcPr>
          <w:p>
            <w:r>
              <w:rPr>
                <w:b w:val="false"/>
                <w:bCs w:val="false"/>
                <w:sz w:val="17"/>
                <w:szCs w:val="17"/>
              </w:rPr>
              <w:t xml:space="preserve">0.501 (0.014)</w:t>
            </w:r>
          </w:p>
        </w:tc>
        <w:tc>
          <w:tcPr>
            <w:tcW w:type="dxa" w:w="1200"/>
            <w:tcMar>
              <w:top w:type="dxa" w:w="60"/>
              <w:left w:type="dxa" w:w="90"/>
              <w:bottom w:type="dxa" w:w="60"/>
              <w:right w:type="dxa" w:w="90"/>
            </w:tcMar>
            <w:vAlign w:val="top"/>
          </w:tcPr>
          <w:p>
            <w:r>
              <w:rPr>
                <w:b w:val="false"/>
                <w:bCs w:val="false"/>
                <w:sz w:val="17"/>
                <w:szCs w:val="17"/>
              </w:rPr>
              <w:t xml:space="preserve">0.241 (0.015)</w:t>
            </w:r>
          </w:p>
        </w:tc>
        <w:tc>
          <w:tcPr>
            <w:tcW w:type="dxa" w:w="1200"/>
            <w:tcMar>
              <w:top w:type="dxa" w:w="60"/>
              <w:left w:type="dxa" w:w="90"/>
              <w:bottom w:type="dxa" w:w="60"/>
              <w:right w:type="dxa" w:w="90"/>
            </w:tcMar>
            <w:vAlign w:val="top"/>
          </w:tcPr>
          <w:p>
            <w:r>
              <w:rPr>
                <w:b w:val="false"/>
                <w:bCs w:val="false"/>
                <w:sz w:val="17"/>
                <w:szCs w:val="17"/>
              </w:rPr>
              <w:t xml:space="preserve">0.041 (0.005)</w:t>
            </w:r>
          </w:p>
        </w:tc>
        <w:tc>
          <w:tcPr>
            <w:tcW w:type="dxa" w:w="1200"/>
            <w:tcMar>
              <w:top w:type="dxa" w:w="60"/>
              <w:left w:type="dxa" w:w="90"/>
              <w:bottom w:type="dxa" w:w="60"/>
              <w:right w:type="dxa" w:w="90"/>
            </w:tcMar>
            <w:vAlign w:val="top"/>
          </w:tcPr>
          <w:p>
            <w:r>
              <w:rPr>
                <w:b w:val="false"/>
                <w:bCs w:val="false"/>
                <w:sz w:val="17"/>
                <w:szCs w:val="17"/>
              </w:rPr>
              <w:t xml:space="preserve">0.302 (0.011)</w:t>
            </w:r>
          </w:p>
        </w:tc>
        <w:tc>
          <w:tcPr>
            <w:tcW w:type="dxa" w:w="1200"/>
            <w:tcMar>
              <w:top w:type="dxa" w:w="60"/>
              <w:left w:type="dxa" w:w="90"/>
              <w:bottom w:type="dxa" w:w="60"/>
              <w:right w:type="dxa" w:w="90"/>
            </w:tcMar>
            <w:vAlign w:val="top"/>
          </w:tcPr>
          <w:p>
            <w:r>
              <w:rPr>
                <w:b w:val="false"/>
                <w:bCs w:val="false"/>
                <w:sz w:val="17"/>
                <w:szCs w:val="17"/>
              </w:rPr>
              <w:t xml:space="preserve">0.169 (0.004)</w:t>
            </w:r>
          </w:p>
        </w:tc>
        <w:tc>
          <w:tcPr>
            <w:tcW w:type="dxa" w:w="920"/>
            <w:tcMar>
              <w:top w:type="dxa" w:w="60"/>
              <w:left w:type="dxa" w:w="90"/>
              <w:bottom w:type="dxa" w:w="60"/>
              <w:right w:type="dxa" w:w="90"/>
            </w:tcMar>
            <w:vAlign w:val="top"/>
          </w:tcPr>
          <w:p>
            <w:r>
              <w:rPr>
                <w:b w:val="false"/>
                <w:bCs w:val="false"/>
                <w:sz w:val="17"/>
                <w:szCs w:val="17"/>
              </w:rPr>
              <w:t xml:space="preserve">0.134 (0.007)</w:t>
            </w:r>
          </w:p>
        </w:tc>
      </w:tr>
      <w:tr>
        <w:tc>
          <w:tcPr>
            <w:tcW w:type="dxa" w:w="1250"/>
            <w:tcMar>
              <w:top w:type="dxa" w:w="60"/>
              <w:left w:type="dxa" w:w="90"/>
              <w:bottom w:type="dxa" w:w="60"/>
              <w:right w:type="dxa" w:w="90"/>
            </w:tcMar>
            <w:vAlign w:val="top"/>
          </w:tcPr>
          <w:p>
            <w:r>
              <w:rPr>
                <w:b w:val="false"/>
                <w:bCs w:val="false"/>
                <w:sz w:val="17"/>
                <w:szCs w:val="17"/>
              </w:rPr>
              <w:t xml:space="preserve">BERT-base</w:t>
            </w:r>
          </w:p>
        </w:tc>
        <w:tc>
          <w:tcPr>
            <w:tcW w:type="dxa" w:w="580"/>
            <w:tcMar>
              <w:top w:type="dxa" w:w="60"/>
              <w:left w:type="dxa" w:w="90"/>
              <w:bottom w:type="dxa" w:w="60"/>
              <w:right w:type="dxa" w:w="90"/>
            </w:tcMar>
            <w:vAlign w:val="top"/>
          </w:tcPr>
          <w:p>
            <w:r>
              <w:rPr>
                <w:b w:val="false"/>
                <w:bCs w:val="false"/>
                <w:sz w:val="17"/>
                <w:szCs w:val="17"/>
              </w:rPr>
              <w:t xml:space="preserve">M</w:t>
            </w:r>
          </w:p>
        </w:tc>
        <w:tc>
          <w:tcPr>
            <w:tcW w:type="dxa" w:w="1100"/>
            <w:tcMar>
              <w:top w:type="dxa" w:w="60"/>
              <w:left w:type="dxa" w:w="90"/>
              <w:bottom w:type="dxa" w:w="60"/>
              <w:right w:type="dxa" w:w="90"/>
            </w:tcMar>
            <w:vAlign w:val="top"/>
          </w:tcPr>
          <w:p>
            <w:r>
              <w:rPr>
                <w:b w:val="false"/>
                <w:bCs w:val="false"/>
                <w:sz w:val="17"/>
                <w:szCs w:val="17"/>
              </w:rPr>
              <w:t xml:space="preserve">0.531 (0.008)</w:t>
            </w:r>
          </w:p>
        </w:tc>
        <w:tc>
          <w:tcPr>
            <w:tcW w:type="dxa" w:w="1200"/>
            <w:tcMar>
              <w:top w:type="dxa" w:w="60"/>
              <w:left w:type="dxa" w:w="90"/>
              <w:bottom w:type="dxa" w:w="60"/>
              <w:right w:type="dxa" w:w="90"/>
            </w:tcMar>
            <w:vAlign w:val="top"/>
          </w:tcPr>
          <w:p>
            <w:r>
              <w:rPr>
                <w:b w:val="false"/>
                <w:bCs w:val="false"/>
                <w:sz w:val="17"/>
                <w:szCs w:val="17"/>
              </w:rPr>
              <w:t xml:space="preserve">0.204 (0.013)</w:t>
            </w:r>
          </w:p>
        </w:tc>
        <w:tc>
          <w:tcPr>
            <w:tcW w:type="dxa" w:w="1200"/>
            <w:tcMar>
              <w:top w:type="dxa" w:w="60"/>
              <w:left w:type="dxa" w:w="90"/>
              <w:bottom w:type="dxa" w:w="60"/>
              <w:right w:type="dxa" w:w="90"/>
            </w:tcMar>
            <w:vAlign w:val="top"/>
          </w:tcPr>
          <w:p>
            <w:r>
              <w:rPr>
                <w:b w:val="false"/>
                <w:bCs w:val="false"/>
                <w:sz w:val="17"/>
                <w:szCs w:val="17"/>
              </w:rPr>
              <w:t xml:space="preserve">0.054 (0.016)</w:t>
            </w:r>
          </w:p>
        </w:tc>
        <w:tc>
          <w:tcPr>
            <w:tcW w:type="dxa" w:w="1200"/>
            <w:tcMar>
              <w:top w:type="dxa" w:w="60"/>
              <w:left w:type="dxa" w:w="90"/>
              <w:bottom w:type="dxa" w:w="60"/>
              <w:right w:type="dxa" w:w="90"/>
            </w:tcMar>
            <w:vAlign w:val="top"/>
          </w:tcPr>
          <w:p>
            <w:r>
              <w:rPr>
                <w:b w:val="false"/>
                <w:bCs w:val="false"/>
                <w:sz w:val="17"/>
                <w:szCs w:val="17"/>
              </w:rPr>
              <w:t xml:space="preserve">0.284 (0.004)</w:t>
            </w:r>
          </w:p>
        </w:tc>
        <w:tc>
          <w:tcPr>
            <w:tcW w:type="dxa" w:w="1200"/>
            <w:tcMar>
              <w:top w:type="dxa" w:w="60"/>
              <w:left w:type="dxa" w:w="90"/>
              <w:bottom w:type="dxa" w:w="60"/>
              <w:right w:type="dxa" w:w="90"/>
            </w:tcMar>
            <w:vAlign w:val="top"/>
          </w:tcPr>
          <w:p>
            <w:r>
              <w:rPr>
                <w:b w:val="false"/>
                <w:bCs w:val="false"/>
                <w:sz w:val="17"/>
                <w:szCs w:val="17"/>
              </w:rPr>
              <w:t xml:space="preserve">0.165 (0.002)</w:t>
            </w:r>
          </w:p>
        </w:tc>
        <w:tc>
          <w:tcPr>
            <w:tcW w:type="dxa" w:w="920"/>
            <w:tcMar>
              <w:top w:type="dxa" w:w="60"/>
              <w:left w:type="dxa" w:w="90"/>
              <w:bottom w:type="dxa" w:w="60"/>
              <w:right w:type="dxa" w:w="90"/>
            </w:tcMar>
            <w:vAlign w:val="top"/>
          </w:tcPr>
          <w:p>
            <w:r>
              <w:rPr>
                <w:b w:val="false"/>
                <w:bCs w:val="false"/>
                <w:sz w:val="17"/>
                <w:szCs w:val="17"/>
              </w:rPr>
              <w:t xml:space="preserve">0.119 (0.005)</w:t>
            </w:r>
          </w:p>
        </w:tc>
      </w:tr>
      <w:tr>
        <w:tc>
          <w:tcPr>
            <w:tcW w:type="dxa" w:w="1250"/>
            <w:tcMar>
              <w:top w:type="dxa" w:w="60"/>
              <w:left w:type="dxa" w:w="90"/>
              <w:bottom w:type="dxa" w:w="60"/>
              <w:right w:type="dxa" w:w="90"/>
            </w:tcMar>
            <w:vAlign w:val="top"/>
          </w:tcPr>
          <w:p>
            <w:r>
              <w:rPr>
                <w:b w:val="false"/>
                <w:bCs w:val="false"/>
                <w:sz w:val="17"/>
                <w:szCs w:val="17"/>
              </w:rPr>
              <w:t xml:space="preserve">BERT-large</w:t>
            </w:r>
          </w:p>
        </w:tc>
        <w:tc>
          <w:tcPr>
            <w:tcW w:type="dxa" w:w="580"/>
            <w:tcMar>
              <w:top w:type="dxa" w:w="60"/>
              <w:left w:type="dxa" w:w="90"/>
              <w:bottom w:type="dxa" w:w="60"/>
              <w:right w:type="dxa" w:w="90"/>
            </w:tcMar>
            <w:vAlign w:val="top"/>
          </w:tcPr>
          <w:p>
            <w:r>
              <w:rPr>
                <w:b w:val="false"/>
                <w:bCs w:val="false"/>
                <w:sz w:val="17"/>
                <w:szCs w:val="17"/>
              </w:rPr>
              <w:t xml:space="preserve">M</w:t>
            </w:r>
          </w:p>
        </w:tc>
        <w:tc>
          <w:tcPr>
            <w:tcW w:type="dxa" w:w="1100"/>
            <w:tcMar>
              <w:top w:type="dxa" w:w="60"/>
              <w:left w:type="dxa" w:w="90"/>
              <w:bottom w:type="dxa" w:w="60"/>
              <w:right w:type="dxa" w:w="90"/>
            </w:tcMar>
            <w:vAlign w:val="top"/>
          </w:tcPr>
          <w:p>
            <w:r>
              <w:rPr>
                <w:b w:val="false"/>
                <w:bCs w:val="false"/>
                <w:sz w:val="17"/>
                <w:szCs w:val="17"/>
              </w:rPr>
              <w:t xml:space="preserve">0.523 (0.009)</w:t>
            </w:r>
          </w:p>
        </w:tc>
        <w:tc>
          <w:tcPr>
            <w:tcW w:type="dxa" w:w="1200"/>
            <w:tcMar>
              <w:top w:type="dxa" w:w="60"/>
              <w:left w:type="dxa" w:w="90"/>
              <w:bottom w:type="dxa" w:w="60"/>
              <w:right w:type="dxa" w:w="90"/>
            </w:tcMar>
            <w:vAlign w:val="top"/>
          </w:tcPr>
          <w:p>
            <w:r>
              <w:rPr>
                <w:b w:val="false"/>
                <w:bCs w:val="false"/>
                <w:sz w:val="17"/>
                <w:szCs w:val="17"/>
              </w:rPr>
              <w:t xml:space="preserve">0.149 (0.010)</w:t>
            </w:r>
          </w:p>
        </w:tc>
        <w:tc>
          <w:tcPr>
            <w:tcW w:type="dxa" w:w="1200"/>
            <w:tcMar>
              <w:top w:type="dxa" w:w="60"/>
              <w:left w:type="dxa" w:w="90"/>
              <w:bottom w:type="dxa" w:w="60"/>
              <w:right w:type="dxa" w:w="90"/>
            </w:tcMar>
            <w:vAlign w:val="top"/>
          </w:tcPr>
          <w:p>
            <w:r>
              <w:rPr>
                <w:b w:val="false"/>
                <w:bCs w:val="false"/>
                <w:sz w:val="17"/>
                <w:szCs w:val="17"/>
              </w:rPr>
              <w:t xml:space="preserve">0.054 (0.011)</w:t>
            </w:r>
          </w:p>
        </w:tc>
        <w:tc>
          <w:tcPr>
            <w:tcW w:type="dxa" w:w="1200"/>
            <w:tcMar>
              <w:top w:type="dxa" w:w="60"/>
              <w:left w:type="dxa" w:w="90"/>
              <w:bottom w:type="dxa" w:w="60"/>
              <w:right w:type="dxa" w:w="90"/>
            </w:tcMar>
            <w:vAlign w:val="top"/>
          </w:tcPr>
          <w:p>
            <w:r>
              <w:rPr>
                <w:b w:val="false"/>
                <w:bCs w:val="false"/>
                <w:sz w:val="17"/>
                <w:szCs w:val="17"/>
              </w:rPr>
              <w:t xml:space="preserve">0.232 (0.006)</w:t>
            </w:r>
          </w:p>
        </w:tc>
        <w:tc>
          <w:tcPr>
            <w:tcW w:type="dxa" w:w="1200"/>
            <w:tcMar>
              <w:top w:type="dxa" w:w="60"/>
              <w:left w:type="dxa" w:w="90"/>
              <w:bottom w:type="dxa" w:w="60"/>
              <w:right w:type="dxa" w:w="90"/>
            </w:tcMar>
            <w:vAlign w:val="top"/>
          </w:tcPr>
          <w:p>
            <w:r>
              <w:rPr>
                <w:b w:val="false"/>
                <w:bCs w:val="false"/>
                <w:sz w:val="17"/>
                <w:szCs w:val="17"/>
              </w:rPr>
              <w:t xml:space="preserve">0.158 (0.002)</w:t>
            </w:r>
          </w:p>
        </w:tc>
        <w:tc>
          <w:tcPr>
            <w:tcW w:type="dxa" w:w="920"/>
            <w:tcMar>
              <w:top w:type="dxa" w:w="60"/>
              <w:left w:type="dxa" w:w="90"/>
              <w:bottom w:type="dxa" w:w="60"/>
              <w:right w:type="dxa" w:w="90"/>
            </w:tcMar>
            <w:vAlign w:val="top"/>
          </w:tcPr>
          <w:p>
            <w:r>
              <w:rPr>
                <w:b w:val="false"/>
                <w:bCs w:val="false"/>
                <w:sz w:val="17"/>
                <w:szCs w:val="17"/>
              </w:rPr>
              <w:t xml:space="preserve">0.074 (0.004)</w:t>
            </w:r>
          </w:p>
        </w:tc>
      </w:tr>
    </w:tbl>
    <w:p>
      <w:pPr>
        <w:spacing w:after="160"/>
      </w:pPr>
      <w:r>
        <w:rPr>
          <w:i/>
          <w:iCs/>
          <w:color w:val="555555"/>
          <w:sz w:val="18"/>
          <w:szCs w:val="18"/>
        </w:rPr>
        <w:t xml:space="preserve">Note. </w:t>
      </w:r>
      <w:r>
        <w:rPr>
          <w:i/>
          <w:iCs/>
          <w:color w:val="555555"/>
          <w:sz w:val="18"/>
          <w:szCs w:val="18"/>
        </w:rPr>
        <w:t xml:space="preserve">DS = ChaosNLI split (S = SNLI-derived, M = MNLI-derived). BERT-large on ChaosNLI-S has T_hard = 0.926; see Section 5.3.</w:t>
      </w:r>
    </w:p>
    <w:p>
      <w:pPr>
        <w:spacing w:after="160" w:line="264"/>
        <w:jc w:val="both"/>
      </w:pPr>
      <w:r>
        <w:t xml:space="preserve">On ChaosNLI-S the gap increases monotonically with scale: 0.045, 0.050, 0.052 (H2 supported). The T_oracle/T_hard ratio is 2.3–3.5× in the language domain versus 1.2–1.3× in vision. The gap of 0.052 for BERT-large on ChaosNLI-S corresponds to roughly 18% of the uncalibrated Brier Score.</w:t>
      </w:r>
    </w:p>
    <w:p>
      <w:pPr>
        <w:pStyle w:val="Heading2"/>
        <w:spacing w:after="100" w:before="220"/>
      </w:pPr>
      <w:r>
        <w:rPr>
          <w:rFonts w:ascii="Times New Roman" w:cs="Times New Roman" w:eastAsia="Times New Roman" w:hAnsi="Times New Roman"/>
          <w:b/>
          <w:bCs/>
          <w:sz w:val="22"/>
          <w:szCs w:val="22"/>
        </w:rPr>
        <w:t xml:space="preserve">5.3  The ChaosNLI-M Anomaly</w:t>
      </w:r>
    </w:p>
    <w:p>
      <w:pPr>
        <w:spacing w:after="160" w:line="264"/>
        <w:jc w:val="both"/>
      </w:pPr>
      <w:r>
        <w:t xml:space="preserve">On ChaosNLI-M the scale ordering reverses: DistilBERT (0.134) &gt; BERT-base (0.119) &gt; BERT-large (0.074). We do not interpret this as a genuine reversal of H2. Three factors confound the result: (1) BERT-large is already underconfident on SNLI (T_hard = 0.926), so its dispersed predictions can spuriously align with ChaosNLI-M soft labels; (2) all models achieve only 50–53% accuracy on a three-class task, barely above chance; (3) training on SNLI and evaluating on MNLI instances introduces an independent domain shift. We treat this result as inconclusive with respect to H2 and flag matched-domain evaluation as a prerequisite for a clean test in future work.</w:t>
      </w:r>
    </w:p>
    <w:p>
      <w:pPr>
        <w:pStyle w:val="Heading2"/>
        <w:spacing w:after="100" w:before="220"/>
      </w:pPr>
      <w:r>
        <w:rPr>
          <w:rFonts w:ascii="Times New Roman" w:cs="Times New Roman" w:eastAsia="Times New Roman" w:hAnsi="Times New Roman"/>
          <w:b/>
          <w:bCs/>
          <w:sz w:val="22"/>
          <w:szCs w:val="22"/>
        </w:rPr>
        <w:t xml:space="preserve">5.4  Temperature Ratios</w:t>
      </w:r>
    </w:p>
    <w:p>
      <w:pPr>
        <w:spacing w:after="160" w:line="264"/>
        <w:jc w:val="both"/>
      </w:pPr>
      <w:r>
        <w:t xml:space="preserve">T_oracle exceeds T_hard in all nine configurations, ranging from 1.19 (ResNet-18) to 3.48 (DistilBERT, ChaosNLI-M). This ratio is a direct measure of how much smoothing hard-label calibration leaves unrealized and is consistently larger in the language domain.</w:t>
      </w:r>
    </w:p>
    <w:p>
      <w:pPr>
        <w:pStyle w:val="Heading2"/>
        <w:spacing w:after="100" w:before="220"/>
      </w:pPr>
      <w:r>
        <w:rPr>
          <w:rFonts w:ascii="Times New Roman" w:cs="Times New Roman" w:eastAsia="Times New Roman" w:hAnsi="Times New Roman"/>
          <w:b/>
          <w:bCs/>
          <w:sz w:val="22"/>
          <w:szCs w:val="22"/>
        </w:rPr>
        <w:t xml:space="preserve">5.5  Summary of Hypothesis Outcomes</w:t>
      </w:r>
    </w:p>
    <w:p>
      <w:pPr>
        <w:spacing w:after="160" w:line="264"/>
        <w:jc w:val="both"/>
      </w:pPr>
      <w:r>
        <w:t xml:space="preserve">H1 is supported across all nine configurations (SNR &gt; 8 in all cases, &gt; 18 in seven of nine). H2 is supported in vision and on ChaosNLI-S; inconclusive on ChaosNLI-M. H3 is clearly supported: mean language gap (0.079) is approximately 30× the mean vision gap (0.003).</w:t>
      </w:r>
    </w:p>
    <w:p>
      <w:pPr>
        <w:pStyle w:val="Heading1"/>
        <w:spacing w:after="120" w:before="280"/>
      </w:pPr>
      <w:r>
        <w:rPr>
          <w:rFonts w:ascii="Times New Roman" w:cs="Times New Roman" w:eastAsia="Times New Roman" w:hAnsi="Times New Roman"/>
          <w:b/>
          <w:bCs/>
          <w:sz w:val="26"/>
          <w:szCs w:val="26"/>
        </w:rPr>
        <w:t xml:space="preserve">6.  Implications</w:t>
      </w:r>
    </w:p>
    <w:p>
      <w:pPr>
        <w:pStyle w:val="Heading2"/>
        <w:spacing w:after="100" w:before="220"/>
      </w:pPr>
      <w:r>
        <w:rPr>
          <w:rFonts w:ascii="Times New Roman" w:cs="Times New Roman" w:eastAsia="Times New Roman" w:hAnsi="Times New Roman"/>
          <w:b/>
          <w:bCs/>
          <w:sz w:val="22"/>
          <w:szCs w:val="22"/>
        </w:rPr>
        <w:t xml:space="preserve">6.1  For Calibration Methodology</w:t>
      </w:r>
    </w:p>
    <w:p>
      <w:pPr>
        <w:spacing w:after="160" w:line="264"/>
        <w:jc w:val="both"/>
      </w:pPr>
      <w:r>
        <w:t xml:space="preserve">These results suggest that calibration validation sets built on majority-vote labels can systematically misstate model reliability in ambiguous-label domains. The T_oracle/T_hard ratios indicate that hard-label calibration consistently undershoots the smoothing required to match the true soft-label target. Where feasible, practitioners should collect repeated annotations per instance and fit calibration parameters against the resulting distribution; our oracle results show this requires no change to model architecture or training.</w:t>
      </w:r>
    </w:p>
    <w:p>
      <w:pPr>
        <w:pStyle w:val="Heading2"/>
        <w:spacing w:after="100" w:before="220"/>
      </w:pPr>
      <w:r>
        <w:rPr>
          <w:rFonts w:ascii="Times New Roman" w:cs="Times New Roman" w:eastAsia="Times New Roman" w:hAnsi="Times New Roman"/>
          <w:b/>
          <w:bCs/>
          <w:sz w:val="22"/>
          <w:szCs w:val="22"/>
        </w:rPr>
        <w:t xml:space="preserve">6.2  For Large Model Deployment</w:t>
      </w:r>
    </w:p>
    <w:p>
      <w:pPr>
        <w:spacing w:after="160" w:line="264"/>
        <w:jc w:val="both"/>
      </w:pPr>
      <w:r>
        <w:t xml:space="preserve">The soft-label calibration gap grows with model scale in vision and on ChaosNLI-S, indicating that the assumption of better calibration after standard temperature scaling can fail under soft-label evaluation and fails more severely at higher capacity. For NLI, BERT-large achieves BS = 0.292 under hard-label TS versus 0.240 under oracle calibration — a 22% relative degradation unlikely attributable to noise.</w:t>
      </w:r>
    </w:p>
    <w:p>
      <w:pPr>
        <w:pStyle w:val="Heading2"/>
        <w:spacing w:after="100" w:before="220"/>
      </w:pPr>
      <w:r>
        <w:rPr>
          <w:rFonts w:ascii="Times New Roman" w:cs="Times New Roman" w:eastAsia="Times New Roman" w:hAnsi="Times New Roman"/>
          <w:b/>
          <w:bCs/>
          <w:sz w:val="22"/>
          <w:szCs w:val="22"/>
        </w:rPr>
        <w:t xml:space="preserve">6.3  Implications for Resource-Constrained Deployment</w:t>
      </w:r>
    </w:p>
    <w:p>
      <w:pPr>
        <w:spacing w:after="160" w:line="264"/>
        <w:jc w:val="both"/>
      </w:pPr>
      <w:r>
        <w:t xml:space="preserve">The practical stakes are highest where annotation infrastructure is weakest. In many clinical settings across sub-Saharan Africa, obtaining many independent annotations per case is impractical. A model that collapses clinician disagreement into an overconfident point prediction conceals exactly the uncertainty needed for appropriate clinical caution. We designed this study to be reproducible on freely available compute and public data because practitioners facing this problem most acutely often have the least access to large-scale infrastructure.</w:t>
      </w:r>
    </w:p>
    <w:p>
      <w:pPr>
        <w:pStyle w:val="Heading1"/>
        <w:spacing w:after="120" w:before="280"/>
      </w:pPr>
      <w:r>
        <w:rPr>
          <w:rFonts w:ascii="Times New Roman" w:cs="Times New Roman" w:eastAsia="Times New Roman" w:hAnsi="Times New Roman"/>
          <w:b/>
          <w:bCs/>
          <w:sz w:val="26"/>
          <w:szCs w:val="26"/>
        </w:rPr>
        <w:t xml:space="preserve">7.  Limitations</w:t>
      </w:r>
    </w:p>
    <w:p>
      <w:pPr>
        <w:spacing w:after="160" w:line="264"/>
        <w:jc w:val="both"/>
      </w:pPr>
      <w:r>
        <w:t xml:space="preserve">We highlight four limitations. First, our scale range (66M–340M for language; 11M–44M for vision) does not extend to frontier-scale models and we make no extrapolation claim. Second, we compare temperature scaling only against a soft-label oracle of itself; other methods such as isotonic regression and Dirichlet calibration [8] merit equivalent treatment. Third, the ChaosNLI-M result is confounded by cross-domain evaluation; matched training and evaluation distributions are needed to isolate scale effects cleanly. Fourth, both datasets reflect annotation by English-speaking Western participants; generalization to other linguistic and cultural contexts requires further evidence.</w:t>
      </w:r>
    </w:p>
    <w:p>
      <w:pPr>
        <w:pStyle w:val="Heading1"/>
        <w:spacing w:after="120" w:before="280"/>
      </w:pPr>
      <w:r>
        <w:rPr>
          <w:rFonts w:ascii="Times New Roman" w:cs="Times New Roman" w:eastAsia="Times New Roman" w:hAnsi="Times New Roman"/>
          <w:b/>
          <w:bCs/>
          <w:sz w:val="26"/>
          <w:szCs w:val="26"/>
        </w:rPr>
        <w:t xml:space="preserve">8.  Conclusion</w:t>
      </w:r>
    </w:p>
    <w:p>
      <w:pPr>
        <w:spacing w:after="160" w:line="264"/>
        <w:jc w:val="both"/>
      </w:pPr>
      <w:r>
        <w:t xml:space="preserve">Temperature scaling calibrated on hard labels does not fully calibrate models when the true label distribution is soft. This gap is consistent across all nine configurations and grows with model scale in vision and on ChaosNLI-S. It is roughly thirty times larger in the language domain than in vision. The reversed ordering on ChaosNLI-M is better explained as a cross-domain confound than as a contradiction of the broader trend.</w:t>
      </w:r>
    </w:p>
    <w:p>
      <w:pPr>
        <w:spacing w:after="160" w:line="264"/>
        <w:jc w:val="both"/>
      </w:pPr>
      <w:r>
        <w:t xml:space="preserve">Three directions follow directly: systematic comparison of alternative calibration methods under soft-label evaluation; extension to larger models with matched training and evaluation distributions; and development of a practical soft-label temperature-scaling procedure usable with only a small number of annotations per instance.</w:t>
      </w:r>
    </w:p>
    <w:p>
      <w:pPr>
        <w:spacing w:after="200"/>
      </w:pPr>
      <w:r>
        <w:rPr>
          <w:sz w:val="21"/>
          <w:szCs w:val="21"/>
        </w:rPr>
        <w:t xml:space="preserve">Code: https://github.com/blackmatrix-ai/soft-label-calibration</w:t>
      </w:r>
    </w:p>
    <w:p>
      <w:pPr>
        <w:pBdr>
          <w:bottom w:val="single" w:color="333333" w:sz="6" w:space="4"/>
        </w:pBdr>
        <w:spacing w:after="200" w:before="60"/>
      </w:pPr>
    </w:p>
    <w:p>
      <w:pPr>
        <w:spacing w:after="100"/>
      </w:pPr>
      <w:r>
        <w:rPr>
          <w:b/>
          <w:bCs/>
          <w:sz w:val="22"/>
          <w:szCs w:val="22"/>
        </w:rPr>
        <w:t xml:space="preserve">Acknowledgments</w:t>
      </w:r>
    </w:p>
    <w:p>
      <w:pPr>
        <w:spacing w:after="160" w:line="264"/>
        <w:jc w:val="both"/>
      </w:pPr>
      <w:r>
        <w:t xml:space="preserve">I am grateful to my colleagues at BlackMatrix AI Research, Accra, for the conversations that sharpened this work and for their patience through the long debugging sessions that preceded these results. All experiments were conducted on freely available compute with no institutional funding.</w:t>
      </w:r>
    </w:p>
    <w:p>
      <w:pPr>
        <w:pBdr>
          <w:bottom w:val="single" w:color="333333" w:sz="6" w:space="4"/>
        </w:pBdr>
        <w:spacing w:after="200" w:before="60"/>
      </w:pPr>
    </w:p>
    <w:p>
      <w:pPr>
        <w:spacing w:after="120"/>
      </w:pPr>
      <w:r>
        <w:rPr>
          <w:b/>
          <w:bCs/>
          <w:sz w:val="22"/>
          <w:szCs w:val="22"/>
        </w:rPr>
        <w:t xml:space="preserve">References</w:t>
      </w:r>
    </w:p>
    <w:p>
      <w:pPr>
        <w:spacing w:after="80" w:line="240"/>
        <w:ind w:left="360" w:hanging="360"/>
        <w:jc w:val="both"/>
      </w:pPr>
      <w:r>
        <w:rPr>
          <w:sz w:val="18"/>
          <w:szCs w:val="18"/>
        </w:rPr>
        <w:t xml:space="preserve">[1] Aroyo, L., and Welty, C. (2015). Truth is a lie: Crowd truth and the seven myths of human annotation. </w:t>
      </w:r>
      <w:r>
        <w:rPr>
          <w:i/>
          <w:iCs/>
          <w:sz w:val="18"/>
          <w:szCs w:val="18"/>
        </w:rPr>
        <w:t xml:space="preserve">AI Magazine</w:t>
      </w:r>
      <w:r>
        <w:rPr>
          <w:sz w:val="18"/>
          <w:szCs w:val="18"/>
        </w:rPr>
        <w:t xml:space="preserve">, 36(1), 15–24.</w:t>
      </w:r>
    </w:p>
    <w:p>
      <w:pPr>
        <w:spacing w:after="80" w:line="240"/>
        <w:ind w:left="360" w:hanging="360"/>
        <w:jc w:val="both"/>
      </w:pPr>
      <w:r>
        <w:rPr>
          <w:sz w:val="18"/>
          <w:szCs w:val="18"/>
        </w:rPr>
        <w:t xml:space="preserve">[2] Bai, Y., Mei, S., Wang, H., and Xiong, C. (2021). Don't just blame over-parametrization for over-confidence: Theoretical analysis of calibration in binary classification. </w:t>
      </w:r>
      <w:r>
        <w:rPr>
          <w:i/>
          <w:iCs/>
          <w:sz w:val="18"/>
          <w:szCs w:val="18"/>
        </w:rPr>
        <w:t xml:space="preserve">Proceedings of the 38th ICML</w:t>
      </w:r>
      <w:r>
        <w:rPr>
          <w:sz w:val="18"/>
          <w:szCs w:val="18"/>
        </w:rPr>
        <w:t xml:space="preserve">, pp. 566–576.</w:t>
      </w:r>
    </w:p>
    <w:p>
      <w:pPr>
        <w:spacing w:after="80" w:line="240"/>
        <w:ind w:left="360" w:hanging="360"/>
        <w:jc w:val="both"/>
      </w:pPr>
      <w:r>
        <w:rPr>
          <w:sz w:val="18"/>
          <w:szCs w:val="18"/>
        </w:rPr>
        <w:t xml:space="preserve">[3] Wiles, O., Gowal, S., Stimberg, F., Rebuffi, S., Ktena, I., Dvijotham, K., and Cemgil, A. T. (2022). A fine-grained analysis on distribution shift. </w:t>
      </w:r>
      <w:r>
        <w:rPr>
          <w:i/>
          <w:iCs/>
          <w:sz w:val="18"/>
          <w:szCs w:val="18"/>
        </w:rPr>
        <w:t xml:space="preserve">Proceedings of ICLR 2022</w:t>
      </w:r>
      <w:r>
        <w:rPr>
          <w:sz w:val="18"/>
          <w:szCs w:val="18"/>
        </w:rPr>
        <w:t xml:space="preserve">.</w:t>
      </w:r>
    </w:p>
    <w:p>
      <w:pPr>
        <w:spacing w:after="80" w:line="240"/>
        <w:ind w:left="360" w:hanging="360"/>
        <w:jc w:val="both"/>
      </w:pPr>
      <w:r>
        <w:rPr>
          <w:sz w:val="18"/>
          <w:szCs w:val="18"/>
        </w:rPr>
        <w:t xml:space="preserve">[4] Guillory, D., Shankar, V., Ebrahimi, S., Darrell, T., and Schmidt, L. (2021). Predicting with confidence on unseen distributions. </w:t>
      </w:r>
      <w:r>
        <w:rPr>
          <w:i/>
          <w:iCs/>
          <w:sz w:val="18"/>
          <w:szCs w:val="18"/>
        </w:rPr>
        <w:t xml:space="preserve">Proceedings of ICCV 2021</w:t>
      </w:r>
      <w:r>
        <w:rPr>
          <w:sz w:val="18"/>
          <w:szCs w:val="18"/>
        </w:rPr>
        <w:t xml:space="preserve">, pp. 1134–1144.</w:t>
      </w:r>
    </w:p>
    <w:p>
      <w:pPr>
        <w:spacing w:after="80" w:line="240"/>
        <w:ind w:left="360" w:hanging="360"/>
        <w:jc w:val="both"/>
      </w:pPr>
      <w:r>
        <w:rPr>
          <w:sz w:val="18"/>
          <w:szCs w:val="18"/>
        </w:rPr>
        <w:t xml:space="preserve">[5] Dawid, A. P. (1982). The well-calibrated Bayesian. </w:t>
      </w:r>
      <w:r>
        <w:rPr>
          <w:i/>
          <w:iCs/>
          <w:sz w:val="18"/>
          <w:szCs w:val="18"/>
        </w:rPr>
        <w:t xml:space="preserve">Journal of the American Statistical Association</w:t>
      </w:r>
      <w:r>
        <w:rPr>
          <w:sz w:val="18"/>
          <w:szCs w:val="18"/>
        </w:rPr>
        <w:t xml:space="preserve">, 77(379), 605–610.</w:t>
      </w:r>
    </w:p>
    <w:p>
      <w:pPr>
        <w:spacing w:after="80" w:line="240"/>
        <w:ind w:left="360" w:hanging="360"/>
        <w:jc w:val="both"/>
      </w:pPr>
      <w:r>
        <w:rPr>
          <w:sz w:val="18"/>
          <w:szCs w:val="18"/>
        </w:rPr>
        <w:t xml:space="preserve">[6] Kumar, A., Liang, P., and Ma, T. (2019). Verified uncertainty calibration. </w:t>
      </w:r>
      <w:r>
        <w:rPr>
          <w:i/>
          <w:iCs/>
          <w:sz w:val="18"/>
          <w:szCs w:val="18"/>
        </w:rPr>
        <w:t xml:space="preserve">Advances in NeurIPS</w:t>
      </w:r>
      <w:r>
        <w:rPr>
          <w:sz w:val="18"/>
          <w:szCs w:val="18"/>
        </w:rPr>
        <w:t xml:space="preserve">, 32.</w:t>
      </w:r>
    </w:p>
    <w:p>
      <w:pPr>
        <w:spacing w:after="80" w:line="240"/>
        <w:ind w:left="360" w:hanging="360"/>
        <w:jc w:val="both"/>
      </w:pPr>
      <w:r>
        <w:rPr>
          <w:sz w:val="18"/>
          <w:szCs w:val="18"/>
        </w:rPr>
        <w:t xml:space="preserve">[7] Guo, C., Pleiss, G., Sun, Y., and Weinberger, K. Q. (2017). On calibration of modern neural networks. </w:t>
      </w:r>
      <w:r>
        <w:rPr>
          <w:i/>
          <w:iCs/>
          <w:sz w:val="18"/>
          <w:szCs w:val="18"/>
        </w:rPr>
        <w:t xml:space="preserve">Proceedings of the 34th ICML</w:t>
      </w:r>
      <w:r>
        <w:rPr>
          <w:sz w:val="18"/>
          <w:szCs w:val="18"/>
        </w:rPr>
        <w:t xml:space="preserve">, pp. 1321–1330.</w:t>
      </w:r>
    </w:p>
    <w:p>
      <w:pPr>
        <w:spacing w:after="80" w:line="240"/>
        <w:ind w:left="360" w:hanging="360"/>
        <w:jc w:val="both"/>
      </w:pPr>
      <w:r>
        <w:rPr>
          <w:sz w:val="18"/>
          <w:szCs w:val="18"/>
        </w:rPr>
        <w:t xml:space="preserve">[8] Kull, M., Perello-Nieto, M., Kangsepp, M., de Menezes e Silva Filho, T., Song, H., and Flach, P. (2019). Beyond temperature scaling: Obtaining well-calibrated multi-class probabilities with Dirichlet calibration. </w:t>
      </w:r>
      <w:r>
        <w:rPr>
          <w:i/>
          <w:iCs/>
          <w:sz w:val="18"/>
          <w:szCs w:val="18"/>
        </w:rPr>
        <w:t xml:space="preserve">Advances in NeurIPS</w:t>
      </w:r>
      <w:r>
        <w:rPr>
          <w:sz w:val="18"/>
          <w:szCs w:val="18"/>
        </w:rPr>
        <w:t xml:space="preserve">, 32.</w:t>
      </w:r>
    </w:p>
    <w:p>
      <w:pPr>
        <w:spacing w:after="80" w:line="240"/>
        <w:ind w:left="360" w:hanging="360"/>
        <w:jc w:val="both"/>
      </w:pPr>
      <w:r>
        <w:rPr>
          <w:sz w:val="18"/>
          <w:szCs w:val="18"/>
        </w:rPr>
        <w:t xml:space="preserve">[9] Minderer, M., Djolonga, J., Romijnders, R., Hubis, F., Zhai, X., Houlsby, N., Tran, D., and Lucic, M. (2021). Revisiting the calibration of modern neural networks. </w:t>
      </w:r>
      <w:r>
        <w:rPr>
          <w:i/>
          <w:iCs/>
          <w:sz w:val="18"/>
          <w:szCs w:val="18"/>
        </w:rPr>
        <w:t xml:space="preserve">Advances in NeurIPS</w:t>
      </w:r>
      <w:r>
        <w:rPr>
          <w:sz w:val="18"/>
          <w:szCs w:val="18"/>
        </w:rPr>
        <w:t xml:space="preserve">, 34.</w:t>
      </w:r>
    </w:p>
    <w:p>
      <w:pPr>
        <w:spacing w:after="80" w:line="240"/>
        <w:ind w:left="360" w:hanging="360"/>
        <w:jc w:val="both"/>
      </w:pPr>
      <w:r>
        <w:rPr>
          <w:sz w:val="18"/>
          <w:szCs w:val="18"/>
        </w:rPr>
        <w:t xml:space="preserve">[10] Nie, Y., Zhou, X., and Bansal, M. (2020). What can we learn from collective human opinions on natural language inference data? </w:t>
      </w:r>
      <w:r>
        <w:rPr>
          <w:i/>
          <w:iCs/>
          <w:sz w:val="18"/>
          <w:szCs w:val="18"/>
        </w:rPr>
        <w:t xml:space="preserve">Proceedings of EMNLP 2020</w:t>
      </w:r>
      <w:r>
        <w:rPr>
          <w:sz w:val="18"/>
          <w:szCs w:val="18"/>
        </w:rPr>
        <w:t xml:space="preserve">, pp. 9131–9143.</w:t>
      </w:r>
    </w:p>
    <w:p>
      <w:pPr>
        <w:spacing w:after="80" w:line="240"/>
        <w:ind w:left="360" w:hanging="360"/>
        <w:jc w:val="both"/>
      </w:pPr>
      <w:r>
        <w:rPr>
          <w:sz w:val="18"/>
          <w:szCs w:val="18"/>
        </w:rPr>
        <w:t xml:space="preserve">[11] Platt, J. C. (1999). Probabilistic outputs for support vector machines and comparisons to regularized likelihood methods. In </w:t>
      </w:r>
      <w:r>
        <w:rPr>
          <w:i/>
          <w:iCs/>
          <w:sz w:val="18"/>
          <w:szCs w:val="18"/>
        </w:rPr>
        <w:t xml:space="preserve">Advances in Large Margin Classifiers</w:t>
      </w:r>
      <w:r>
        <w:rPr>
          <w:sz w:val="18"/>
          <w:szCs w:val="18"/>
        </w:rPr>
        <w:t xml:space="preserve">. MIT Press, pp. 61–74.</w:t>
      </w:r>
    </w:p>
    <w:p>
      <w:pPr>
        <w:spacing w:after="80" w:line="240"/>
        <w:ind w:left="360" w:hanging="360"/>
        <w:jc w:val="both"/>
      </w:pPr>
      <w:r>
        <w:rPr>
          <w:sz w:val="18"/>
          <w:szCs w:val="18"/>
        </w:rPr>
        <w:t xml:space="preserve">[12] Ovadia, Y., Fertig, E., Ren, J., Nado, Z., Sculley, D., Nowozin, S., Dillon, J., Lakshminarayanan, B., and Snoek, J. (2019). Can you trust your model's uncertainty? Evaluating predictive uncertainty under dataset shift. </w:t>
      </w:r>
      <w:r>
        <w:rPr>
          <w:i/>
          <w:iCs/>
          <w:sz w:val="18"/>
          <w:szCs w:val="18"/>
        </w:rPr>
        <w:t xml:space="preserve">Advances in NeurIPS</w:t>
      </w:r>
      <w:r>
        <w:rPr>
          <w:sz w:val="18"/>
          <w:szCs w:val="18"/>
        </w:rPr>
        <w:t xml:space="preserve">, 32.</w:t>
      </w:r>
    </w:p>
    <w:p>
      <w:pPr>
        <w:spacing w:after="80" w:line="240"/>
        <w:ind w:left="360" w:hanging="360"/>
        <w:jc w:val="both"/>
      </w:pPr>
      <w:r>
        <w:rPr>
          <w:sz w:val="18"/>
          <w:szCs w:val="18"/>
        </w:rPr>
        <w:t xml:space="preserve">[13] Peterson, J. C., Battleday, R. M., Griffiths, T. L., and Russakovsky, O. (2019). Human uncertainty makes classification more robust. </w:t>
      </w:r>
      <w:r>
        <w:rPr>
          <w:i/>
          <w:iCs/>
          <w:sz w:val="18"/>
          <w:szCs w:val="18"/>
        </w:rPr>
        <w:t xml:space="preserve">Proceedings of ICCV 2019</w:t>
      </w:r>
      <w:r>
        <w:rPr>
          <w:sz w:val="18"/>
          <w:szCs w:val="18"/>
        </w:rPr>
        <w:t xml:space="preserve">, pp. 9617–9626.</w:t>
      </w:r>
    </w:p>
    <w:p>
      <w:pPr>
        <w:spacing w:after="80" w:line="240"/>
        <w:ind w:left="360" w:hanging="360"/>
        <w:jc w:val="both"/>
      </w:pPr>
      <w:r>
        <w:rPr>
          <w:sz w:val="18"/>
          <w:szCs w:val="18"/>
        </w:rPr>
        <w:t xml:space="preserve">[14] Brier, G. W. (1950). Verification of forecasts expressed in terms of probability. </w:t>
      </w:r>
      <w:r>
        <w:rPr>
          <w:i/>
          <w:iCs/>
          <w:sz w:val="18"/>
          <w:szCs w:val="18"/>
        </w:rPr>
        <w:t xml:space="preserve">Monthly Weather Review</w:t>
      </w:r>
      <w:r>
        <w:rPr>
          <w:sz w:val="18"/>
          <w:szCs w:val="18"/>
        </w:rPr>
        <w:t xml:space="preserve">, 78(1), 1–3.</w:t>
      </w:r>
    </w:p>
    <w:p>
      <w:pPr>
        <w:spacing w:after="80" w:line="240"/>
        <w:ind w:left="360" w:hanging="360"/>
        <w:jc w:val="both"/>
      </w:pPr>
      <w:r>
        <w:rPr>
          <w:sz w:val="18"/>
          <w:szCs w:val="18"/>
        </w:rPr>
        <w:t xml:space="preserve">[15] Raykar, V. C., Yu, S., Zhao, L. H., Valadez, G. H., Florin, C., Bogoni, L., and Moy, L. (2010). Learning from crowds. </w:t>
      </w:r>
      <w:r>
        <w:rPr>
          <w:i/>
          <w:iCs/>
          <w:sz w:val="18"/>
          <w:szCs w:val="18"/>
        </w:rPr>
        <w:t xml:space="preserve">Journal of Machine Learning Research</w:t>
      </w:r>
      <w:r>
        <w:rPr>
          <w:sz w:val="18"/>
          <w:szCs w:val="18"/>
        </w:rPr>
        <w:t xml:space="preserve">, 11, 1297–1322.</w:t>
      </w:r>
    </w:p>
    <w:p>
      <w:pPr>
        <w:spacing w:after="80" w:line="240"/>
        <w:ind w:left="360" w:hanging="360"/>
        <w:jc w:val="both"/>
      </w:pPr>
      <w:r>
        <w:rPr>
          <w:sz w:val="18"/>
          <w:szCs w:val="18"/>
        </w:rPr>
        <w:t xml:space="preserve">[16] He, K., Zhang, X., Ren, S., and Sun, J. (2016). Deep residual learning for image recognition. </w:t>
      </w:r>
      <w:r>
        <w:rPr>
          <w:i/>
          <w:iCs/>
          <w:sz w:val="18"/>
          <w:szCs w:val="18"/>
        </w:rPr>
        <w:t xml:space="preserve">Proceedings of CVPR 2016</w:t>
      </w:r>
      <w:r>
        <w:rPr>
          <w:sz w:val="18"/>
          <w:szCs w:val="18"/>
        </w:rPr>
        <w:t xml:space="preserve">, pp. 770–778.</w:t>
      </w:r>
    </w:p>
    <w:p>
      <w:pPr>
        <w:spacing w:after="80" w:line="240"/>
        <w:ind w:left="360" w:hanging="360"/>
        <w:jc w:val="both"/>
      </w:pPr>
      <w:r>
        <w:rPr>
          <w:sz w:val="18"/>
          <w:szCs w:val="18"/>
        </w:rPr>
        <w:t xml:space="preserve">[17] Devlin, J., Chang, M.-W., Lee, K., and Toutanova, K. (2019). BERT: Pre-training of deep bidirectional transformers for language understanding. </w:t>
      </w:r>
      <w:r>
        <w:rPr>
          <w:i/>
          <w:iCs/>
          <w:sz w:val="18"/>
          <w:szCs w:val="18"/>
        </w:rPr>
        <w:t xml:space="preserve">Proceedings of NAACL-HLT 2019</w:t>
      </w:r>
      <w:r>
        <w:rPr>
          <w:sz w:val="18"/>
          <w:szCs w:val="18"/>
        </w:rPr>
        <w:t xml:space="preserve">, pp. 4171–4186.</w:t>
      </w:r>
    </w:p>
    <w:sectPr>
      <w:headerReference w:type="default" r:id="rId7"/>
      <w:footerReference w:type="default" r:id="rId8"/>
      <w:pgSz w:w="11906" w:h="16838" w:orient="portrait"/>
      <w:pgMar w:top="1587" w:right="1701" w:bottom="158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i/>
        <w:iCs/>
        <w:color w:val="999999"/>
        <w:sz w:val="16"/>
        <w:szCs w:val="16"/>
      </w:rPr>
      <w:t xml:space="preserve">Temperature Scaling Is Not Enough</w:t>
    </w:r>
    <w:r>
      <w:rPr>
        <w:i/>
        <w:iCs/>
        <w:color w:val="999999"/>
        <w:sz w:val="16"/>
        <w:szCs w:val="16"/>
      </w:rPr>
      <w:t xml:space="preserve">   |   Dogah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80"/>
      <w:outlineLvl w:val="0"/>
    </w:pPr>
    <w:rPr>
      <w:rFonts w:ascii="Times New Roman" w:cs="Times New Roman" w:eastAsia="Times New Roman" w:hAnsi="Times New Roman"/>
      <w:b/>
      <w:bCs/>
      <w:sz w:val="26"/>
      <w:szCs w:val="26"/>
    </w:rPr>
  </w:style>
  <w:style w:type="paragraph" w:styleId="Heading2">
    <w:name w:val="Heading 2"/>
    <w:basedOn w:val="Normal"/>
    <w:next w:val="Normal"/>
    <w:pPr>
      <w:spacing w:after="100" w:before="220"/>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2026-07-01T21:02:08.023Z</dcterms:created>
  <dcterms:modified xsi:type="dcterms:W3CDTF">2026-07-01T21:02:08.035Z</dcterms:modified>
</cp:coreProperties>
</file>

<file path=docProps/custom.xml><?xml version="1.0" encoding="utf-8"?>
<Properties xmlns="http://schemas.openxmlformats.org/officeDocument/2006/custom-properties" xmlns:vt="http://schemas.openxmlformats.org/officeDocument/2006/docPropsVTypes"/>
</file>