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4D385">
      <w:pPr>
        <w:jc w:val="center"/>
        <w:rPr>
          <w:rFonts w:ascii="Times New Roman" w:hAnsi="Times New Roman" w:eastAsia="黑体"/>
          <w:b/>
          <w:sz w:val="36"/>
        </w:rPr>
      </w:pPr>
      <w:r>
        <w:rPr>
          <w:rFonts w:hint="eastAsia" w:ascii="Times New Roman" w:eastAsia="黑体"/>
          <w:b/>
          <w:sz w:val="36"/>
        </w:rPr>
        <w:t>Cache-HIT-100设计报告</w:t>
      </w:r>
    </w:p>
    <w:p w14:paraId="4F6373E0">
      <w:pPr>
        <w:jc w:val="right"/>
        <w:rPr>
          <w:rFonts w:ascii="Times New Roman" w:hAnsi="Times New Roman" w:eastAsia="黑体"/>
          <w:sz w:val="24"/>
        </w:rPr>
      </w:pPr>
      <w:r>
        <w:rPr>
          <w:rFonts w:hint="eastAsia" w:ascii="Times New Roman" w:hAnsi="Times New Roman" w:eastAsia="黑体"/>
          <w:sz w:val="24"/>
        </w:rPr>
        <w:t>哈尔滨工业大学（深圳） 缓存命中100%队</w:t>
      </w:r>
    </w:p>
    <w:p w14:paraId="35613B0E">
      <w:pPr>
        <w:jc w:val="right"/>
        <w:rPr>
          <w:rFonts w:ascii="Times New Roman" w:hAnsi="Times New Roman" w:eastAsia="黑体"/>
          <w:sz w:val="24"/>
        </w:rPr>
      </w:pPr>
      <w:r>
        <w:rPr>
          <w:rFonts w:hint="eastAsia" w:ascii="Times New Roman" w:hAnsi="Times New Roman" w:eastAsia="黑体"/>
          <w:sz w:val="24"/>
        </w:rPr>
        <w:t>朱炫翰、蔡源航、房效民、林亮宇</w:t>
      </w:r>
    </w:p>
    <w:p w14:paraId="194C1562">
      <w:pPr>
        <w:pStyle w:val="16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黑体"/>
          <w:sz w:val="30"/>
        </w:rPr>
      </w:pPr>
      <w:r>
        <w:rPr>
          <w:rFonts w:hint="eastAsia" w:ascii="Times New Roman" w:hAnsi="Times New Roman" w:eastAsia="黑体"/>
          <w:sz w:val="30"/>
        </w:rPr>
        <w:t>设计简介</w:t>
      </w:r>
    </w:p>
    <w:p w14:paraId="2E939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ajorEastAsia" w:hAnsiTheme="majorEastAsia" w:eastAsiaTheme="majorEastAsia"/>
          <w:sz w:val="24"/>
          <w:szCs w:val="20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本项目使用system verilog 实现了基于LoongArch32R指令集的超标量动态双发射处理器。实现了除ibar，dbar，preld以外的所有LA32R指令。采用解构前端设计，拥有二级分支预测单元，具备8KB大小一级指令缓存和8KB大小一级数据缓存，能通过AXI接口与各个外设进行通信。</w:t>
      </w:r>
    </w:p>
    <w:p w14:paraId="048D820D">
      <w:pPr>
        <w:spacing w:before="156" w:beforeLines="50" w:after="156" w:afterLines="50"/>
        <w:rPr>
          <w:rFonts w:ascii="Times New Roman" w:hAnsi="Times New Roman" w:eastAsia="黑体"/>
          <w:sz w:val="30"/>
        </w:rPr>
      </w:pPr>
      <w:r>
        <w:rPr>
          <w:rFonts w:hint="eastAsia" w:ascii="Times New Roman" w:hAnsi="Times New Roman" w:eastAsia="黑体"/>
          <w:sz w:val="30"/>
        </w:rPr>
        <w:t>二、设计方案</w:t>
      </w:r>
    </w:p>
    <w:p w14:paraId="43C2D136">
      <w:pPr>
        <w:spacing w:before="78" w:beforeLines="25" w:after="78" w:afterLines="25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（一）总体设计思路</w:t>
      </w:r>
    </w:p>
    <w:p w14:paraId="3370C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前端可大致划分为分支预测模块和取指模块，分支预测模块包含FTB、TAGE、RAS、预译码等模块，取指模块取指宽度为4，平均每周期最多向指令缓冲填入4条指令。</w:t>
      </w:r>
    </w:p>
    <w:p w14:paraId="2C8D9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后端从流水线阶段上看大致分为译码阶段、重命名阶段、发射阶段、执行阶段和提交阶段，从功能上看包含译码器（decoder）、指令缓存队列（IB）、重命名映射表（RAT）、指令发射队列（IQ）、功能执行单元（FU）、分支跳转单元（BU）、乘法器、除法器和重排序缓存（ROB）。指令执行过程大致如下：1.译码阶段，从IB中取出两条指令进行初步译码；2.重命名阶段，指令查询RAT，记录源寄存器对应的ROB索引，同时将目的寄存器对应的ROB索引写入RAT。重命名结束后将指令填入IQ和ROB；3.发射阶段，从IQ中顺序取出两条指令，根据指令记录的重命名关系，查询ROB确认数据是否准备完毕，当数据准备完毕且可以正常流入下一个流水级时，将指令发射出去；4.执行阶段，指令在对应的FU中进行相应的算术、访存操作。指令执行完毕后，将数据存入ROB中等待退休；5.提交阶段，检查ROB队列顶部的两条指令是否满足退休条件，满足则让指令进行退休，进行相应的写寄存器堆、写csr、异常处理等操作。</w:t>
      </w:r>
    </w:p>
    <w:p w14:paraId="0A2F5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1.指令实现</w:t>
      </w:r>
    </w:p>
    <w:p w14:paraId="7326DB84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="黑体" w:hAnsi="黑体" w:eastAsia="黑体"/>
          <w:sz w:val="24"/>
          <w:szCs w:val="24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按照指令类型，本处理器实现了如下指令：</w:t>
      </w:r>
    </w:p>
    <w:p w14:paraId="77A2A9F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表 </w:t>
      </w:r>
      <w:r>
        <w:rPr>
          <w:rFonts w:hint="eastAsia" w:ascii="宋体" w:hAnsi="宋体" w:eastAsia="宋体" w:cs="宋体"/>
          <w:sz w:val="18"/>
          <w:szCs w:val="18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</w:rPr>
        <w:instrText xml:space="preserve"> SEQ 表 \* ARABIC </w:instrText>
      </w:r>
      <w:r>
        <w:rPr>
          <w:rFonts w:hint="eastAsia" w:ascii="宋体" w:hAnsi="宋体" w:eastAsia="宋体" w:cs="宋体"/>
          <w:sz w:val="18"/>
          <w:szCs w:val="18"/>
        </w:rPr>
        <w:fldChar w:fldCharType="separate"/>
      </w:r>
      <w:r>
        <w:rPr>
          <w:rFonts w:hint="eastAsia" w:ascii="宋体" w:hAnsi="宋体" w:eastAsia="宋体" w:cs="宋体"/>
          <w:sz w:val="18"/>
          <w:szCs w:val="18"/>
        </w:rPr>
        <w:t>1</w:t>
      </w:r>
      <w:r>
        <w:rPr>
          <w:rFonts w:hint="eastAsia" w:ascii="宋体" w:hAnsi="宋体" w:eastAsia="宋体" w:cs="宋体"/>
          <w:sz w:val="18"/>
          <w:szCs w:val="18"/>
        </w:rPr>
        <w:fldChar w:fldCharType="end"/>
      </w:r>
      <w:r>
        <w:rPr>
          <w:rFonts w:hint="eastAsia" w:ascii="宋体" w:hAnsi="宋体" w:eastAsia="宋体" w:cs="宋体"/>
          <w:sz w:val="18"/>
          <w:szCs w:val="18"/>
          <w:lang w:eastAsia="zh-CN"/>
        </w:rPr>
        <w:t xml:space="preserve"> 指令实现</w:t>
      </w:r>
    </w:p>
    <w:tbl>
      <w:tblPr>
        <w:tblStyle w:val="1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6714"/>
      </w:tblGrid>
      <w:tr w14:paraId="15579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auto" w:sz="4" w:space="0"/>
              <w:bottom w:val="single" w:color="auto" w:sz="4" w:space="0"/>
            </w:tcBorders>
          </w:tcPr>
          <w:p w14:paraId="141012D2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指令类型</w:t>
            </w:r>
          </w:p>
        </w:tc>
        <w:tc>
          <w:tcPr>
            <w:tcW w:w="3939" w:type="pct"/>
            <w:tcBorders>
              <w:top w:val="single" w:color="auto" w:sz="4" w:space="0"/>
              <w:bottom w:val="single" w:color="auto" w:sz="4" w:space="0"/>
            </w:tcBorders>
          </w:tcPr>
          <w:p w14:paraId="47AEBB63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指令名称</w:t>
            </w:r>
          </w:p>
        </w:tc>
      </w:tr>
      <w:tr w14:paraId="50B25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5C372CC9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算术运算类指令</w:t>
            </w:r>
          </w:p>
        </w:tc>
        <w:tc>
          <w:tcPr>
            <w:tcW w:w="3939" w:type="pct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4BBDF023">
            <w:pPr>
              <w:spacing w:line="36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add.w , sub.w , addi.w , slt , sltu , slti , sltui , lu12i.w , pcaddu12i , and , or , nor , xor , andi , ori , xori , mul.w , mulh.w , mulh.wu , div.w , div.wu , mod.w , mod.wu</w:t>
            </w:r>
          </w:p>
        </w:tc>
      </w:tr>
      <w:tr w14:paraId="6BD8B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64902A7F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移位运算类指令</w:t>
            </w:r>
          </w:p>
        </w:tc>
        <w:tc>
          <w:tcPr>
            <w:tcW w:w="3939" w:type="pct"/>
          </w:tcPr>
          <w:p w14:paraId="09BB2720">
            <w:pPr>
              <w:spacing w:line="36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sll.w , srl.w , sra.w , slli.w , srli.w , srai.w</w:t>
            </w:r>
          </w:p>
        </w:tc>
      </w:tr>
      <w:tr w14:paraId="603C7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shd w:val="clear" w:color="auto" w:fill="F1F1F1" w:themeFill="background1" w:themeFillShade="F2"/>
          </w:tcPr>
          <w:p w14:paraId="7466BD91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分支跳转指令</w:t>
            </w:r>
          </w:p>
        </w:tc>
        <w:tc>
          <w:tcPr>
            <w:tcW w:w="3939" w:type="pct"/>
            <w:shd w:val="clear" w:color="auto" w:fill="F1F1F1" w:themeFill="background1" w:themeFillShade="F2"/>
          </w:tcPr>
          <w:p w14:paraId="24836813">
            <w:pPr>
              <w:spacing w:line="36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beq , bne , blt , bltu , bge , bgeu , b , bl , jirl</w:t>
            </w:r>
          </w:p>
        </w:tc>
      </w:tr>
      <w:tr w14:paraId="47E3C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0B041F49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普通访存指令</w:t>
            </w:r>
          </w:p>
        </w:tc>
        <w:tc>
          <w:tcPr>
            <w:tcW w:w="3939" w:type="pct"/>
          </w:tcPr>
          <w:p w14:paraId="3830EC3E">
            <w:pPr>
              <w:spacing w:line="36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ld.b , ld.bu , ld.h , ld.hu , ld.w , st.b , st.h , st.w</w:t>
            </w:r>
          </w:p>
        </w:tc>
      </w:tr>
      <w:tr w14:paraId="4F884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shd w:val="clear" w:color="auto" w:fill="F1F1F1" w:themeFill="background1" w:themeFillShade="F2"/>
          </w:tcPr>
          <w:p w14:paraId="379F785B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原子访存指令</w:t>
            </w:r>
          </w:p>
        </w:tc>
        <w:tc>
          <w:tcPr>
            <w:tcW w:w="3939" w:type="pct"/>
            <w:shd w:val="clear" w:color="auto" w:fill="F1F1F1" w:themeFill="background1" w:themeFillShade="F2"/>
          </w:tcPr>
          <w:p w14:paraId="7BD90456">
            <w:pPr>
              <w:spacing w:line="36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ll.w , sc.w</w:t>
            </w:r>
          </w:p>
        </w:tc>
      </w:tr>
      <w:tr w14:paraId="69236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3A8459B3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特权指令</w:t>
            </w:r>
          </w:p>
        </w:tc>
        <w:tc>
          <w:tcPr>
            <w:tcW w:w="3939" w:type="pct"/>
          </w:tcPr>
          <w:p w14:paraId="0271F728">
            <w:pPr>
              <w:spacing w:line="36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csrrd , csrwr , csrxchg , tlbsrch , tlbrd , tlbwr , tlbfill , invtlb , cacop , ertn , idle</w:t>
            </w:r>
          </w:p>
        </w:tc>
      </w:tr>
      <w:tr w14:paraId="48825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shd w:val="clear" w:color="auto" w:fill="F1F1F1" w:themeFill="background1" w:themeFillShade="F2"/>
          </w:tcPr>
          <w:p w14:paraId="0E05C3D2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系统异常指令</w:t>
            </w:r>
          </w:p>
        </w:tc>
        <w:tc>
          <w:tcPr>
            <w:tcW w:w="3939" w:type="pct"/>
            <w:shd w:val="clear" w:color="auto" w:fill="F1F1F1" w:themeFill="background1" w:themeFillShade="F2"/>
          </w:tcPr>
          <w:p w14:paraId="0E35FEF2">
            <w:pPr>
              <w:spacing w:line="36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syscall , break</w:t>
            </w:r>
          </w:p>
        </w:tc>
      </w:tr>
      <w:tr w14:paraId="3DFE8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</w:tcPr>
          <w:p w14:paraId="4A7C5457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计时器相关指令</w:t>
            </w:r>
          </w:p>
        </w:tc>
        <w:tc>
          <w:tcPr>
            <w:tcW w:w="3939" w:type="pct"/>
          </w:tcPr>
          <w:p w14:paraId="1EBC6F17">
            <w:pPr>
              <w:spacing w:line="36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rdcntid , rdcntvl.w , rdcntvh.w</w:t>
            </w:r>
          </w:p>
        </w:tc>
      </w:tr>
      <w:tr w14:paraId="01197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1" w:type="pct"/>
            <w:shd w:val="clear" w:color="auto" w:fill="F1F1F1" w:themeFill="background1" w:themeFillShade="F2"/>
          </w:tcPr>
          <w:p w14:paraId="683D203A">
            <w:pPr>
              <w:spacing w:line="360" w:lineRule="auto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读取配置指令</w:t>
            </w:r>
          </w:p>
        </w:tc>
        <w:tc>
          <w:tcPr>
            <w:tcW w:w="3939" w:type="pct"/>
            <w:shd w:val="clear" w:color="auto" w:fill="F1F1F1" w:themeFill="background1" w:themeFillShade="F2"/>
          </w:tcPr>
          <w:p w14:paraId="0C0A4583">
            <w:pPr>
              <w:spacing w:line="36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cpucfg</w:t>
            </w:r>
          </w:p>
        </w:tc>
      </w:tr>
    </w:tbl>
    <w:p w14:paraId="4E564639">
      <w:pPr>
        <w:spacing w:line="360" w:lineRule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2.CSR实现</w:t>
      </w:r>
    </w:p>
    <w:p w14:paraId="6233CEF5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="Times New Roman" w:hAnsi="Times New Roman" w:eastAsia="宋体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本处理器实现了已实现指令所需的CSR，具体如下：</w:t>
      </w:r>
    </w:p>
    <w:p w14:paraId="2F914A8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表 </w:t>
      </w:r>
      <w:r>
        <w:rPr>
          <w:rFonts w:hint="eastAsia" w:ascii="宋体" w:hAnsi="宋体" w:eastAsia="宋体" w:cs="宋体"/>
          <w:sz w:val="18"/>
          <w:szCs w:val="18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</w:rPr>
        <w:instrText xml:space="preserve"> SEQ 表 \* ARABIC </w:instrText>
      </w:r>
      <w:r>
        <w:rPr>
          <w:rFonts w:hint="eastAsia" w:ascii="宋体" w:hAnsi="宋体" w:eastAsia="宋体" w:cs="宋体"/>
          <w:sz w:val="18"/>
          <w:szCs w:val="18"/>
        </w:rPr>
        <w:fldChar w:fldCharType="separate"/>
      </w:r>
      <w:r>
        <w:rPr>
          <w:rFonts w:hint="eastAsia" w:ascii="宋体" w:hAnsi="宋体" w:eastAsia="宋体" w:cs="宋体"/>
          <w:sz w:val="18"/>
          <w:szCs w:val="18"/>
        </w:rPr>
        <w:t>2</w:t>
      </w:r>
      <w:r>
        <w:rPr>
          <w:rFonts w:hint="eastAsia" w:ascii="宋体" w:hAnsi="宋体" w:eastAsia="宋体" w:cs="宋体"/>
          <w:sz w:val="18"/>
          <w:szCs w:val="18"/>
        </w:rPr>
        <w:fldChar w:fldCharType="end"/>
      </w:r>
      <w:r>
        <w:rPr>
          <w:rFonts w:hint="eastAsia" w:ascii="宋体" w:hAnsi="宋体" w:eastAsia="宋体" w:cs="宋体"/>
          <w:sz w:val="18"/>
          <w:szCs w:val="18"/>
          <w:lang w:eastAsia="zh-CN"/>
        </w:rPr>
        <w:t xml:space="preserve"> CSR实现</w:t>
      </w:r>
    </w:p>
    <w:tbl>
      <w:tblPr>
        <w:tblStyle w:val="1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3"/>
        <w:gridCol w:w="2203"/>
        <w:gridCol w:w="1126"/>
        <w:gridCol w:w="1126"/>
        <w:gridCol w:w="1941"/>
        <w:gridCol w:w="1443"/>
      </w:tblGrid>
      <w:tr w14:paraId="52220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  <w:tcBorders>
              <w:top w:val="single" w:color="auto" w:sz="4" w:space="0"/>
              <w:bottom w:val="single" w:color="auto" w:sz="4" w:space="0"/>
            </w:tcBorders>
          </w:tcPr>
          <w:p w14:paraId="75613FD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地址</w:t>
            </w:r>
          </w:p>
        </w:tc>
        <w:tc>
          <w:tcPr>
            <w:tcW w:w="1293" w:type="pct"/>
            <w:tcBorders>
              <w:top w:val="single" w:color="auto" w:sz="4" w:space="0"/>
              <w:bottom w:val="single" w:color="auto" w:sz="4" w:space="0"/>
            </w:tcBorders>
          </w:tcPr>
          <w:p w14:paraId="2EDC3D2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含义</w:t>
            </w:r>
          </w:p>
        </w:tc>
        <w:tc>
          <w:tcPr>
            <w:tcW w:w="661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69B12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名称</w:t>
            </w:r>
          </w:p>
        </w:tc>
        <w:tc>
          <w:tcPr>
            <w:tcW w:w="6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4846CF7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地址</w:t>
            </w:r>
          </w:p>
        </w:tc>
        <w:tc>
          <w:tcPr>
            <w:tcW w:w="1139" w:type="pct"/>
            <w:tcBorders>
              <w:top w:val="single" w:color="auto" w:sz="4" w:space="0"/>
              <w:bottom w:val="single" w:color="auto" w:sz="4" w:space="0"/>
            </w:tcBorders>
          </w:tcPr>
          <w:p w14:paraId="5F926844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含义</w:t>
            </w:r>
          </w:p>
        </w:tc>
        <w:tc>
          <w:tcPr>
            <w:tcW w:w="846" w:type="pct"/>
            <w:tcBorders>
              <w:top w:val="single" w:color="auto" w:sz="4" w:space="0"/>
              <w:bottom w:val="single" w:color="auto" w:sz="4" w:space="0"/>
            </w:tcBorders>
          </w:tcPr>
          <w:p w14:paraId="63E1DB0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名称</w:t>
            </w:r>
          </w:p>
        </w:tc>
      </w:tr>
      <w:tr w14:paraId="2C14C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7DE221D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0x0</w:t>
            </w:r>
          </w:p>
        </w:tc>
        <w:tc>
          <w:tcPr>
            <w:tcW w:w="1293" w:type="pct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6739B655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当前模式信息</w:t>
            </w:r>
          </w:p>
        </w:tc>
        <w:tc>
          <w:tcPr>
            <w:tcW w:w="661" w:type="pct"/>
            <w:tcBorders>
              <w:top w:val="single" w:color="auto" w:sz="4" w:space="0"/>
              <w:right w:val="single" w:color="auto" w:sz="4" w:space="0"/>
            </w:tcBorders>
            <w:shd w:val="clear" w:color="auto" w:fill="F1F1F1" w:themeFill="background1" w:themeFillShade="F2"/>
          </w:tcPr>
          <w:p w14:paraId="6BCF218A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CRMD</w:t>
            </w:r>
          </w:p>
        </w:tc>
        <w:tc>
          <w:tcPr>
            <w:tcW w:w="661" w:type="pct"/>
            <w:tcBorders>
              <w:top w:val="single" w:color="auto" w:sz="4" w:space="0"/>
              <w:left w:val="single" w:color="auto" w:sz="4" w:space="0"/>
            </w:tcBorders>
            <w:shd w:val="clear" w:color="auto" w:fill="F1F1F1" w:themeFill="background1" w:themeFillShade="F2"/>
          </w:tcPr>
          <w:p w14:paraId="17532930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0x30-33</w:t>
            </w:r>
          </w:p>
        </w:tc>
        <w:tc>
          <w:tcPr>
            <w:tcW w:w="1139" w:type="pct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6C5FD11B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数据保存</w:t>
            </w:r>
          </w:p>
        </w:tc>
        <w:tc>
          <w:tcPr>
            <w:tcW w:w="846" w:type="pct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21C5ADAA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SAVE0-3</w:t>
            </w:r>
          </w:p>
        </w:tc>
      </w:tr>
      <w:tr w14:paraId="3D109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</w:tcPr>
          <w:p w14:paraId="34B2E27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</w:t>
            </w:r>
          </w:p>
        </w:tc>
        <w:tc>
          <w:tcPr>
            <w:tcW w:w="1293" w:type="pct"/>
          </w:tcPr>
          <w:p w14:paraId="4DA7E532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例外前模式信息</w:t>
            </w:r>
          </w:p>
        </w:tc>
        <w:tc>
          <w:tcPr>
            <w:tcW w:w="661" w:type="pct"/>
            <w:tcBorders>
              <w:right w:val="single" w:color="auto" w:sz="4" w:space="0"/>
            </w:tcBorders>
          </w:tcPr>
          <w:p w14:paraId="2613B4D2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PRMD</w:t>
            </w:r>
          </w:p>
        </w:tc>
        <w:tc>
          <w:tcPr>
            <w:tcW w:w="661" w:type="pct"/>
            <w:tcBorders>
              <w:left w:val="single" w:color="auto" w:sz="4" w:space="0"/>
            </w:tcBorders>
          </w:tcPr>
          <w:p w14:paraId="37198D41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0x40</w:t>
            </w:r>
          </w:p>
        </w:tc>
        <w:tc>
          <w:tcPr>
            <w:tcW w:w="1139" w:type="pct"/>
          </w:tcPr>
          <w:p w14:paraId="6A4CD060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定时器编号</w:t>
            </w:r>
          </w:p>
        </w:tc>
        <w:tc>
          <w:tcPr>
            <w:tcW w:w="846" w:type="pct"/>
          </w:tcPr>
          <w:p w14:paraId="2CC923DD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TID</w:t>
            </w:r>
          </w:p>
        </w:tc>
      </w:tr>
      <w:tr w14:paraId="2A1AD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  <w:shd w:val="clear" w:color="auto" w:fill="F1F1F1" w:themeFill="background1" w:themeFillShade="F2"/>
          </w:tcPr>
          <w:p w14:paraId="41A93767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0x4</w:t>
            </w:r>
          </w:p>
        </w:tc>
        <w:tc>
          <w:tcPr>
            <w:tcW w:w="1293" w:type="pct"/>
            <w:shd w:val="clear" w:color="auto" w:fill="F1F1F1" w:themeFill="background1" w:themeFillShade="F2"/>
          </w:tcPr>
          <w:p w14:paraId="13BF39D8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例外配置</w:t>
            </w:r>
          </w:p>
        </w:tc>
        <w:tc>
          <w:tcPr>
            <w:tcW w:w="661" w:type="pct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4A3592D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ECFG</w:t>
            </w:r>
          </w:p>
        </w:tc>
        <w:tc>
          <w:tcPr>
            <w:tcW w:w="661" w:type="pct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5E4F720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0x41</w:t>
            </w:r>
          </w:p>
        </w:tc>
        <w:tc>
          <w:tcPr>
            <w:tcW w:w="1139" w:type="pct"/>
            <w:shd w:val="clear" w:color="auto" w:fill="F1F1F1" w:themeFill="background1" w:themeFillShade="F2"/>
          </w:tcPr>
          <w:p w14:paraId="28D79DAA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定时器配置</w:t>
            </w:r>
          </w:p>
        </w:tc>
        <w:tc>
          <w:tcPr>
            <w:tcW w:w="846" w:type="pct"/>
            <w:shd w:val="clear" w:color="auto" w:fill="F1F1F1" w:themeFill="background1" w:themeFillShade="F2"/>
          </w:tcPr>
          <w:p w14:paraId="11BA42E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TCFG</w:t>
            </w:r>
          </w:p>
        </w:tc>
      </w:tr>
      <w:tr w14:paraId="73DCA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</w:tcPr>
          <w:p w14:paraId="63685FE4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0x5</w:t>
            </w:r>
          </w:p>
        </w:tc>
        <w:tc>
          <w:tcPr>
            <w:tcW w:w="1293" w:type="pct"/>
          </w:tcPr>
          <w:p w14:paraId="363394B5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例外状态</w:t>
            </w:r>
          </w:p>
        </w:tc>
        <w:tc>
          <w:tcPr>
            <w:tcW w:w="661" w:type="pct"/>
            <w:tcBorders>
              <w:right w:val="single" w:color="auto" w:sz="4" w:space="0"/>
            </w:tcBorders>
          </w:tcPr>
          <w:p w14:paraId="0843E748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ESTAT</w:t>
            </w:r>
          </w:p>
        </w:tc>
        <w:tc>
          <w:tcPr>
            <w:tcW w:w="661" w:type="pct"/>
            <w:tcBorders>
              <w:left w:val="single" w:color="auto" w:sz="4" w:space="0"/>
            </w:tcBorders>
          </w:tcPr>
          <w:p w14:paraId="09FFDD7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0x42</w:t>
            </w:r>
          </w:p>
        </w:tc>
        <w:tc>
          <w:tcPr>
            <w:tcW w:w="1139" w:type="pct"/>
          </w:tcPr>
          <w:p w14:paraId="37E0E37F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定时器值</w:t>
            </w:r>
          </w:p>
        </w:tc>
        <w:tc>
          <w:tcPr>
            <w:tcW w:w="846" w:type="pct"/>
          </w:tcPr>
          <w:p w14:paraId="4CA98A07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TVAL</w:t>
            </w:r>
          </w:p>
        </w:tc>
      </w:tr>
      <w:tr w14:paraId="70312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  <w:shd w:val="clear" w:color="auto" w:fill="F1F1F1" w:themeFill="background1" w:themeFillShade="F2"/>
          </w:tcPr>
          <w:p w14:paraId="72E44A1C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0x6</w:t>
            </w:r>
          </w:p>
        </w:tc>
        <w:tc>
          <w:tcPr>
            <w:tcW w:w="1293" w:type="pct"/>
            <w:shd w:val="clear" w:color="auto" w:fill="F1F1F1" w:themeFill="background1" w:themeFillShade="F2"/>
          </w:tcPr>
          <w:p w14:paraId="3AFBFD4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例外返回地址</w:t>
            </w:r>
          </w:p>
        </w:tc>
        <w:tc>
          <w:tcPr>
            <w:tcW w:w="661" w:type="pct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662E0AFF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ERA</w:t>
            </w:r>
          </w:p>
        </w:tc>
        <w:tc>
          <w:tcPr>
            <w:tcW w:w="661" w:type="pct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72794178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0x43</w:t>
            </w:r>
          </w:p>
        </w:tc>
        <w:tc>
          <w:tcPr>
            <w:tcW w:w="1139" w:type="pct"/>
            <w:shd w:val="clear" w:color="auto" w:fill="F1F1F1" w:themeFill="background1" w:themeFillShade="F2"/>
          </w:tcPr>
          <w:p w14:paraId="30D1810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计时器补偿</w:t>
            </w:r>
          </w:p>
        </w:tc>
        <w:tc>
          <w:tcPr>
            <w:tcW w:w="846" w:type="pct"/>
            <w:shd w:val="clear" w:color="auto" w:fill="F1F1F1" w:themeFill="background1" w:themeFillShade="F2"/>
          </w:tcPr>
          <w:p w14:paraId="5070F31A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CNTC</w:t>
            </w:r>
          </w:p>
        </w:tc>
      </w:tr>
      <w:tr w14:paraId="7A228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</w:tcPr>
          <w:p w14:paraId="27B6E5CC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0x7</w:t>
            </w:r>
          </w:p>
        </w:tc>
        <w:tc>
          <w:tcPr>
            <w:tcW w:w="1293" w:type="pct"/>
          </w:tcPr>
          <w:p w14:paraId="2E9A8D11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出错虚地址</w:t>
            </w:r>
          </w:p>
        </w:tc>
        <w:tc>
          <w:tcPr>
            <w:tcW w:w="661" w:type="pct"/>
            <w:tcBorders>
              <w:right w:val="single" w:color="auto" w:sz="4" w:space="0"/>
            </w:tcBorders>
          </w:tcPr>
          <w:p w14:paraId="428A7657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BADV</w:t>
            </w:r>
          </w:p>
        </w:tc>
        <w:tc>
          <w:tcPr>
            <w:tcW w:w="661" w:type="pct"/>
            <w:tcBorders>
              <w:left w:val="single" w:color="auto" w:sz="4" w:space="0"/>
            </w:tcBorders>
          </w:tcPr>
          <w:p w14:paraId="573CC17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0x44</w:t>
            </w:r>
          </w:p>
        </w:tc>
        <w:tc>
          <w:tcPr>
            <w:tcW w:w="1139" w:type="pct"/>
          </w:tcPr>
          <w:p w14:paraId="50D61B3D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定时中断清除</w:t>
            </w:r>
          </w:p>
        </w:tc>
        <w:tc>
          <w:tcPr>
            <w:tcW w:w="846" w:type="pct"/>
          </w:tcPr>
          <w:p w14:paraId="467D261B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TICLR</w:t>
            </w:r>
          </w:p>
        </w:tc>
      </w:tr>
      <w:tr w14:paraId="4464B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  <w:shd w:val="clear" w:color="auto" w:fill="F1F1F1" w:themeFill="background1" w:themeFillShade="F2"/>
          </w:tcPr>
          <w:p w14:paraId="19167DD9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0xc</w:t>
            </w:r>
          </w:p>
        </w:tc>
        <w:tc>
          <w:tcPr>
            <w:tcW w:w="1293" w:type="pct"/>
            <w:shd w:val="clear" w:color="auto" w:fill="F1F1F1" w:themeFill="background1" w:themeFillShade="F2"/>
          </w:tcPr>
          <w:p w14:paraId="0EE6B970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例外入口地址</w:t>
            </w:r>
          </w:p>
        </w:tc>
        <w:tc>
          <w:tcPr>
            <w:tcW w:w="661" w:type="pct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4D709F8F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EENTRY</w:t>
            </w:r>
          </w:p>
        </w:tc>
        <w:tc>
          <w:tcPr>
            <w:tcW w:w="661" w:type="pct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6571E30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0x60</w:t>
            </w:r>
          </w:p>
        </w:tc>
        <w:tc>
          <w:tcPr>
            <w:tcW w:w="1139" w:type="pct"/>
            <w:shd w:val="clear" w:color="auto" w:fill="F1F1F1" w:themeFill="background1" w:themeFillShade="F2"/>
          </w:tcPr>
          <w:p w14:paraId="5D1FE96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LLBit控制</w:t>
            </w:r>
          </w:p>
        </w:tc>
        <w:tc>
          <w:tcPr>
            <w:tcW w:w="846" w:type="pct"/>
            <w:shd w:val="clear" w:color="auto" w:fill="F1F1F1" w:themeFill="background1" w:themeFillShade="F2"/>
          </w:tcPr>
          <w:p w14:paraId="0758D2D8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LLBCTL</w:t>
            </w:r>
          </w:p>
        </w:tc>
      </w:tr>
      <w:tr w14:paraId="2533A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</w:tcPr>
          <w:p w14:paraId="6782B7B1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0x10</w:t>
            </w:r>
          </w:p>
        </w:tc>
        <w:tc>
          <w:tcPr>
            <w:tcW w:w="1293" w:type="pct"/>
          </w:tcPr>
          <w:p w14:paraId="1CCDFB70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TLB索引</w:t>
            </w:r>
          </w:p>
        </w:tc>
        <w:tc>
          <w:tcPr>
            <w:tcW w:w="661" w:type="pct"/>
            <w:tcBorders>
              <w:right w:val="single" w:color="auto" w:sz="4" w:space="0"/>
            </w:tcBorders>
          </w:tcPr>
          <w:p w14:paraId="224909ED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TLBIDX</w:t>
            </w:r>
          </w:p>
        </w:tc>
        <w:tc>
          <w:tcPr>
            <w:tcW w:w="661" w:type="pct"/>
            <w:tcBorders>
              <w:left w:val="single" w:color="auto" w:sz="4" w:space="0"/>
            </w:tcBorders>
          </w:tcPr>
          <w:p w14:paraId="49974E78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0x88</w:t>
            </w:r>
          </w:p>
        </w:tc>
        <w:tc>
          <w:tcPr>
            <w:tcW w:w="1139" w:type="pct"/>
          </w:tcPr>
          <w:p w14:paraId="4CAA297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TLB重填例外入口地址</w:t>
            </w:r>
          </w:p>
        </w:tc>
        <w:tc>
          <w:tcPr>
            <w:tcW w:w="846" w:type="pct"/>
          </w:tcPr>
          <w:p w14:paraId="3394C54A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TLBRENTRY</w:t>
            </w:r>
          </w:p>
        </w:tc>
      </w:tr>
      <w:tr w14:paraId="76DA4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  <w:shd w:val="clear" w:color="auto" w:fill="F1F1F1" w:themeFill="background1" w:themeFillShade="F2"/>
          </w:tcPr>
          <w:p w14:paraId="4AA77704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0x11</w:t>
            </w:r>
          </w:p>
        </w:tc>
        <w:tc>
          <w:tcPr>
            <w:tcW w:w="1293" w:type="pct"/>
            <w:shd w:val="clear" w:color="auto" w:fill="F1F1F1" w:themeFill="background1" w:themeFillShade="F2"/>
          </w:tcPr>
          <w:p w14:paraId="158DAAB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TLB表项高位</w:t>
            </w:r>
          </w:p>
        </w:tc>
        <w:tc>
          <w:tcPr>
            <w:tcW w:w="661" w:type="pct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343AC924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TLBEHI</w:t>
            </w:r>
          </w:p>
        </w:tc>
        <w:tc>
          <w:tcPr>
            <w:tcW w:w="661" w:type="pct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092BD8D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0x180-181</w:t>
            </w:r>
          </w:p>
        </w:tc>
        <w:tc>
          <w:tcPr>
            <w:tcW w:w="1139" w:type="pct"/>
            <w:shd w:val="clear" w:color="auto" w:fill="F1F1F1" w:themeFill="background1" w:themeFillShade="F2"/>
          </w:tcPr>
          <w:p w14:paraId="722BA77E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直接映射配置窗口</w:t>
            </w:r>
          </w:p>
        </w:tc>
        <w:tc>
          <w:tcPr>
            <w:tcW w:w="846" w:type="pct"/>
            <w:shd w:val="clear" w:color="auto" w:fill="F1F1F1" w:themeFill="background1" w:themeFillShade="F2"/>
          </w:tcPr>
          <w:p w14:paraId="50AEE865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DMW0-1</w:t>
            </w:r>
          </w:p>
        </w:tc>
      </w:tr>
      <w:tr w14:paraId="69D5F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</w:tcPr>
          <w:p w14:paraId="364C0AB5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0x12</w:t>
            </w:r>
          </w:p>
        </w:tc>
        <w:tc>
          <w:tcPr>
            <w:tcW w:w="1293" w:type="pct"/>
          </w:tcPr>
          <w:p w14:paraId="1E43857E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TLB表项低位0</w:t>
            </w:r>
          </w:p>
        </w:tc>
        <w:tc>
          <w:tcPr>
            <w:tcW w:w="661" w:type="pct"/>
            <w:tcBorders>
              <w:right w:val="single" w:color="auto" w:sz="4" w:space="0"/>
            </w:tcBorders>
          </w:tcPr>
          <w:p w14:paraId="1F64F982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TLBELO0</w:t>
            </w:r>
          </w:p>
        </w:tc>
        <w:tc>
          <w:tcPr>
            <w:tcW w:w="661" w:type="pct"/>
            <w:tcBorders>
              <w:left w:val="single" w:color="auto" w:sz="4" w:space="0"/>
            </w:tcBorders>
          </w:tcPr>
          <w:p w14:paraId="7FC4B5A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0xB1</w:t>
            </w:r>
          </w:p>
        </w:tc>
        <w:tc>
          <w:tcPr>
            <w:tcW w:w="1139" w:type="pct"/>
          </w:tcPr>
          <w:p w14:paraId="387AE306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配置信息字1号</w:t>
            </w:r>
          </w:p>
        </w:tc>
        <w:tc>
          <w:tcPr>
            <w:tcW w:w="846" w:type="pct"/>
          </w:tcPr>
          <w:p w14:paraId="5D643F1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CPUCFG1</w:t>
            </w:r>
          </w:p>
        </w:tc>
      </w:tr>
      <w:tr w14:paraId="1DE61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  <w:shd w:val="clear" w:color="auto" w:fill="F1F1F1" w:themeFill="background1" w:themeFillShade="F2"/>
          </w:tcPr>
          <w:p w14:paraId="3EB7D8F0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0x13</w:t>
            </w:r>
          </w:p>
        </w:tc>
        <w:tc>
          <w:tcPr>
            <w:tcW w:w="1293" w:type="pct"/>
            <w:shd w:val="clear" w:color="auto" w:fill="F1F1F1" w:themeFill="background1" w:themeFillShade="F2"/>
          </w:tcPr>
          <w:p w14:paraId="2E0A44D5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TLB表项低位1</w:t>
            </w:r>
          </w:p>
        </w:tc>
        <w:tc>
          <w:tcPr>
            <w:tcW w:w="661" w:type="pct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5AFF6A75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TLBELO</w:t>
            </w:r>
            <w:r>
              <w:rPr>
                <w:rFonts w:hint="eastAsia" w:ascii="Times New Roman" w:hAnsi="Times New Roman" w:eastAsia="宋体"/>
              </w:rPr>
              <w:t>1</w:t>
            </w:r>
          </w:p>
        </w:tc>
        <w:tc>
          <w:tcPr>
            <w:tcW w:w="661" w:type="pct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13A3E47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0xB2</w:t>
            </w:r>
          </w:p>
        </w:tc>
        <w:tc>
          <w:tcPr>
            <w:tcW w:w="1139" w:type="pct"/>
            <w:shd w:val="clear" w:color="auto" w:fill="F1F1F1" w:themeFill="background1" w:themeFillShade="F2"/>
          </w:tcPr>
          <w:p w14:paraId="1181956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配置信息字2号</w:t>
            </w:r>
          </w:p>
        </w:tc>
        <w:tc>
          <w:tcPr>
            <w:tcW w:w="846" w:type="pct"/>
            <w:shd w:val="clear" w:color="auto" w:fill="F1F1F1" w:themeFill="background1" w:themeFillShade="F2"/>
          </w:tcPr>
          <w:p w14:paraId="334CA1C0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CPUCFG2</w:t>
            </w:r>
          </w:p>
        </w:tc>
      </w:tr>
      <w:tr w14:paraId="44D2D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</w:tcPr>
          <w:p w14:paraId="403546CB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0x18</w:t>
            </w:r>
          </w:p>
        </w:tc>
        <w:tc>
          <w:tcPr>
            <w:tcW w:w="1293" w:type="pct"/>
          </w:tcPr>
          <w:p w14:paraId="56E9A9B2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地址空间标识符</w:t>
            </w:r>
          </w:p>
        </w:tc>
        <w:tc>
          <w:tcPr>
            <w:tcW w:w="661" w:type="pct"/>
            <w:tcBorders>
              <w:right w:val="single" w:color="auto" w:sz="4" w:space="0"/>
            </w:tcBorders>
          </w:tcPr>
          <w:p w14:paraId="5D1FE43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ASID</w:t>
            </w:r>
          </w:p>
        </w:tc>
        <w:tc>
          <w:tcPr>
            <w:tcW w:w="661" w:type="pct"/>
            <w:tcBorders>
              <w:left w:val="single" w:color="auto" w:sz="4" w:space="0"/>
            </w:tcBorders>
          </w:tcPr>
          <w:p w14:paraId="2B83B215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0xC0</w:t>
            </w:r>
          </w:p>
        </w:tc>
        <w:tc>
          <w:tcPr>
            <w:tcW w:w="1139" w:type="pct"/>
          </w:tcPr>
          <w:p w14:paraId="765392C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配置信息字10号</w:t>
            </w:r>
          </w:p>
        </w:tc>
        <w:tc>
          <w:tcPr>
            <w:tcW w:w="846" w:type="pct"/>
          </w:tcPr>
          <w:p w14:paraId="7F32397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CPUCFG10</w:t>
            </w:r>
          </w:p>
        </w:tc>
      </w:tr>
      <w:tr w14:paraId="6AA3A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  <w:shd w:val="clear" w:color="auto" w:fill="F1F1F1" w:themeFill="background1" w:themeFillShade="F2"/>
          </w:tcPr>
          <w:p w14:paraId="087D07AB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0x19</w:t>
            </w:r>
          </w:p>
        </w:tc>
        <w:tc>
          <w:tcPr>
            <w:tcW w:w="1293" w:type="pct"/>
            <w:shd w:val="clear" w:color="auto" w:fill="F1F1F1" w:themeFill="background1" w:themeFillShade="F2"/>
          </w:tcPr>
          <w:p w14:paraId="3F9BEA2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低半地址空间全局目录基址</w:t>
            </w:r>
          </w:p>
        </w:tc>
        <w:tc>
          <w:tcPr>
            <w:tcW w:w="661" w:type="pct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5B721156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PGDL</w:t>
            </w:r>
          </w:p>
        </w:tc>
        <w:tc>
          <w:tcPr>
            <w:tcW w:w="661" w:type="pct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420FFB2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0xC1</w:t>
            </w:r>
          </w:p>
        </w:tc>
        <w:tc>
          <w:tcPr>
            <w:tcW w:w="1139" w:type="pct"/>
            <w:shd w:val="clear" w:color="auto" w:fill="F1F1F1" w:themeFill="background1" w:themeFillShade="F2"/>
          </w:tcPr>
          <w:p w14:paraId="7A235BD0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配置信息字11号</w:t>
            </w:r>
          </w:p>
        </w:tc>
        <w:tc>
          <w:tcPr>
            <w:tcW w:w="846" w:type="pct"/>
            <w:shd w:val="clear" w:color="auto" w:fill="F1F1F1" w:themeFill="background1" w:themeFillShade="F2"/>
          </w:tcPr>
          <w:p w14:paraId="3986276F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CPUCFG11</w:t>
            </w:r>
          </w:p>
        </w:tc>
      </w:tr>
      <w:tr w14:paraId="2383E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</w:tcPr>
          <w:p w14:paraId="449F2EC6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0x1A</w:t>
            </w:r>
          </w:p>
        </w:tc>
        <w:tc>
          <w:tcPr>
            <w:tcW w:w="1293" w:type="pct"/>
          </w:tcPr>
          <w:p w14:paraId="29D23986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高半地址空间全局目录基址</w:t>
            </w:r>
          </w:p>
        </w:tc>
        <w:tc>
          <w:tcPr>
            <w:tcW w:w="661" w:type="pct"/>
            <w:tcBorders>
              <w:right w:val="single" w:color="auto" w:sz="4" w:space="0"/>
            </w:tcBorders>
          </w:tcPr>
          <w:p w14:paraId="00F58A1F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PGDH</w:t>
            </w:r>
          </w:p>
        </w:tc>
        <w:tc>
          <w:tcPr>
            <w:tcW w:w="661" w:type="pct"/>
            <w:tcBorders>
              <w:left w:val="single" w:color="auto" w:sz="4" w:space="0"/>
            </w:tcBorders>
          </w:tcPr>
          <w:p w14:paraId="66C082D4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0xC2</w:t>
            </w:r>
          </w:p>
        </w:tc>
        <w:tc>
          <w:tcPr>
            <w:tcW w:w="1139" w:type="pct"/>
          </w:tcPr>
          <w:p w14:paraId="0267E85F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配置信息字12号</w:t>
            </w:r>
          </w:p>
        </w:tc>
        <w:tc>
          <w:tcPr>
            <w:tcW w:w="846" w:type="pct"/>
          </w:tcPr>
          <w:p w14:paraId="674A2BE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CPUCFG12</w:t>
            </w:r>
          </w:p>
        </w:tc>
      </w:tr>
      <w:tr w14:paraId="6CD7F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  <w:shd w:val="clear" w:color="auto" w:fill="F1F1F1" w:themeFill="background1" w:themeFillShade="F2"/>
          </w:tcPr>
          <w:p w14:paraId="64605C81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0x1B</w:t>
            </w:r>
          </w:p>
        </w:tc>
        <w:tc>
          <w:tcPr>
            <w:tcW w:w="1293" w:type="pct"/>
            <w:shd w:val="clear" w:color="auto" w:fill="F1F1F1" w:themeFill="background1" w:themeFillShade="F2"/>
          </w:tcPr>
          <w:p w14:paraId="5FC9AA10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全局目录基址</w:t>
            </w:r>
          </w:p>
        </w:tc>
        <w:tc>
          <w:tcPr>
            <w:tcW w:w="661" w:type="pct"/>
            <w:tcBorders>
              <w:right w:val="single" w:color="auto" w:sz="4" w:space="0"/>
            </w:tcBorders>
            <w:shd w:val="clear" w:color="auto" w:fill="F1F1F1" w:themeFill="background1" w:themeFillShade="F2"/>
          </w:tcPr>
          <w:p w14:paraId="568E028D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PGD</w:t>
            </w:r>
          </w:p>
        </w:tc>
        <w:tc>
          <w:tcPr>
            <w:tcW w:w="661" w:type="pct"/>
            <w:tcBorders>
              <w:left w:val="single" w:color="auto" w:sz="4" w:space="0"/>
            </w:tcBorders>
            <w:shd w:val="clear" w:color="auto" w:fill="F1F1F1" w:themeFill="background1" w:themeFillShade="F2"/>
          </w:tcPr>
          <w:p w14:paraId="2104B3C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0xC3</w:t>
            </w:r>
          </w:p>
        </w:tc>
        <w:tc>
          <w:tcPr>
            <w:tcW w:w="1139" w:type="pct"/>
            <w:shd w:val="clear" w:color="auto" w:fill="F1F1F1" w:themeFill="background1" w:themeFillShade="F2"/>
          </w:tcPr>
          <w:p w14:paraId="4C721AAF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配置信息字13号</w:t>
            </w:r>
          </w:p>
        </w:tc>
        <w:tc>
          <w:tcPr>
            <w:tcW w:w="846" w:type="pct"/>
            <w:shd w:val="clear" w:color="auto" w:fill="F1F1F1" w:themeFill="background1" w:themeFillShade="F2"/>
          </w:tcPr>
          <w:p w14:paraId="50767E4B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CPUCFG13</w:t>
            </w:r>
          </w:p>
        </w:tc>
      </w:tr>
      <w:tr w14:paraId="3EE49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" w:type="pct"/>
          </w:tcPr>
          <w:p w14:paraId="47535B2F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0x20</w:t>
            </w:r>
          </w:p>
        </w:tc>
        <w:tc>
          <w:tcPr>
            <w:tcW w:w="1293" w:type="pct"/>
          </w:tcPr>
          <w:p w14:paraId="63DDE87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处理器编号</w:t>
            </w:r>
          </w:p>
        </w:tc>
        <w:tc>
          <w:tcPr>
            <w:tcW w:w="661" w:type="pct"/>
            <w:tcBorders>
              <w:right w:val="single" w:color="auto" w:sz="4" w:space="0"/>
            </w:tcBorders>
          </w:tcPr>
          <w:p w14:paraId="532B5D77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CPUID</w:t>
            </w:r>
          </w:p>
        </w:tc>
        <w:tc>
          <w:tcPr>
            <w:tcW w:w="661" w:type="pct"/>
            <w:tcBorders>
              <w:left w:val="single" w:color="auto" w:sz="4" w:space="0"/>
            </w:tcBorders>
          </w:tcPr>
          <w:p w14:paraId="41AD8854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</w:p>
        </w:tc>
        <w:tc>
          <w:tcPr>
            <w:tcW w:w="1139" w:type="pct"/>
          </w:tcPr>
          <w:p w14:paraId="3953E026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</w:p>
        </w:tc>
        <w:tc>
          <w:tcPr>
            <w:tcW w:w="846" w:type="pct"/>
          </w:tcPr>
          <w:p w14:paraId="61CADF47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</w:p>
        </w:tc>
      </w:tr>
    </w:tbl>
    <w:p w14:paraId="5127E491">
      <w:pPr>
        <w:spacing w:line="360" w:lineRule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3.例外与中断</w:t>
      </w:r>
    </w:p>
    <w:p w14:paraId="72382068">
      <w:pPr>
        <w:spacing w:line="360" w:lineRule="auto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本处理器支持LoongArch-32R指令集手册所要求的大部分例外，具体如下：</w:t>
      </w:r>
    </w:p>
    <w:p w14:paraId="59BAD25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表 </w:t>
      </w:r>
      <w:r>
        <w:rPr>
          <w:rFonts w:hint="eastAsia" w:ascii="宋体" w:hAnsi="宋体" w:eastAsia="宋体" w:cs="宋体"/>
          <w:sz w:val="18"/>
          <w:szCs w:val="18"/>
        </w:rPr>
        <w:fldChar w:fldCharType="begin"/>
      </w:r>
      <w:r>
        <w:rPr>
          <w:rFonts w:hint="eastAsia" w:ascii="宋体" w:hAnsi="宋体" w:eastAsia="宋体" w:cs="宋体"/>
          <w:sz w:val="18"/>
          <w:szCs w:val="18"/>
        </w:rPr>
        <w:instrText xml:space="preserve"> SEQ 表 \* ARABIC </w:instrText>
      </w:r>
      <w:r>
        <w:rPr>
          <w:rFonts w:hint="eastAsia" w:ascii="宋体" w:hAnsi="宋体" w:eastAsia="宋体" w:cs="宋体"/>
          <w:sz w:val="18"/>
          <w:szCs w:val="18"/>
        </w:rPr>
        <w:fldChar w:fldCharType="separate"/>
      </w:r>
      <w:r>
        <w:rPr>
          <w:rFonts w:hint="eastAsia" w:ascii="宋体" w:hAnsi="宋体" w:eastAsia="宋体" w:cs="宋体"/>
          <w:sz w:val="18"/>
          <w:szCs w:val="18"/>
        </w:rPr>
        <w:t>3</w:t>
      </w:r>
      <w:r>
        <w:rPr>
          <w:rFonts w:hint="eastAsia" w:ascii="宋体" w:hAnsi="宋体" w:eastAsia="宋体" w:cs="宋体"/>
          <w:sz w:val="18"/>
          <w:szCs w:val="18"/>
        </w:rPr>
        <w:fldChar w:fldCharType="end"/>
      </w:r>
      <w:r>
        <w:rPr>
          <w:rFonts w:hint="eastAsia" w:ascii="宋体" w:hAnsi="宋体" w:eastAsia="宋体" w:cs="宋体"/>
          <w:sz w:val="18"/>
          <w:szCs w:val="18"/>
          <w:lang w:eastAsia="zh-CN"/>
        </w:rPr>
        <w:t xml:space="preserve"> 例外与中断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1080"/>
        <w:gridCol w:w="1060"/>
        <w:gridCol w:w="2316"/>
      </w:tblGrid>
      <w:tr w14:paraId="79D61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</w:tcPr>
          <w:p w14:paraId="2424006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Ecode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</w:tcPr>
          <w:p w14:paraId="142F68DA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Esubcode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</w:tcPr>
          <w:p w14:paraId="01D056A1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例外代号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</w:tcPr>
          <w:p w14:paraId="11A77246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例外类型</w:t>
            </w:r>
          </w:p>
        </w:tc>
      </w:tr>
      <w:tr w14:paraId="76C7C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2648F529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0x0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57F1EAC1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56493325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INT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6DDD024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中断</w:t>
            </w:r>
          </w:p>
        </w:tc>
      </w:tr>
      <w:tr w14:paraId="00620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8E45218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0x1</w:t>
            </w:r>
          </w:p>
        </w:tc>
        <w:tc>
          <w:tcPr>
            <w:tcW w:w="0" w:type="auto"/>
          </w:tcPr>
          <w:p w14:paraId="1A2E619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</w:tcPr>
          <w:p w14:paraId="0262FDA7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PIL</w:t>
            </w:r>
          </w:p>
        </w:tc>
        <w:tc>
          <w:tcPr>
            <w:tcW w:w="0" w:type="auto"/>
          </w:tcPr>
          <w:p w14:paraId="44BE4B21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load操作页无效例外</w:t>
            </w:r>
          </w:p>
        </w:tc>
      </w:tr>
      <w:tr w14:paraId="2630E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4C69022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0x2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7383E68F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7DEFFE2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PIS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7F42A78E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store操作页无效例外</w:t>
            </w:r>
          </w:p>
        </w:tc>
      </w:tr>
      <w:tr w14:paraId="32AD8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E520C6B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0x3</w:t>
            </w:r>
          </w:p>
        </w:tc>
        <w:tc>
          <w:tcPr>
            <w:tcW w:w="0" w:type="auto"/>
          </w:tcPr>
          <w:p w14:paraId="6CB3396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</w:tcPr>
          <w:p w14:paraId="3DC3492B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PIF</w:t>
            </w:r>
          </w:p>
        </w:tc>
        <w:tc>
          <w:tcPr>
            <w:tcW w:w="0" w:type="auto"/>
          </w:tcPr>
          <w:p w14:paraId="48C00A93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取指操作页无效例外</w:t>
            </w:r>
          </w:p>
        </w:tc>
      </w:tr>
      <w:tr w14:paraId="56506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461FC99C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0x4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C8646A1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70879005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PME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7DBF70CF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页修改例外</w:t>
            </w:r>
          </w:p>
        </w:tc>
      </w:tr>
      <w:tr w14:paraId="43440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3484B40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0x7</w:t>
            </w:r>
          </w:p>
        </w:tc>
        <w:tc>
          <w:tcPr>
            <w:tcW w:w="0" w:type="auto"/>
          </w:tcPr>
          <w:p w14:paraId="61FA7D9A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</w:tcPr>
          <w:p w14:paraId="61B164B8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PPI</w:t>
            </w:r>
          </w:p>
        </w:tc>
        <w:tc>
          <w:tcPr>
            <w:tcW w:w="0" w:type="auto"/>
          </w:tcPr>
          <w:p w14:paraId="6D71D6A2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页特权等级不合规例外</w:t>
            </w:r>
          </w:p>
        </w:tc>
      </w:tr>
      <w:tr w14:paraId="0D0BC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65FE6D57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0x8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6CB5946B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56C2BECA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ADEF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21787D61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取指地址错例外</w:t>
            </w:r>
          </w:p>
        </w:tc>
      </w:tr>
      <w:tr w14:paraId="026AC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1845C98C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0x9</w:t>
            </w:r>
          </w:p>
        </w:tc>
        <w:tc>
          <w:tcPr>
            <w:tcW w:w="0" w:type="auto"/>
          </w:tcPr>
          <w:p w14:paraId="4851BA74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</w:tcPr>
          <w:p w14:paraId="0A190FC4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ALE</w:t>
            </w:r>
          </w:p>
        </w:tc>
        <w:tc>
          <w:tcPr>
            <w:tcW w:w="0" w:type="auto"/>
          </w:tcPr>
          <w:p w14:paraId="019B23D5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地址非对齐例外</w:t>
            </w:r>
          </w:p>
        </w:tc>
      </w:tr>
      <w:tr w14:paraId="259F5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56AC2502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0xB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2514AF8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59173C25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SYS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027F641B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系统调用例外</w:t>
            </w:r>
          </w:p>
        </w:tc>
      </w:tr>
      <w:tr w14:paraId="3F50C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6C8B7007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0xC</w:t>
            </w:r>
          </w:p>
        </w:tc>
        <w:tc>
          <w:tcPr>
            <w:tcW w:w="0" w:type="auto"/>
          </w:tcPr>
          <w:p w14:paraId="3C55B6C0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</w:tcPr>
          <w:p w14:paraId="0DD50039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BRK</w:t>
            </w:r>
          </w:p>
        </w:tc>
        <w:tc>
          <w:tcPr>
            <w:tcW w:w="0" w:type="auto"/>
          </w:tcPr>
          <w:p w14:paraId="0C691D4D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断点例外</w:t>
            </w:r>
          </w:p>
        </w:tc>
      </w:tr>
      <w:tr w14:paraId="661DA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1F1F1" w:themeFill="background1" w:themeFillShade="F2"/>
          </w:tcPr>
          <w:p w14:paraId="2E30CEEE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0xD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217F50D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2C4DDDF1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INE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2482E1C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指令不存在例外</w:t>
            </w:r>
          </w:p>
        </w:tc>
      </w:tr>
      <w:tr w14:paraId="7F201A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</w:tcPr>
          <w:p w14:paraId="2D5F6C53">
            <w:pPr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</w:rPr>
            </w:pPr>
            <w:r>
              <w:rPr>
                <w:rFonts w:hint="eastAsia" w:ascii="Times New Roman" w:hAnsi="Times New Roman" w:eastAsia="宋体"/>
                <w:b/>
                <w:bCs/>
              </w:rPr>
              <w:t>0x3F</w:t>
            </w:r>
          </w:p>
        </w:tc>
        <w:tc>
          <w:tcPr>
            <w:tcW w:w="0" w:type="auto"/>
          </w:tcPr>
          <w:p w14:paraId="40CB8072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0</w:t>
            </w:r>
          </w:p>
        </w:tc>
        <w:tc>
          <w:tcPr>
            <w:tcW w:w="0" w:type="auto"/>
          </w:tcPr>
          <w:p w14:paraId="5A0B7C84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TLBR</w:t>
            </w:r>
          </w:p>
        </w:tc>
        <w:tc>
          <w:tcPr>
            <w:tcW w:w="0" w:type="auto"/>
          </w:tcPr>
          <w:p w14:paraId="05B4AB66">
            <w:pPr>
              <w:spacing w:line="36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</w:rPr>
              <w:t>TLB重填例外</w:t>
            </w:r>
          </w:p>
        </w:tc>
      </w:tr>
    </w:tbl>
    <w:p w14:paraId="4B21C1F5">
      <w:pPr>
        <w:spacing w:line="360" w:lineRule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4.地址翻译模式</w:t>
      </w:r>
    </w:p>
    <w:p w14:paraId="2DC05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="Times New Roman" w:hAnsi="Times New Roman" w:eastAsia="宋体"/>
        </w:rPr>
        <w:t>本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处理器支持直接地址翻译、直接映射地址翻译、页表映射地址翻译三种地址翻译模式。</w:t>
      </w:r>
    </w:p>
    <w:p w14:paraId="28B60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当CSR.CRMD中的DA域=1且PG域=0时，为直接地址翻译模式，此时物理地址等于虚拟地址。</w:t>
      </w:r>
    </w:p>
    <w:p w14:paraId="5A7B4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CSR.CRMD中的DA域=0且PG域=1时，为映射地址翻译模式，当虚拟地址命中某个有效的直接映射配置窗口时，为直接映射地址翻译模式，此时物理地址等于虚拟地址的[28:0]位拼接上该映射窗口所配置的物理地址高位；当虚拟地址没有命中有效的直接映射配置窗口时，为页表映射地址翻译模式，此时需要查询TLB进行地址翻译。若查找到有效的TLB表项，则物理地址成功翻译；若没有查找到有效的TLB表项，则触发TLB重填例外。</w:t>
      </w:r>
    </w:p>
    <w:p w14:paraId="0EF6DEDF">
      <w:pPr>
        <w:spacing w:before="78" w:beforeLines="25" w:after="78" w:afterLines="25"/>
        <w:rPr>
          <w:rFonts w:ascii="Times New Roman" w:hAnsi="Times New Roman" w:eastAsia="黑体"/>
          <w:color w:val="FF0000"/>
          <w:sz w:val="28"/>
        </w:rPr>
      </w:pPr>
      <w:r>
        <w:rPr>
          <w:rFonts w:hint="eastAsia" w:ascii="Times New Roman" w:hAnsi="Times New Roman" w:eastAsia="黑体"/>
          <w:sz w:val="28"/>
        </w:rPr>
        <w:t>（二）前端设计</w:t>
      </w:r>
    </w:p>
    <w:p w14:paraId="3CCC0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处理器前端采用取基本块结构，主要包括分支预测器（BPU），取指目标队列（FTQ）和取指令单元（IFU），预译码模块（Predecoder）。</w:t>
      </w:r>
    </w:p>
    <w:p w14:paraId="13BCFAD1">
      <w:pPr>
        <w:spacing w:before="78" w:beforeLines="25" w:after="78" w:afterLines="25" w:line="360" w:lineRule="auto"/>
        <w:ind w:firstLine="420"/>
        <w:rPr>
          <w:rFonts w:hint="eastAsia" w:ascii="黑体" w:hAnsi="黑体" w:eastAsia="黑体"/>
          <w:sz w:val="28"/>
          <w:szCs w:val="21"/>
        </w:rPr>
      </w:pPr>
      <w:r>
        <w:rPr>
          <w:rFonts w:hint="eastAsia" w:ascii="黑体" w:hAnsi="黑体" w:eastAsia="黑体"/>
          <w:sz w:val="28"/>
          <w:szCs w:val="21"/>
        </w:rPr>
        <w:t>1.分支预测器</w:t>
      </w:r>
    </w:p>
    <w:p w14:paraId="22C32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分支预测器每周期最多对一个地址进行预测，生成的预测块最多包含4条指令并允许跨行，但是出于地址翻译正确的考虑，会保证块中的指令不跨页。</w:t>
      </w:r>
    </w:p>
    <w:p w14:paraId="3FE6D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分支预测器核心组件包括uBTB、FTB、TAGE，实现了条件分支指令、函数调用指令、无条件分支指令的取指跳转地址的预测（通过FTB存储的跳转目标实现）；取指宽度的预测（只取到第一条预测发生跳转的指令，通过FTB实现）；实现对条件跳转指令跳转方向的预测（通过TAGE 表实现）。</w:t>
      </w:r>
    </w:p>
    <w:p w14:paraId="5D4C6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通过查询FTB中存储的分支信息（包括分支指令类型，分支跳转目标），预测器各个组件给出跳转只是。因为需要存储的信息很多，所以使用使用BRAM 实现FTB以优化上板资源。</w:t>
      </w:r>
    </w:p>
    <w:p w14:paraId="06067E4D">
      <w:pPr>
        <w:spacing w:before="78" w:beforeLines="25" w:after="78" w:afterLines="25" w:line="360" w:lineRule="auto"/>
        <w:ind w:firstLine="420"/>
        <w:rPr>
          <w:rFonts w:hint="eastAsia" w:asciiTheme="majorEastAsia" w:hAnsiTheme="majorEastAsia" w:eastAsiaTheme="majorEastAsia"/>
          <w:b/>
          <w:bCs/>
          <w:sz w:val="24"/>
          <w:szCs w:val="20"/>
        </w:rPr>
      </w:pPr>
      <w:r>
        <w:rPr>
          <w:rFonts w:asciiTheme="majorEastAsia" w:hAnsiTheme="majorEastAsia" w:eastAsiaTheme="majorEastAsia"/>
          <w:b/>
          <w:bCs/>
          <w:sz w:val="24"/>
          <w:szCs w:val="20"/>
        </w:rPr>
        <w:t>BPU</w:t>
      </w:r>
      <w:r>
        <w:rPr>
          <w:rFonts w:hint="eastAsia" w:asciiTheme="majorEastAsia" w:hAnsiTheme="majorEastAsia" w:eastAsiaTheme="majorEastAsia"/>
          <w:b/>
          <w:bCs/>
          <w:sz w:val="24"/>
          <w:szCs w:val="20"/>
        </w:rPr>
        <w:t>流水：</w:t>
      </w:r>
    </w:p>
    <w:p w14:paraId="42281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L0：使用当前PC 查询uBTB、FTB和TAGE预测器，uBTB当拍返回，生成发送给FTQ的预测块</w:t>
      </w:r>
    </w:p>
    <w:p w14:paraId="464BB8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L1：预测块发送至FTQ。FTB和TAGE查询返回，如果命中且与uBTB 产生的预测块有差异，生成主预测器重定向信号和新的预测块</w:t>
      </w:r>
    </w:p>
    <w:p w14:paraId="7DC773CA">
      <w:pPr>
        <w:spacing w:before="78" w:beforeLines="25" w:after="78" w:afterLines="25" w:line="360" w:lineRule="auto"/>
        <w:ind w:left="420"/>
        <w:rPr>
          <w:rFonts w:hint="eastAsia" w:asciiTheme="majorEastAsia" w:hAnsiTheme="majorEastAsia" w:eastAsiaTheme="majorEastAsia"/>
          <w:sz w:val="24"/>
          <w:szCs w:val="20"/>
        </w:rPr>
      </w:pPr>
      <w:r>
        <w:rPr>
          <w:rFonts w:asciiTheme="majorEastAsia" w:hAnsiTheme="majorEastAsia" w:eastAsiaTheme="majorEastAsia"/>
          <w:b/>
          <w:bCs/>
          <w:sz w:val="24"/>
          <w:szCs w:val="20"/>
        </w:rPr>
        <w:t>取指目标缓冲</w:t>
      </w:r>
      <w:r>
        <w:rPr>
          <w:rFonts w:hint="eastAsia" w:asciiTheme="majorEastAsia" w:hAnsiTheme="majorEastAsia" w:eastAsiaTheme="majorEastAsia"/>
          <w:b/>
          <w:bCs/>
          <w:sz w:val="24"/>
          <w:szCs w:val="20"/>
        </w:rPr>
        <w:t xml:space="preserve"> </w:t>
      </w:r>
      <w:r>
        <w:rPr>
          <w:rFonts w:asciiTheme="majorEastAsia" w:hAnsiTheme="majorEastAsia" w:eastAsiaTheme="majorEastAsia"/>
          <w:b/>
          <w:bCs/>
          <w:sz w:val="24"/>
          <w:szCs w:val="20"/>
        </w:rPr>
        <w:t>FTB</w:t>
      </w:r>
      <w:r>
        <w:rPr>
          <w:rFonts w:asciiTheme="majorEastAsia" w:hAnsiTheme="majorEastAsia" w:eastAsiaTheme="majorEastAsia"/>
          <w:sz w:val="24"/>
          <w:szCs w:val="20"/>
        </w:rPr>
        <w:t>：</w:t>
      </w:r>
    </w:p>
    <w:p w14:paraId="1FE501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FTB功能：用于存储含有分支的预测块信息，存储的信息较多，使用BRAM来实现。规格为四路组相连、每组1K项、随机重填策略。通过预测块的开始地址来查询FTB 的表项。</w:t>
      </w:r>
    </w:p>
    <w:p w14:paraId="794CC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FTB条目内容：</w:t>
      </w:r>
    </w:p>
    <w:p w14:paraId="33BF1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tag（由预测块开始地址决定）</w:t>
      </w:r>
    </w:p>
    <w:p w14:paraId="54FB7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fall-through address（分支不跳转情况下的顺序执行地址）、jump-target address（分支跳转目标地址）</w:t>
      </w:r>
    </w:p>
    <w:p w14:paraId="11B85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branch-type（分支指令类型）</w:t>
      </w:r>
    </w:p>
    <w:p w14:paraId="4EA31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FTB更新的时机：因为FTB中的信息是整个前端推测执行的基础，必须保证其正确性，所以只有当分支指令在后端进行提交时才对FTB条目中的内容进行更新。</w:t>
      </w:r>
    </w:p>
    <w:p w14:paraId="59061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FTB更新的条件：当基本块中出现，非条件分支、条件分支第一次跳转、分支指令跳转信息错误这三种情况中的一种时，将基本块作为FTB的一个条目写入FTB或者对FTB条目的信息进行更新</w:t>
      </w:r>
    </w:p>
    <w:p w14:paraId="136E918E">
      <w:pPr>
        <w:spacing w:before="78" w:beforeLines="25" w:after="78" w:afterLines="25" w:line="360" w:lineRule="auto"/>
        <w:ind w:firstLine="420" w:firstLineChars="0"/>
        <w:rPr>
          <w:rFonts w:hint="eastAsia" w:asciiTheme="majorEastAsia" w:hAnsiTheme="majorEastAsia" w:eastAsiaTheme="majorEastAsia"/>
          <w:sz w:val="24"/>
          <w:szCs w:val="20"/>
        </w:rPr>
      </w:pPr>
      <w:r>
        <w:rPr>
          <w:rFonts w:hint="eastAsia" w:asciiTheme="majorEastAsia" w:hAnsiTheme="majorEastAsia" w:eastAsiaTheme="majorEastAsia"/>
          <w:b/>
          <w:bCs/>
          <w:sz w:val="24"/>
          <w:szCs w:val="20"/>
        </w:rPr>
        <w:t>简单预测器</w:t>
      </w:r>
      <w:r>
        <w:rPr>
          <w:rFonts w:asciiTheme="majorEastAsia" w:hAnsiTheme="majorEastAsia" w:eastAsiaTheme="majorEastAsia"/>
          <w:b/>
          <w:bCs/>
          <w:sz w:val="24"/>
          <w:szCs w:val="20"/>
        </w:rPr>
        <w:t>uBTB</w:t>
      </w:r>
      <w:r>
        <w:rPr>
          <w:rFonts w:asciiTheme="majorEastAsia" w:hAnsiTheme="majorEastAsia" w:eastAsiaTheme="majorEastAsia"/>
          <w:sz w:val="24"/>
          <w:szCs w:val="20"/>
        </w:rPr>
        <w:t>：</w:t>
      </w:r>
    </w:p>
    <w:p w14:paraId="13D29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 w:firstLineChars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当拍返回的简易预测器，提供基础无空泡预测块（默认取指宽度4）。</w:t>
      </w:r>
    </w:p>
    <w:p w14:paraId="5DBAF265">
      <w:pPr>
        <w:spacing w:before="78" w:beforeLines="25" w:after="78" w:afterLines="25" w:line="360" w:lineRule="auto"/>
        <w:ind w:firstLine="420"/>
        <w:rPr>
          <w:rFonts w:hint="eastAsia" w:asciiTheme="majorEastAsia" w:hAnsiTheme="majorEastAsia" w:eastAsiaTheme="majorEastAsia"/>
          <w:sz w:val="24"/>
          <w:szCs w:val="20"/>
        </w:rPr>
      </w:pPr>
      <w:r>
        <w:rPr>
          <w:rFonts w:hint="eastAsia" w:asciiTheme="majorEastAsia" w:hAnsiTheme="majorEastAsia" w:eastAsiaTheme="majorEastAsia"/>
          <w:b/>
          <w:bCs/>
          <w:sz w:val="24"/>
          <w:szCs w:val="20"/>
        </w:rPr>
        <w:t>返回地址栈RAS</w:t>
      </w:r>
      <w:r>
        <w:rPr>
          <w:rFonts w:asciiTheme="majorEastAsia" w:hAnsiTheme="majorEastAsia" w:eastAsiaTheme="majorEastAsia"/>
          <w:sz w:val="24"/>
          <w:szCs w:val="20"/>
        </w:rPr>
        <w:t>：</w:t>
      </w:r>
    </w:p>
    <w:p w14:paraId="5D5DF4EA">
      <w:pPr>
        <w:spacing w:before="78" w:beforeLines="25" w:after="78" w:afterLines="25" w:line="360" w:lineRule="auto"/>
        <w:ind w:firstLine="420" w:firstLineChars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后端提交调用指令时，向栈中压入调用返回地址。当前端预测到返回指令时，从栈顶取出返回地址作为预测。</w:t>
      </w:r>
    </w:p>
    <w:p w14:paraId="5B02A920">
      <w:pPr>
        <w:spacing w:before="78" w:beforeLines="25" w:after="78" w:afterLines="25" w:line="360" w:lineRule="auto"/>
        <w:ind w:firstLine="420"/>
        <w:rPr>
          <w:rFonts w:asciiTheme="majorEastAsia" w:hAnsiTheme="majorEastAsia" w:eastAsiaTheme="majorEastAsia"/>
          <w:sz w:val="24"/>
          <w:szCs w:val="20"/>
        </w:rPr>
      </w:pPr>
      <w:r>
        <w:rPr>
          <w:rFonts w:hint="eastAsia" w:asciiTheme="majorEastAsia" w:hAnsiTheme="majorEastAsia" w:eastAsiaTheme="majorEastAsia"/>
          <w:b/>
          <w:bCs/>
          <w:sz w:val="24"/>
          <w:szCs w:val="20"/>
        </w:rPr>
        <w:t>主预测器TAGE</w:t>
      </w:r>
      <w:r>
        <w:rPr>
          <w:rFonts w:asciiTheme="majorEastAsia" w:hAnsiTheme="majorEastAsia" w:eastAsiaTheme="majorEastAsia"/>
          <w:sz w:val="24"/>
          <w:szCs w:val="20"/>
        </w:rPr>
        <w:t>：</w:t>
      </w:r>
    </w:p>
    <w:p w14:paraId="3CE3A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ajorEastAsia" w:hAnsiTheme="majorEastAsia" w:eastAsiaTheme="majorEastAsia"/>
          <w:sz w:val="24"/>
          <w:szCs w:val="20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TAGE 预测器是专门用于预测条件分支指令跳转方向的二级预测器表，其预测结果需要在下一拍才能返回。该预测器的规格如下：基础预测器包含 8K 项，每个项配备 2 比特计数器；标记预测器则为 1K 项，每个项包含 12 比特 tag、3 比特计数器和 3比特可用位。基础预测器通过 PC 索引不同项的饱和计数器来实现分支方向预测，而 4 个标记预测器各自采用了不同的全局分支历史长度，它们通过 PC 全局历史的摘要进行异或运算来索引 3 比特饱和计数器，同时借助 tag 比对机制减少哈希冲突，提升预测精度。</w:t>
      </w:r>
    </w:p>
    <w:p w14:paraId="2CAAEA29">
      <w:pPr>
        <w:spacing w:before="78" w:beforeLines="25" w:after="78" w:afterLines="25" w:line="360" w:lineRule="auto"/>
        <w:rPr>
          <w:rFonts w:hint="eastAsia" w:asciiTheme="majorEastAsia" w:hAnsiTheme="majorEastAsia" w:eastAsiaTheme="majorEastAsia"/>
          <w:b/>
          <w:bCs/>
          <w:sz w:val="24"/>
          <w:szCs w:val="20"/>
        </w:rPr>
      </w:pPr>
      <w:r>
        <w:rPr>
          <w:rFonts w:asciiTheme="majorEastAsia" w:hAnsiTheme="majorEastAsia" w:eastAsiaTheme="majorEastAsia"/>
          <w:sz w:val="24"/>
          <w:szCs w:val="20"/>
        </w:rPr>
        <w:tab/>
      </w:r>
      <w:r>
        <w:rPr>
          <w:rFonts w:hint="eastAsia" w:ascii="黑体" w:hAnsi="黑体" w:eastAsia="黑体"/>
          <w:sz w:val="28"/>
          <w:szCs w:val="21"/>
        </w:rPr>
        <w:t>2.取指目标队列</w:t>
      </w:r>
      <w:r>
        <w:rPr>
          <w:rFonts w:ascii="黑体" w:hAnsi="黑体" w:eastAsia="黑体"/>
          <w:sz w:val="28"/>
          <w:szCs w:val="21"/>
        </w:rPr>
        <w:t>FTQ</w:t>
      </w:r>
    </w:p>
    <w:p w14:paraId="3927A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FTQ 模块的主要功能是作为分支预测模块与取指模块之间的缓冲区，负责存储预测信息，并且接收来自后端提交的训练数据，送回用于分支预测的训练。当 BPU 模块接收到来自 PC 的查询请求时，在默认预测不发生跳转的情况下，会在当拍将预测取指块发送至 FTQ 中，确保取指流程的顺畅进行。如果下个周期主预测器给出有效预测，会将上个周期发送至FTQ的取指块修改。在我们的CPU中，FTQ队列的大小是8，考虑到每一个块最多有4条指令，所以前端最多等待后端提交32条指令，这与后端的指令缓冲以及各级流水线能暂存的总指令数量是相当的。</w:t>
      </w:r>
    </w:p>
    <w:p w14:paraId="468C23D0">
      <w:pPr>
        <w:spacing w:before="78" w:beforeLines="25" w:after="78" w:afterLines="25" w:line="360" w:lineRule="auto"/>
        <w:ind w:firstLine="420"/>
        <w:rPr>
          <w:rFonts w:hint="eastAsia" w:ascii="黑体" w:hAnsi="黑体" w:eastAsia="黑体"/>
          <w:sz w:val="28"/>
          <w:szCs w:val="21"/>
        </w:rPr>
      </w:pPr>
      <w:r>
        <w:rPr>
          <w:rFonts w:hint="eastAsia" w:ascii="黑体" w:hAnsi="黑体" w:eastAsia="黑体"/>
          <w:sz w:val="28"/>
          <w:szCs w:val="21"/>
        </w:rPr>
        <w:t>3.取指令单元与取指流水</w:t>
      </w:r>
    </w:p>
    <w:p w14:paraId="0EFD6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IFU每周期从FTQ中读取预测块，进行地址翻译，如果没有出现相关异常，那么想Icache发出取指令请求。</w:t>
      </w:r>
    </w:p>
    <w:p w14:paraId="37361040">
      <w:pPr>
        <w:spacing w:before="78" w:beforeLines="25" w:after="78" w:afterLines="25" w:line="360" w:lineRule="auto"/>
        <w:ind w:firstLine="420"/>
        <w:rPr>
          <w:rFonts w:hint="eastAsia" w:asciiTheme="majorEastAsia" w:hAnsiTheme="majorEastAsia" w:eastAsiaTheme="majorEastAsia"/>
          <w:b/>
          <w:bCs/>
          <w:sz w:val="24"/>
          <w:szCs w:val="20"/>
        </w:rPr>
      </w:pPr>
      <w:r>
        <w:rPr>
          <w:rFonts w:hint="eastAsia" w:asciiTheme="majorEastAsia" w:hAnsiTheme="majorEastAsia" w:eastAsiaTheme="majorEastAsia"/>
          <w:b/>
          <w:bCs/>
          <w:sz w:val="24"/>
          <w:szCs w:val="20"/>
        </w:rPr>
        <w:t>取指流水：</w:t>
      </w:r>
    </w:p>
    <w:p w14:paraId="3CD2F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L0读预测块：</w:t>
      </w:r>
    </w:p>
    <w:p w14:paraId="301A3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从FTQ中读出预测块，将预测块起始地址送入地址翻译单元addr进行翻译，当拍接受地址翻译的返回结果并存入寄存器中。</w:t>
      </w:r>
    </w:p>
    <w:p w14:paraId="648665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L1发取指请求：</w:t>
      </w:r>
    </w:p>
    <w:p w14:paraId="27C7C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对L0地址翻译的结果进行处理，使用物理地址向Icache发送取指请求，如果出现异常那么不进行取指。</w:t>
      </w:r>
    </w:p>
    <w:p w14:paraId="1BFE5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L2等待指令返回：</w:t>
      </w:r>
    </w:p>
    <w:p w14:paraId="2EAC0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等待Icache将指令返回。由于Icache可能在不定周期返回指令，因此前端维护了一个和Icache返回指令有效同拍的信号表明读事务有没有完成。当后端发出冲刷信号时，L2根据是否有读事务正在进行，决定Icache接下来第一个返回的数据是否接收，同时前端将所有寄存器和输出置空，直至有效的指令被取回。</w:t>
      </w:r>
    </w:p>
    <w:p w14:paraId="6E3C8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L3分割指令，预译码重定向：</w:t>
      </w:r>
    </w:p>
    <w:p w14:paraId="2718E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对返回的cacheline进行切割，将分割完成后的指令送入预译码器，对不依赖寄存器值的强制分支指令进行译码，如果前端发现没有对这些指令进行预测，将发出预译码重定向信号冲刷前端取指和预测流水。</w:t>
      </w:r>
    </w:p>
    <w:p w14:paraId="14D99B8A">
      <w:pPr>
        <w:spacing w:before="78" w:beforeLines="25" w:after="78" w:afterLines="25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（三）指令缓冲（IB）模块设计</w:t>
      </w:r>
    </w:p>
    <w:p w14:paraId="7B30B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使用指令缓冲来实现前后端的解耦，从而使前端取指和后端执行互不干扰。在模块中实例化一个FIFO作为指令缓冲队列，从前端取回1-4条指令存入队列中，执行时取出两条指令进行译码。FIFO中的一条信息包含了：指令有效位、指令的PC值、指令的二进制码、分支预测的信息以及例外信息。由于存入队列的指令数不定，故队列的判满逻辑采用严格判满，即当队列空位小于等于4个时为满。当队列满时，会暂停前端取指，当队列空时，向译码阶段发送的指令有效位为0，即相当于发射空指令，以此来保证前后端工作的独立性。</w:t>
      </w:r>
    </w:p>
    <w:p w14:paraId="164D5557">
      <w:pPr>
        <w:spacing w:line="360" w:lineRule="auto"/>
        <w:ind w:firstLine="480" w:firstLineChars="200"/>
        <w:rPr>
          <w:rFonts w:ascii="Times New Roman" w:hAnsi="Times New Roman" w:eastAsia="黑体"/>
          <w:sz w:val="24"/>
        </w:rPr>
      </w:pPr>
    </w:p>
    <w:p w14:paraId="4E9FD072">
      <w:pPr>
        <w:spacing w:line="360" w:lineRule="auto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（四）译码模块设计（ID）</w:t>
      </w:r>
    </w:p>
    <w:p w14:paraId="6408430F">
      <w:pPr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Theme="majorEastAsia" w:hAnsiTheme="majorEastAsia" w:eastAsiaTheme="majorEastAsia"/>
          <w:sz w:val="24"/>
          <w:szCs w:val="20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译码模块每周期从指令缓冲中取出两条指令进行译码，实例化两个译码器，分别对两条指令译码产生执行过程所需的控制信号、立即数。在该模块检测指令不存在例外，并将此例外信息附在指令上，和指令pc值、分支预测信息、控制信号、立即数等作为译码结果传递至下个流水级。</w:t>
      </w:r>
    </w:p>
    <w:p w14:paraId="52458A20">
      <w:pPr>
        <w:spacing w:line="360" w:lineRule="auto"/>
        <w:rPr>
          <w:rFonts w:ascii="Times New Roman" w:hAnsi="Times New Roman" w:eastAsia="黑体"/>
          <w:sz w:val="28"/>
        </w:rPr>
      </w:pPr>
    </w:p>
    <w:p w14:paraId="6236F487">
      <w:pPr>
        <w:spacing w:line="360" w:lineRule="auto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（五）重命名映射表模块设计（RAT）</w:t>
      </w:r>
    </w:p>
    <w:p w14:paraId="24000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Theme="majorEastAsia" w:hAnsiTheme="majorEastAsia" w:eastAsiaTheme="majorEastAsia"/>
          <w:sz w:val="24"/>
          <w:szCs w:val="20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该模块拥有4个读端口、2个写端口和2个无效化端口，内部存储分为两个部分：1.32位的寄存器valid，每一位对应一个逻辑寄存器的映射关系是否有效；2.</w:t>
      </w:r>
      <m:oMath>
        <m:r>
          <m:rPr>
            <m:sty m:val="p"/>
          </m:rPr>
          <w:rPr>
            <w:rFonts w:hint="eastAsia" w:ascii="Cambria Math" w:hAnsi="Cambria Math" w:eastAsiaTheme="minorEastAsia" w:cstheme="minorEastAsia"/>
            <w:sz w:val="21"/>
            <w:szCs w:val="21"/>
          </w:rPr>
          <m:t>32×</m:t>
        </m:r>
        <m:sSub>
          <m:sSubPr>
            <m:ctrlPr>
              <w:rPr>
                <w:rFonts w:hint="eastAsia" w:ascii="Cambria Math" w:hAnsi="Cambria Math" w:eastAsiaTheme="minorEastAsia" w:cstheme="minorEastAsia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1"/>
                <w:szCs w:val="21"/>
              </w:rPr>
              <m:t>log</m:t>
            </m:r>
            <m:ctrlPr>
              <w:rPr>
                <w:rFonts w:hint="eastAsia" w:ascii="Cambria Math" w:hAnsi="Cambria Math" w:eastAsiaTheme="minorEastAsia" w:cstheme="minorEastAsia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Theme="minorEastAsia" w:cstheme="minorEastAsia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Theme="minorEastAsia" w:cstheme="minorEastAsia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Theme="minorEastAsia" w:cstheme="minorEastAsia"/>
            <w:sz w:val="21"/>
            <w:szCs w:val="21"/>
          </w:rPr>
          <m:t>(ROB_DEPTH)</m:t>
        </m:r>
      </m:oMath>
      <w:r>
        <w:rPr>
          <w:rFonts w:hint="eastAsia" w:asciiTheme="minorEastAsia" w:hAnsiTheme="minorEastAsia" w:eastAsiaTheme="minorEastAsia" w:cstheme="minorEastAsia"/>
          <w:sz w:val="21"/>
          <w:szCs w:val="21"/>
        </w:rPr>
        <w:t>的寄存器数组prf，每一项记录着一个逻辑寄存器映射到的ROB索引。</w:t>
      </w:r>
    </w:p>
    <w:p w14:paraId="0BEA9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重命名阶段，若指令需要写寄存器堆，则以其目的寄存器为RAT索引，将对应位的valid置1，将对应位的prf记为该指令所在的ROB索引；若指令需要使用源寄存器的值，则以其源寄存器为RAT索引，读取对应的valid和prf值，供发射时使用。需要注意的是当两条指令之间存在写后读冒险时，后一条指令应直接将前一条指令的ROB索引作为源寄存器的prf值，且valid为1。</w:t>
      </w:r>
    </w:p>
    <w:p w14:paraId="3D88C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在提交阶段，当指令退休时，需要以其目的寄存器为RAT索引，如果对应位的valid值为1且prf值等于该指令的ROB索引，意味着这一映射关系一直存在，没有被后面指令的重命名所修改，然后就将对应位的valid置0即可。</w:t>
      </w:r>
    </w:p>
    <w:p w14:paraId="07A608BB">
      <w:pPr>
        <w:spacing w:line="360" w:lineRule="auto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（六）重命名模块设计（RA）</w:t>
      </w:r>
    </w:p>
    <w:p w14:paraId="1EC262A0">
      <w:pPr>
        <w:spacing w:line="360" w:lineRule="auto"/>
        <w:rPr>
          <w:rFonts w:hint="eastAsia" w:asciiTheme="majorEastAsia" w:hAnsiTheme="majorEastAsia" w:eastAsiaTheme="majorEastAsia"/>
          <w:sz w:val="24"/>
          <w:szCs w:val="20"/>
        </w:rPr>
      </w:pPr>
      <w:r>
        <w:rPr>
          <w:rFonts w:asciiTheme="majorEastAsia" w:hAnsiTheme="majorEastAsia" w:eastAsiaTheme="majorEastAsia"/>
          <w:sz w:val="24"/>
          <w:szCs w:val="20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指令进入重命名模块后，需要查询重命名映射表和重排序缓存完成重命名。指令先查询重排序缓存，获得指令将要被放入的ROB索引。接着如上一部分所述查询和写入重命名映射表，获得指令源寄存器的映射关系。最后准备好放入IQ和ROB的数据，在IQ和ROB都未满时将数据送入IQ和ROB。</w:t>
      </w:r>
    </w:p>
    <w:p w14:paraId="70F747A1">
      <w:pPr>
        <w:spacing w:line="360" w:lineRule="auto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（七）发射模块设计（ISS）</w:t>
      </w:r>
    </w:p>
    <w:p w14:paraId="5299C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asciiTheme="majorEastAsia" w:hAnsiTheme="majorEastAsia" w:eastAsiaTheme="majorEastAsia"/>
          <w:sz w:val="24"/>
          <w:szCs w:val="20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发射模块每周期从IQ中顺序取出两条指令，先根据指令类型判断能否进行双发射：1.两条指令发生写后读冒险；2.同时有两条访存指令3.同时有两条乘除法指令；4.前一条指令为分支跳转指令；5.两条指令中存在特权指令；6.前一条指令发生了例外；7.前一条指令被打上重取标记时，进行单发射，其他情况在FU使用不冲突的情况下进行双发射。</w:t>
      </w:r>
    </w:p>
    <w:p w14:paraId="50FFC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接着判断一条指令能否发射，主要是看其源操作数是否已经准备好。指令根据其源寄存器的映射关系查找ROB，ROB返回complete信号（表示数据是否准备好）以及32位数据。数据准备好后根据指令类型和FU的使用情况将指令发射到相应的FU中执行。</w:t>
      </w:r>
    </w:p>
    <w:p w14:paraId="53862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在部分情况下需要阻塞指令的发射：1.前面指令的执行过程中发现了例外和重取信号；2.BU中的分支跳转指令发现需要进行重定向；3.已经发射且未提交的指令中存在写csr的指令。</w:t>
      </w:r>
    </w:p>
    <w:p w14:paraId="4A716820">
      <w:pPr>
        <w:spacing w:line="360" w:lineRule="auto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（八）执行模块设计（EXE）</w:t>
      </w:r>
    </w:p>
    <w:p w14:paraId="76F0B5D6">
      <w:pPr>
        <w:spacing w:line="360" w:lineRule="auto"/>
        <w:rPr>
          <w:rFonts w:hint="eastAsia" w:asciiTheme="majorEastAsia" w:hAnsiTheme="majorEastAsia" w:eastAsiaTheme="majorEastAsia"/>
          <w:sz w:val="24"/>
          <w:szCs w:val="20"/>
        </w:rPr>
      </w:pPr>
      <w:r>
        <w:rPr>
          <w:rFonts w:asciiTheme="majorEastAsia" w:hAnsiTheme="majorEastAsia" w:eastAsiaTheme="majorEastAsia"/>
          <w:sz w:val="24"/>
          <w:szCs w:val="20"/>
        </w:rPr>
        <w:tab/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执行模块内部实例化了4个不同的FU和1个BU作为指令执行单元。FU0和FU1作为普通指令的执行单元、FU2作为访存指令和特权指令的执行单元、FU3作为乘除法指令的执行单元、BU作为分支跳转指令的执行单元。指令执行完毕后，将数据写入指令ROB索引对应的位置，同时将对应位置的complete信号置为1，表示指令已经执行完毕。</w:t>
      </w:r>
    </w:p>
    <w:p w14:paraId="31C59E1C">
      <w:pPr>
        <w:spacing w:line="360" w:lineRule="auto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（九）重排序缓存模块设计（ROB）</w:t>
      </w:r>
    </w:p>
    <w:p w14:paraId="4CDB1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该模块内部实例化一个FIFO作为存储部分，每一项储存一条指令退休时需要使用的数据，包括指令pc值、指令执行结果、访存地址、特权指令相关信息、分支预测信息和异常信息等。</w:t>
      </w:r>
    </w:p>
    <w:p w14:paraId="35096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在重命名阶段，指令读ROB返回指令将要放入的ROB索引，并在进入ROB时将对应位的complete信号置0，表示指令未执行完毕。</w:t>
      </w:r>
    </w:p>
    <w:p w14:paraId="54C3A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在发射阶段，指令根据源寄存器的映射关系读取ROB对应位的complete信号和数据。</w:t>
      </w:r>
    </w:p>
    <w:p w14:paraId="7FD33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在执行阶段结束时，指令将执行结果存入ROB对应位置处，并将对应位的complete信号置1，表示指令执行完毕。</w:t>
      </w:r>
    </w:p>
    <w:p w14:paraId="6DFBE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在提交阶段，ROB将允许退休的指令数据送至提交阶段，将退休指令的目的寄存器和ROB索引送至RAT进行无效化，然后在下一时钟上升沿修改头指针，完成指令的出队。</w:t>
      </w:r>
    </w:p>
    <w:p w14:paraId="28644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当分支预测错误发生重定向时，将ROB尾指针修改为该分支预测指令的ROB索引处，实现分支预测错误后ROB的恢复工作。</w:t>
      </w:r>
    </w:p>
    <w:p w14:paraId="23D76DB3">
      <w:pPr>
        <w:spacing w:line="360" w:lineRule="auto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（十）提交模块设计（COMMIT）</w:t>
      </w:r>
    </w:p>
    <w:p w14:paraId="063D8C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提交模块每周期从ROB中取出两条指令，先根据指令信息判断是否进行双提交：1.后一条指令被打上重取标记时；2.后一条指令为特权指令时；3.后一条指令为ll.w或sc.w指令时；4.后一条指令为分支跳转指令时；5.前一条指令发生例外时；6.前一条指令为ertn指令时；7.前一条指令被打上重取标记时；8.ROB中仅有一条指令时，进行单提交，其他情况进行双提交。</w:t>
      </w:r>
    </w:p>
    <w:p w14:paraId="42284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当指令退休时，根据指令信息进行写寄存器堆、写CSR寄存器、写TLB、处理例外等操作，若指令需要写寄存器堆，则还需对RAT进行无效化工作。</w:t>
      </w:r>
    </w:p>
    <w:p w14:paraId="6E3ADF72">
      <w:pPr>
        <w:spacing w:line="360" w:lineRule="auto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（十</w:t>
      </w:r>
      <w:r>
        <w:rPr>
          <w:rFonts w:hint="eastAsia" w:ascii="Times New Roman" w:hAnsi="Times New Roman" w:eastAsia="黑体"/>
          <w:sz w:val="28"/>
          <w:lang w:val="en-US" w:eastAsia="zh-CN"/>
        </w:rPr>
        <w:t>一</w:t>
      </w:r>
      <w:r>
        <w:rPr>
          <w:rFonts w:hint="eastAsia" w:ascii="Times New Roman" w:hAnsi="Times New Roman" w:eastAsia="黑体"/>
          <w:sz w:val="28"/>
        </w:rPr>
        <w:t>）</w:t>
      </w:r>
      <w:r>
        <w:rPr>
          <w:rFonts w:hint="eastAsia" w:ascii="Times New Roman" w:hAnsi="Times New Roman" w:eastAsia="黑体"/>
          <w:sz w:val="28"/>
          <w:lang w:val="en-US" w:eastAsia="zh-CN"/>
        </w:rPr>
        <w:t>转接桥模块</w:t>
      </w:r>
      <w:r>
        <w:rPr>
          <w:rFonts w:hint="eastAsia" w:ascii="Times New Roman" w:hAnsi="Times New Roman" w:eastAsia="黑体"/>
          <w:sz w:val="28"/>
        </w:rPr>
        <w:t>（</w:t>
      </w:r>
      <w:r>
        <w:rPr>
          <w:rFonts w:hint="eastAsia" w:ascii="Times New Roman" w:hAnsi="Times New Roman" w:eastAsia="黑体"/>
          <w:sz w:val="28"/>
          <w:lang w:val="en-US" w:eastAsia="zh-CN"/>
        </w:rPr>
        <w:t>AXI</w:t>
      </w:r>
      <w:r>
        <w:rPr>
          <w:rFonts w:hint="eastAsia" w:ascii="Times New Roman" w:hAnsi="Times New Roman" w:eastAsia="黑体"/>
          <w:sz w:val="28"/>
        </w:rPr>
        <w:t>_bridge）</w:t>
      </w:r>
    </w:p>
    <w:p w14:paraId="68A05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AXI_bridge 模块作为缓存系统与 AXI 总线之间的桥梁，负责处理指令缓存(ICache)和数据缓存(DCache)与 AXI 总线之间的所有读写操作。该模块通过状态机控制数据流，确保在满足 AXI 总线协议要求的同时，实现高效可靠的数据传输。</w:t>
      </w:r>
    </w:p>
    <w:p w14:paraId="592B16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读请求状态机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</w:t>
      </w:r>
    </w:p>
    <w:p w14:paraId="33B96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read_requst_empty：空闲状态，等待读请求</w:t>
      </w:r>
    </w:p>
    <w:p w14:paraId="1AC51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read_requst_ready：读地址已准备好</w:t>
      </w:r>
    </w:p>
    <w:p w14:paraId="29BA6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读响应状态机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</w:t>
      </w:r>
    </w:p>
    <w:p w14:paraId="6DEA1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read_respond_empty：等待数据传输开始</w:t>
      </w:r>
    </w:p>
    <w:p w14:paraId="279A5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read_respond_transfer：数据传输进行中</w:t>
      </w:r>
    </w:p>
    <w:p w14:paraId="73256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写请求状态机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</w:t>
      </w:r>
    </w:p>
    <w:p w14:paraId="768BE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write_request_empty：空闲状态，等待写请求</w:t>
      </w:r>
    </w:p>
    <w:p w14:paraId="67B7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write_data_wait：等待写地址握手</w:t>
      </w:r>
    </w:p>
    <w:p w14:paraId="668BA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write_data_transform：数据传输状态</w:t>
      </w:r>
    </w:p>
    <w:p w14:paraId="153AB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write_wait_b：等待写响应</w:t>
      </w:r>
    </w:p>
    <w:p w14:paraId="2FCFAE44">
      <w:pPr>
        <w:spacing w:before="156" w:beforeLines="50" w:after="156" w:afterLines="50"/>
        <w:rPr>
          <w:rFonts w:ascii="Times New Roman" w:hAnsi="Times New Roman" w:eastAsia="黑体"/>
          <w:sz w:val="30"/>
        </w:rPr>
      </w:pPr>
      <w:r>
        <w:rPr>
          <w:rFonts w:hint="eastAsia" w:ascii="Times New Roman" w:hAnsi="Times New Roman" w:eastAsia="黑体"/>
          <w:sz w:val="30"/>
        </w:rPr>
        <w:t>三、设计结果</w:t>
      </w:r>
    </w:p>
    <w:p w14:paraId="0DA184C0">
      <w:pPr>
        <w:spacing w:before="78" w:beforeLines="25" w:after="78" w:afterLines="25"/>
        <w:rPr>
          <w:rFonts w:ascii="Times New Roman" w:hAnsi="Times New Roman" w:eastAsia="黑体"/>
          <w:sz w:val="28"/>
        </w:rPr>
      </w:pPr>
      <w:r>
        <w:rPr>
          <w:rFonts w:hint="eastAsia" w:ascii="Times New Roman" w:hAnsi="Times New Roman" w:eastAsia="黑体"/>
          <w:sz w:val="28"/>
        </w:rPr>
        <w:t>（一）设计交付物说明</w:t>
      </w:r>
    </w:p>
    <w:tbl>
      <w:tblPr>
        <w:tblStyle w:val="9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1F1F1" w:themeFill="background1" w:themeFillShade="F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5821"/>
      </w:tblGrid>
      <w:tr w14:paraId="0E70C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84" w:type="pct"/>
            <w:shd w:val="clear" w:color="auto" w:fill="F1F1F1" w:themeFill="background1" w:themeFillShade="F2"/>
            <w:vAlign w:val="center"/>
          </w:tcPr>
          <w:p w14:paraId="40944C68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|-</w:t>
            </w:r>
            <w:r>
              <w:rPr>
                <w:rFonts w:hint="eastAsia" w:ascii="Courier New" w:hAnsi="Courier New" w:cs="Courier New"/>
                <w:sz w:val="16"/>
              </w:rPr>
              <w:t>score.xls</w:t>
            </w:r>
            <w:r>
              <w:rPr>
                <w:rFonts w:ascii="Courier New" w:hAnsi="Courier New" w:cs="Courier New"/>
                <w:sz w:val="16"/>
              </w:rPr>
              <w:t>x</w:t>
            </w:r>
          </w:p>
        </w:tc>
        <w:tc>
          <w:tcPr>
            <w:tcW w:w="3415" w:type="pct"/>
            <w:shd w:val="clear" w:color="auto" w:fill="F1F1F1" w:themeFill="background1" w:themeFillShade="F2"/>
            <w:vAlign w:val="center"/>
          </w:tcPr>
          <w:p w14:paraId="1443F73E">
            <w:pPr>
              <w:rPr>
                <w:rFonts w:ascii="Times New Roman" w:hAnsi="Times New Roman"/>
                <w:sz w:val="20"/>
              </w:rPr>
            </w:pPr>
            <w:r>
              <w:rPr>
                <w:rFonts w:hint="eastAsia" w:ascii="Times New Roman" w:hAnsi="Times New Roman"/>
                <w:sz w:val="20"/>
              </w:rPr>
              <w:t>Excel表格，包含功能测试、性能测试得分的计算</w:t>
            </w:r>
          </w:p>
        </w:tc>
      </w:tr>
      <w:tr w14:paraId="2D09F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84" w:type="pct"/>
            <w:shd w:val="clear" w:color="auto" w:fill="F1F1F1" w:themeFill="background1" w:themeFillShade="F2"/>
            <w:vAlign w:val="center"/>
          </w:tcPr>
          <w:p w14:paraId="17A68D75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|-</w:t>
            </w:r>
            <w:r>
              <w:rPr>
                <w:rFonts w:hint="eastAsia" w:ascii="Courier New" w:hAnsi="Courier New" w:cs="Courier New"/>
                <w:b/>
                <w:bCs/>
                <w:color w:val="FF0000"/>
                <w:sz w:val="16"/>
              </w:rPr>
              <w:t>design.pdf</w:t>
            </w:r>
          </w:p>
        </w:tc>
        <w:tc>
          <w:tcPr>
            <w:tcW w:w="3415" w:type="pct"/>
            <w:shd w:val="clear" w:color="auto" w:fill="F1F1F1" w:themeFill="background1" w:themeFillShade="F2"/>
            <w:vAlign w:val="center"/>
          </w:tcPr>
          <w:p w14:paraId="6B8D768D">
            <w:pPr>
              <w:rPr>
                <w:rFonts w:ascii="Times New Roman" w:hAnsi="Times New Roman"/>
                <w:sz w:val="20"/>
              </w:rPr>
            </w:pPr>
            <w:r>
              <w:rPr>
                <w:rFonts w:hint="eastAsia" w:ascii="Times New Roman" w:hAnsi="Times New Roman"/>
                <w:sz w:val="20"/>
              </w:rPr>
              <w:t>PDF文件，为myCPU设计报告</w:t>
            </w:r>
          </w:p>
        </w:tc>
      </w:tr>
      <w:tr w14:paraId="7739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84" w:type="pct"/>
            <w:shd w:val="clear" w:color="auto" w:fill="F1F1F1" w:themeFill="background1" w:themeFillShade="F2"/>
            <w:vAlign w:val="center"/>
          </w:tcPr>
          <w:p w14:paraId="714E64B9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|--src/</w:t>
            </w:r>
          </w:p>
        </w:tc>
        <w:tc>
          <w:tcPr>
            <w:tcW w:w="3415" w:type="pct"/>
            <w:shd w:val="clear" w:color="auto" w:fill="F1F1F1" w:themeFill="background1" w:themeFillShade="F2"/>
            <w:vAlign w:val="center"/>
          </w:tcPr>
          <w:p w14:paraId="677B10A1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</w:rPr>
              <w:t>目录，AXI目录</w:t>
            </w:r>
          </w:p>
        </w:tc>
      </w:tr>
      <w:tr w14:paraId="7B720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84" w:type="pct"/>
            <w:shd w:val="clear" w:color="auto" w:fill="F1F1F1" w:themeFill="background1" w:themeFillShade="F2"/>
            <w:vAlign w:val="center"/>
          </w:tcPr>
          <w:p w14:paraId="0289225C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     |--mycpu</w:t>
            </w:r>
            <w:r>
              <w:rPr>
                <w:rFonts w:hint="eastAsia" w:ascii="Courier New" w:hAnsi="Courier New" w:cs="Courier New"/>
                <w:sz w:val="16"/>
              </w:rPr>
              <w:t>/</w:t>
            </w:r>
          </w:p>
        </w:tc>
        <w:tc>
          <w:tcPr>
            <w:tcW w:w="3415" w:type="pct"/>
            <w:shd w:val="clear" w:color="auto" w:fill="F1F1F1" w:themeFill="background1" w:themeFillShade="F2"/>
            <w:vAlign w:val="center"/>
          </w:tcPr>
          <w:p w14:paraId="61F7D34D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</w:rPr>
              <w:t>目录，存放</w:t>
            </w:r>
            <w:r>
              <w:rPr>
                <w:rFonts w:ascii="Times New Roman" w:hAnsi="Times New Roman"/>
                <w:color w:val="000000" w:themeColor="text1"/>
                <w:sz w:val="20"/>
              </w:rPr>
              <w:t>AXI</w:t>
            </w:r>
            <w:r>
              <w:rPr>
                <w:rFonts w:hint="eastAsia" w:ascii="Times New Roman" w:hAnsi="Times New Roman"/>
                <w:color w:val="000000" w:themeColor="text1"/>
                <w:sz w:val="20"/>
              </w:rPr>
              <w:t>相关工程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</w:rPr>
              <w:t>新增的源码（如使用了Vivado不可直接综合的硬件描述语言，请将生成.v文件放在这里）</w:t>
            </w:r>
            <w:r>
              <w:rPr>
                <w:rFonts w:hint="eastAsia" w:ascii="Times New Roman" w:hAnsi="Times New Roman"/>
                <w:color w:val="000000" w:themeColor="text1"/>
                <w:sz w:val="20"/>
              </w:rPr>
              <w:t>文件。即Vivado添加此目录下的所有文件就可以正确生成bit。</w:t>
            </w:r>
          </w:p>
        </w:tc>
      </w:tr>
      <w:tr w14:paraId="3329E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1F1F1" w:themeFill="background1" w:themeFillShade="F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84" w:type="pct"/>
            <w:shd w:val="clear" w:color="auto" w:fill="F1F1F1" w:themeFill="background1" w:themeFillShade="F2"/>
            <w:vAlign w:val="center"/>
          </w:tcPr>
          <w:p w14:paraId="617A51B6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hint="eastAsia" w:ascii="Courier New" w:hAnsi="Courier New" w:cs="Courier New"/>
                <w:sz w:val="16"/>
              </w:rPr>
              <w:t>|     |     |--xilinx_ip/</w:t>
            </w:r>
          </w:p>
        </w:tc>
        <w:tc>
          <w:tcPr>
            <w:tcW w:w="3415" w:type="pct"/>
            <w:shd w:val="clear" w:color="auto" w:fill="F1F1F1" w:themeFill="background1" w:themeFillShade="F2"/>
            <w:vAlign w:val="center"/>
          </w:tcPr>
          <w:p w14:paraId="2C9D8CA8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</w:rPr>
              <w:t>如果调用了Xilinx IP，统一放置在xilinx_ip目录下，每个Xilinx IP单独创建一个文件夹，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sz w:val="20"/>
              </w:rPr>
              <w:t>文件夹下</w:t>
            </w:r>
            <w:r>
              <w:rPr>
                <w:rFonts w:hint="eastAsia" w:ascii="Times New Roman" w:hAnsi="Times New Roman"/>
                <w:b/>
                <w:bCs/>
                <w:color w:val="FF0000"/>
                <w:sz w:val="20"/>
              </w:rPr>
              <w:t>只提交IP的xci文件</w:t>
            </w:r>
            <w:r>
              <w:rPr>
                <w:rFonts w:hint="eastAsia" w:ascii="Times New Roman" w:hAnsi="Times New Roman"/>
                <w:b/>
                <w:bCs/>
                <w:color w:val="000000" w:themeColor="text1"/>
                <w:sz w:val="20"/>
              </w:rPr>
              <w:t>,不要放置Xilinx IP综合生成的文件。</w:t>
            </w:r>
          </w:p>
        </w:tc>
      </w:tr>
      <w:tr w14:paraId="6747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84" w:type="pct"/>
            <w:shd w:val="clear" w:color="auto" w:fill="F1F1F1" w:themeFill="background1" w:themeFillShade="F2"/>
            <w:vAlign w:val="center"/>
          </w:tcPr>
          <w:p w14:paraId="694A72AC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hint="eastAsia" w:ascii="Courier New" w:hAnsi="Courier New" w:cs="Courier New"/>
                <w:sz w:val="16"/>
              </w:rPr>
              <w:t>|     |--vivado_cannot/</w:t>
            </w:r>
          </w:p>
        </w:tc>
        <w:tc>
          <w:tcPr>
            <w:tcW w:w="3415" w:type="pct"/>
            <w:shd w:val="clear" w:color="auto" w:fill="F1F1F1" w:themeFill="background1" w:themeFillShade="F2"/>
            <w:vAlign w:val="center"/>
          </w:tcPr>
          <w:p w14:paraId="681E2392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>
              <w:rPr>
                <w:rFonts w:hint="eastAsia" w:ascii="Times New Roman" w:hAnsi="Times New Roman"/>
                <w:color w:val="000000" w:themeColor="text1"/>
                <w:sz w:val="20"/>
              </w:rPr>
              <w:t>目录，如使用的硬件描述语言不是Vivado能够直接综合的语言，请提供源码，并提供编译说明。</w:t>
            </w:r>
          </w:p>
        </w:tc>
      </w:tr>
      <w:tr w14:paraId="2C9DA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584" w:type="pct"/>
            <w:shd w:val="clear" w:color="auto" w:fill="F1F1F1" w:themeFill="background1" w:themeFillShade="F2"/>
            <w:vAlign w:val="center"/>
          </w:tcPr>
          <w:p w14:paraId="40A85432">
            <w:pPr>
              <w:rPr>
                <w:rFonts w:ascii="Courier New" w:hAnsi="Courier New" w:cs="Courier New"/>
                <w:sz w:val="16"/>
              </w:rPr>
            </w:pPr>
            <w:r>
              <w:rPr>
                <w:rFonts w:ascii="Courier New" w:hAnsi="Courier New" w:cs="Courier New"/>
                <w:sz w:val="16"/>
              </w:rPr>
              <w:t>|     |--perf_clk_pll.xci</w:t>
            </w:r>
          </w:p>
        </w:tc>
        <w:tc>
          <w:tcPr>
            <w:tcW w:w="3415" w:type="pct"/>
            <w:shd w:val="clear" w:color="auto" w:fill="F1F1F1" w:themeFill="background1" w:themeFillShade="F2"/>
            <w:vAlign w:val="center"/>
          </w:tcPr>
          <w:p w14:paraId="14B2DB8E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>
              <w:rPr>
                <w:rFonts w:hint="eastAsia" w:ascii="Times New Roman" w:hAnsi="Times New Roman"/>
                <w:color w:val="FF0000"/>
                <w:sz w:val="20"/>
              </w:rPr>
              <w:t>复制性能测试的</w:t>
            </w:r>
            <w:r>
              <w:rPr>
                <w:rFonts w:ascii="Times New Roman" w:hAnsi="Times New Roman"/>
                <w:color w:val="FF0000"/>
                <w:sz w:val="20"/>
              </w:rPr>
              <w:t>clk_pll.xci</w:t>
            </w:r>
            <w:r>
              <w:rPr>
                <w:rFonts w:hint="eastAsia" w:ascii="Times New Roman" w:hAnsi="Times New Roman"/>
                <w:color w:val="FF0000"/>
                <w:sz w:val="20"/>
              </w:rPr>
              <w:t>，更名为</w:t>
            </w:r>
            <w:r>
              <w:rPr>
                <w:rFonts w:ascii="Times New Roman" w:hAnsi="Times New Roman"/>
                <w:color w:val="FF0000"/>
                <w:sz w:val="20"/>
              </w:rPr>
              <w:t>perf_clk_pll.xci</w:t>
            </w:r>
            <w:r>
              <w:rPr>
                <w:rFonts w:hint="eastAsia" w:ascii="Times New Roman" w:hAnsi="Times New Roman"/>
                <w:color w:val="FF0000"/>
                <w:sz w:val="20"/>
              </w:rPr>
              <w:t>。不要</w:t>
            </w:r>
            <w:r>
              <w:rPr>
                <w:rFonts w:ascii="Times New Roman" w:hAnsi="Times New Roman"/>
                <w:color w:val="FF0000"/>
                <w:sz w:val="20"/>
              </w:rPr>
              <w:t>忘记这一步</w:t>
            </w:r>
            <w:r>
              <w:rPr>
                <w:rFonts w:hint="eastAsia" w:ascii="Times New Roman" w:hAnsi="Times New Roman"/>
                <w:color w:val="FF0000"/>
                <w:sz w:val="20"/>
              </w:rPr>
              <w:t>。</w:t>
            </w:r>
          </w:p>
        </w:tc>
      </w:tr>
    </w:tbl>
    <w:p w14:paraId="3192CD6C">
      <w:pPr>
        <w:spacing w:before="78" w:beforeLines="25" w:after="78" w:afterLines="25"/>
        <w:rPr>
          <w:rFonts w:hint="eastAsia" w:ascii="Times New Roman" w:hAnsi="Times New Roman" w:eastAsia="宋体"/>
          <w:color w:val="FF0000"/>
          <w:lang w:val="en-US" w:eastAsia="zh-CN"/>
        </w:rPr>
      </w:pPr>
      <w:r>
        <w:rPr>
          <w:rFonts w:hint="eastAsia" w:ascii="Times New Roman" w:hAnsi="Times New Roman" w:eastAsia="黑体"/>
          <w:sz w:val="28"/>
        </w:rPr>
        <w:t>（二）设计演示结果</w:t>
      </w:r>
    </w:p>
    <w:p w14:paraId="3BE62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本处理器已经可以正常启动u-boot以及pmon，并在此基础上启动Linux内核，通过我们自己增加的VGA外设在显示器上进行显示，具体如下图所示：</w:t>
      </w:r>
    </w:p>
    <w:p w14:paraId="4EB61334">
      <w:pPr>
        <w:spacing w:line="360" w:lineRule="auto"/>
        <w:ind w:firstLine="420" w:firstLineChars="200"/>
        <w:jc w:val="center"/>
        <w:rPr>
          <w:rFonts w:hint="eastAsia" w:ascii="Times New Roman" w:hAnsi="Times New Roman" w:eastAsia="宋体"/>
          <w:color w:val="FF0000"/>
          <w:lang w:eastAsia="zh-CN"/>
        </w:rPr>
      </w:pPr>
      <w:r>
        <w:rPr>
          <w:rFonts w:hint="eastAsia" w:ascii="Times New Roman" w:hAnsi="Times New Roman" w:eastAsia="宋体"/>
          <w:color w:val="FF0000"/>
          <w:lang w:eastAsia="zh-CN"/>
        </w:rPr>
        <w:drawing>
          <wp:inline distT="0" distB="0" distL="114300" distR="114300">
            <wp:extent cx="3499485" cy="3075305"/>
            <wp:effectExtent l="0" t="0" r="5715" b="3175"/>
            <wp:docPr id="1" name="图片 1" descr="img_v3_02os_e8ebe0c4-5ebe-4ed1-bd14-3750654d991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v3_02os_e8ebe0c4-5ebe-4ed1-bd14-3750654d991g"/>
                    <pic:cNvPicPr>
                      <a:picLocks noChangeAspect="1"/>
                    </pic:cNvPicPr>
                  </pic:nvPicPr>
                  <pic:blipFill>
                    <a:blip r:embed="rId5"/>
                    <a:srcRect l="3344" t="9622" r="5544" b="3585"/>
                    <a:stretch>
                      <a:fillRect/>
                    </a:stretch>
                  </pic:blipFill>
                  <pic:spPr>
                    <a:xfrm>
                      <a:off x="0" y="0"/>
                      <a:ext cx="349948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FB1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360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color w:val="FF0000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1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 xml:space="preserve"> 使用本处理器启动u-boot</w:t>
      </w:r>
    </w:p>
    <w:p w14:paraId="1CE766A5">
      <w:pPr>
        <w:spacing w:line="360" w:lineRule="auto"/>
        <w:ind w:firstLine="420" w:firstLineChars="200"/>
        <w:jc w:val="center"/>
        <w:rPr>
          <w:rFonts w:hint="eastAsia" w:ascii="Times New Roman" w:hAnsi="Times New Roman" w:eastAsia="宋体"/>
          <w:color w:val="FF0000"/>
          <w:lang w:eastAsia="zh-CN"/>
        </w:rPr>
      </w:pPr>
      <w:r>
        <w:rPr>
          <w:rFonts w:hint="eastAsia" w:ascii="Times New Roman" w:hAnsi="Times New Roman" w:eastAsia="宋体"/>
          <w:color w:val="FF0000"/>
          <w:lang w:eastAsia="zh-CN"/>
        </w:rPr>
        <w:drawing>
          <wp:inline distT="0" distB="0" distL="114300" distR="114300">
            <wp:extent cx="4394200" cy="2321560"/>
            <wp:effectExtent l="0" t="0" r="10160" b="10160"/>
            <wp:docPr id="2" name="图片 2" descr="img_v3_02os_8db270d1-a932-41a4-ab36-dce714a49f6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v3_02os_8db270d1-a932-41a4-ab36-dce714a49f6g"/>
                    <pic:cNvPicPr>
                      <a:picLocks noChangeAspect="1"/>
                    </pic:cNvPicPr>
                  </pic:nvPicPr>
                  <pic:blipFill>
                    <a:blip r:embed="rId6"/>
                    <a:srcRect t="21974" r="1809" b="885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9E11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360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2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 xml:space="preserve"> 在显示器上显示我们启动内核的过程</w:t>
      </w:r>
    </w:p>
    <w:p w14:paraId="4DC6BA1A">
      <w:pPr>
        <w:spacing w:line="360" w:lineRule="auto"/>
        <w:ind w:firstLine="420" w:firstLineChars="200"/>
        <w:jc w:val="center"/>
        <w:rPr>
          <w:rFonts w:hint="eastAsia" w:ascii="Times New Roman" w:hAnsi="Times New Roman" w:eastAsia="宋体"/>
          <w:color w:val="FF0000"/>
          <w:lang w:eastAsia="zh-CN"/>
        </w:rPr>
      </w:pPr>
      <w:bookmarkStart w:id="0" w:name="_GoBack"/>
      <w:r>
        <w:rPr>
          <w:rFonts w:hint="eastAsia" w:ascii="Times New Roman" w:hAnsi="Times New Roman" w:eastAsia="宋体"/>
          <w:color w:val="FF0000"/>
          <w:lang w:eastAsia="zh-CN"/>
        </w:rPr>
        <w:drawing>
          <wp:inline distT="0" distB="0" distL="114300" distR="114300">
            <wp:extent cx="3928745" cy="3522345"/>
            <wp:effectExtent l="0" t="0" r="3175" b="13335"/>
            <wp:docPr id="3" name="图片 3" descr="SzrMSLRCw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zrMSLRCwV"/>
                    <pic:cNvPicPr>
                      <a:picLocks noChangeAspect="1"/>
                    </pic:cNvPicPr>
                  </pic:nvPicPr>
                  <pic:blipFill>
                    <a:blip r:embed="rId7"/>
                    <a:srcRect t="5561" r="51724" b="11284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5DAC42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firstLine="360" w:firstLineChars="200"/>
        <w:jc w:val="center"/>
        <w:textAlignment w:val="auto"/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图 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instrText xml:space="preserve"> SEQ 图 \* ARABIC </w:instrTex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t>3</w:t>
      </w:r>
      <w:r>
        <w:rPr>
          <w:rFonts w:hint="eastAsia" w:asciiTheme="minorEastAsia" w:hAnsiTheme="minorEastAsia" w:eastAsiaTheme="minorEastAsia" w:cstheme="minorEastAsia"/>
          <w:sz w:val="18"/>
          <w:szCs w:val="18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18"/>
          <w:szCs w:val="18"/>
          <w:lang w:eastAsia="zh-CN"/>
        </w:rPr>
        <w:t xml:space="preserve"> 启动内核并运行一些基础的指令</w:t>
      </w:r>
    </w:p>
    <w:p w14:paraId="43E6C5EA">
      <w:pPr>
        <w:spacing w:line="360" w:lineRule="auto"/>
        <w:ind w:firstLine="420" w:firstLineChars="200"/>
        <w:jc w:val="both"/>
        <w:rPr>
          <w:rFonts w:hint="eastAsia" w:ascii="Times New Roman" w:hAnsi="Times New Roman" w:eastAsia="宋体"/>
          <w:color w:val="FF0000"/>
          <w:lang w:eastAsia="zh-CN"/>
        </w:rPr>
      </w:pPr>
    </w:p>
    <w:p w14:paraId="3DF5A9A9">
      <w:pPr>
        <w:spacing w:before="156" w:beforeLines="50" w:after="156" w:afterLines="50"/>
        <w:rPr>
          <w:rFonts w:ascii="Times New Roman" w:hAnsi="Times New Roman" w:eastAsia="黑体"/>
          <w:sz w:val="30"/>
        </w:rPr>
      </w:pPr>
      <w:r>
        <w:rPr>
          <w:rFonts w:hint="eastAsia" w:ascii="Times New Roman" w:hAnsi="Times New Roman" w:eastAsia="黑体"/>
          <w:sz w:val="30"/>
        </w:rPr>
        <w:t>四、参考设计说明</w:t>
      </w:r>
    </w:p>
    <w:p w14:paraId="7176E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1. openla500 </w:t>
      </w:r>
    </w:p>
    <w:p w14:paraId="2BC2F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主要参考了流水线异常处理机制，地址翻译和uncache访问相关逻辑。</w:t>
      </w:r>
    </w:p>
    <w:p w14:paraId="207B3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同时借鉴了其乘法器（mul）除法器（div）以及AXI转接桥的设计。</w:t>
      </w:r>
    </w:p>
    <w:p w14:paraId="59E61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源代码URL：https://gitee.com/loongson-edu/open-la500</w:t>
      </w:r>
    </w:p>
    <w:p w14:paraId="2A5C4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2. 龙芯杯2022 LoongArch 挑战赛404 NOT FOUND队参赛作品： </w:t>
      </w:r>
    </w:p>
    <w:p w14:paraId="0C99B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主要参考了本校满洋学长的TAGE预测器组件设计，并对组件数量配置，PHT表大小，组件的分支历史长度和有用位进行了调整以优化性能测试的效果，同时对其中的关键查询路径进行了一定调整。</w:t>
      </w:r>
    </w:p>
    <w:p w14:paraId="147A8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源代码URL：https://github.com/HITSZ-NSCSCC22</w:t>
      </w:r>
    </w:p>
    <w:p w14:paraId="3BB0ABD5">
      <w:pPr>
        <w:spacing w:before="156" w:beforeLines="50" w:after="156" w:afterLines="50"/>
        <w:rPr>
          <w:rFonts w:ascii="Times New Roman" w:hAnsi="Times New Roman" w:eastAsia="黑体"/>
          <w:sz w:val="30"/>
        </w:rPr>
      </w:pPr>
      <w:r>
        <w:rPr>
          <w:rFonts w:hint="eastAsia" w:ascii="Times New Roman" w:hAnsi="Times New Roman" w:eastAsia="黑体"/>
          <w:sz w:val="30"/>
        </w:rPr>
        <w:t>五、参考文献</w:t>
      </w:r>
    </w:p>
    <w:p w14:paraId="6DE54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[1]汪文祥,邢金璋.CPU设计实战[M].机械工业出版社:202103:692.</w:t>
      </w:r>
    </w:p>
    <w:p w14:paraId="3C6F5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（用这本书来入门CPU设计非常好）</w:t>
      </w:r>
    </w:p>
    <w:p w14:paraId="00185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firstLine="420"/>
        <w:textAlignment w:val="auto"/>
        <w:rPr>
          <w:rFonts w:hint="eastAsia" w:asciiTheme="majorEastAsia" w:hAnsiTheme="majorEastAsia" w:eastAsiaTheme="majorEastAsia"/>
          <w:sz w:val="24"/>
          <w:szCs w:val="20"/>
        </w:rPr>
      </w:pPr>
    </w:p>
    <w:p w14:paraId="28C477EA">
      <w:pPr>
        <w:spacing w:line="320" w:lineRule="exact"/>
        <w:rPr>
          <w:rFonts w:asciiTheme="majorEastAsia" w:hAnsiTheme="majorEastAsia" w:eastAsiaTheme="majorEastAsia"/>
          <w:sz w:val="24"/>
          <w:szCs w:val="20"/>
        </w:rPr>
      </w:pPr>
    </w:p>
    <w:p w14:paraId="666A195D">
      <w:pPr>
        <w:spacing w:line="320" w:lineRule="exact"/>
        <w:rPr>
          <w:rFonts w:asciiTheme="majorEastAsia" w:hAnsiTheme="majorEastAsia" w:eastAsiaTheme="majorEastAsia"/>
          <w:sz w:val="24"/>
          <w:szCs w:val="20"/>
        </w:rPr>
      </w:pPr>
    </w:p>
    <w:p w14:paraId="54417D3C">
      <w:pPr>
        <w:spacing w:line="320" w:lineRule="exact"/>
        <w:rPr>
          <w:rFonts w:asciiTheme="majorEastAsia" w:hAnsiTheme="majorEastAsia" w:eastAsiaTheme="majorEastAsia"/>
          <w:sz w:val="24"/>
          <w:szCs w:val="20"/>
        </w:rPr>
      </w:pPr>
    </w:p>
    <w:p w14:paraId="732B64F6">
      <w:pPr>
        <w:spacing w:line="320" w:lineRule="exact"/>
        <w:rPr>
          <w:rFonts w:asciiTheme="majorEastAsia" w:hAnsiTheme="majorEastAsia" w:eastAsiaTheme="majorEastAsia"/>
          <w:sz w:val="24"/>
          <w:szCs w:val="20"/>
        </w:rPr>
      </w:pPr>
    </w:p>
    <w:p w14:paraId="752CFD32">
      <w:pPr>
        <w:spacing w:line="320" w:lineRule="exact"/>
        <w:rPr>
          <w:rFonts w:asciiTheme="majorEastAsia" w:hAnsiTheme="majorEastAsia" w:eastAsiaTheme="majorEastAsia"/>
          <w:sz w:val="24"/>
          <w:szCs w:val="20"/>
        </w:rPr>
      </w:pPr>
    </w:p>
    <w:p w14:paraId="767BF18B">
      <w:pPr>
        <w:spacing w:line="320" w:lineRule="exact"/>
        <w:rPr>
          <w:rFonts w:asciiTheme="majorEastAsia" w:hAnsiTheme="majorEastAsia" w:eastAsiaTheme="majorEastAsia"/>
          <w:sz w:val="24"/>
          <w:szCs w:val="20"/>
        </w:rPr>
      </w:pPr>
    </w:p>
    <w:p w14:paraId="5420F699">
      <w:pPr>
        <w:spacing w:line="320" w:lineRule="exact"/>
        <w:rPr>
          <w:rFonts w:hint="eastAsia" w:ascii="Times New Roman" w:hAnsi="Times New Roman" w:eastAsia="宋体"/>
          <w:color w:val="FF0000"/>
        </w:rPr>
      </w:pPr>
    </w:p>
    <w:p w14:paraId="03BCED83">
      <w:pPr>
        <w:spacing w:line="320" w:lineRule="exact"/>
        <w:rPr>
          <w:rFonts w:ascii="Times New Roman" w:hAnsi="Times New Roman" w:eastAsia="宋体"/>
          <w:color w:val="FF0000"/>
        </w:rPr>
      </w:pPr>
      <w:r>
        <w:rPr>
          <w:rFonts w:hint="eastAsia" w:ascii="Times New Roman" w:hAnsi="Times New Roman" w:eastAsia="宋体"/>
          <w:color w:val="FF0000"/>
        </w:rPr>
        <w:t>列出设计报告中的参考或借鉴过的文献，具体如下：</w:t>
      </w:r>
    </w:p>
    <w:p w14:paraId="01F079FC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参考文献一律用五号字，中文为宋体，英文为Times New Roman，行距16磅。</w:t>
      </w:r>
    </w:p>
    <w:p w14:paraId="01845F4A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中文参考文献和英文参考文献中的标点符号均使用英文标点符。</w:t>
      </w:r>
    </w:p>
    <w:p w14:paraId="4E4849D7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参考文献应按文中引用出现的顺序连续编码，序号左顶格，并用数字加方括号表示，每一参考文献条目的最后均以“.”结束。</w:t>
      </w:r>
    </w:p>
    <w:p w14:paraId="4645912B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所有参考文献在正文中都必须被引用，同一处引用多篇文献时，将各篇文献的序号在方括号中全部列出，各序号间用“,”；如遇连续序号，可标起讫号“-”；同一文献在论著中被引用多次，只编1个号。如果文献的作用是对正文作解释，标注时文献序号连同方括号都要使用比正文字号小，并把它们放在右上方(作为上角标)；如果文献是作为句子的成分出现在正文之中，标注时文献序号连同方括号的字号要与正文的字号相同，并且把它们作为正文的一部分来书写(位置与正文平齐，不做为上角标)，另外要注意的是一定要方括号前面加上“文献”两个字。</w:t>
      </w:r>
    </w:p>
    <w:p w14:paraId="75DF0412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A.连续出版物：</w:t>
      </w:r>
    </w:p>
    <w:p w14:paraId="07AC247F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[序号] 主要责任者. 文献题名[J]. 刊名, 出版年份, 卷号(期号): 起止页码．</w:t>
      </w:r>
    </w:p>
    <w:p w14:paraId="7200DCA6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B.专著：</w:t>
      </w:r>
    </w:p>
    <w:p w14:paraId="261DB535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[序号] 主要责任者. 文献题名[M]. 出版地: 出版者, 出版年: 起止页码(可选项).</w:t>
      </w:r>
    </w:p>
    <w:p w14:paraId="5CBD711E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C.论文集：</w:t>
      </w:r>
    </w:p>
    <w:p w14:paraId="6AA974F2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[序号] 主要责任者. 文献题名[C]. 论文集名. 出版地: 出版者, 出版年: 起止页码.</w:t>
      </w:r>
    </w:p>
    <w:p w14:paraId="01F85B15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D.学位论文：</w:t>
      </w:r>
    </w:p>
    <w:p w14:paraId="2FCAEF13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[序号] 主要责任者. 文献题名[D]. 保存地: 保存单位, 年份.</w:t>
      </w:r>
    </w:p>
    <w:p w14:paraId="17427975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E.报告：</w:t>
      </w:r>
    </w:p>
    <w:p w14:paraId="6C3A47E8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[序号] 主要责任者. 文献题名[R]. 报告地: 报告会主办单位, 年份.</w:t>
      </w:r>
    </w:p>
    <w:p w14:paraId="12E57749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F.专利文献：</w:t>
      </w:r>
    </w:p>
    <w:p w14:paraId="081DE37F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[序号] 专利所有者. 专利题名[P]. 专利国别: 专利号, 发布日期.</w:t>
      </w:r>
    </w:p>
    <w:p w14:paraId="7DAD268C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G.国际、国家标准：</w:t>
      </w:r>
    </w:p>
    <w:p w14:paraId="76ACB787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[序号] 标准代号, 名称[S]. 出版地: 出版者, 出版年.</w:t>
      </w:r>
    </w:p>
    <w:p w14:paraId="5B099AD2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H.报纸文章：</w:t>
      </w:r>
    </w:p>
    <w:p w14:paraId="1A854FF8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[序号] 主要责任者. 文献题名[N]. 报纸名, 出版日期(版次).</w:t>
      </w:r>
    </w:p>
    <w:p w14:paraId="0759A33B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I.电子文献：</w:t>
      </w:r>
    </w:p>
    <w:p w14:paraId="14D7C283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[序号] 主要责任者. 电子文献题名[文献类型/文献载体]. 发表或更新日期(可选)[引用日期]. 获取和访问路径.</w:t>
      </w:r>
    </w:p>
    <w:p w14:paraId="344DD848">
      <w:pPr>
        <w:spacing w:line="320" w:lineRule="exact"/>
        <w:rPr>
          <w:color w:val="FF0000"/>
        </w:rPr>
      </w:pPr>
      <w:r>
        <w:rPr>
          <w:rFonts w:hint="eastAsia"/>
          <w:color w:val="FF0000"/>
        </w:rPr>
        <w:t>例如：</w:t>
      </w:r>
    </w:p>
    <w:p w14:paraId="296F20F1">
      <w:pPr>
        <w:spacing w:line="320" w:lineRule="exact"/>
        <w:rPr>
          <w:color w:val="FF0000"/>
        </w:rPr>
      </w:pPr>
      <w:r>
        <w:rPr>
          <w:color w:val="FF0000"/>
        </w:rPr>
        <w:t>[8] Fonda, Marc. Examining the New Polytheism: A Critical Assessment of the Concepts of Self and Gender in Archetypal Psychology[EB/OL]. 1995[1997-12-20] University of Ottawa, http://www.clas.ufl.edu/users/gthursby/fonda/dispg.html.</w:t>
      </w:r>
    </w:p>
    <w:p w14:paraId="274F8EC6">
      <w:pPr>
        <w:spacing w:line="320" w:lineRule="exact"/>
        <w:rPr>
          <w:color w:val="FF0000"/>
        </w:rPr>
      </w:pPr>
      <w:r>
        <w:rPr>
          <w:color w:val="FF0000"/>
        </w:rPr>
        <w:t>[2] Online Computer Library Center, Inc. History of OCLC[EB/OL]. [2000-01-08]. http://www.oclc.org/about/history/default.htm.</w:t>
      </w:r>
    </w:p>
    <w:p w14:paraId="322517E0"/>
    <w:p w14:paraId="5411ACF6">
      <w:pPr>
        <w:widowControl/>
        <w:jc w:val="left"/>
      </w:pPr>
      <w:r>
        <w:br w:type="page"/>
      </w:r>
    </w:p>
    <w:p w14:paraId="4525493C">
      <w:pPr>
        <w:rPr>
          <w:color w:val="FF0000"/>
          <w:sz w:val="24"/>
        </w:rPr>
      </w:pPr>
      <w:r>
        <w:rPr>
          <w:color w:val="FF0000"/>
          <w:sz w:val="24"/>
        </w:rPr>
        <w:t>格式补充说明</w:t>
      </w:r>
      <w:r>
        <w:rPr>
          <w:rFonts w:hint="eastAsia"/>
          <w:color w:val="FF0000"/>
          <w:sz w:val="24"/>
        </w:rPr>
        <w:t>：</w:t>
      </w:r>
    </w:p>
    <w:p w14:paraId="427763E7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1.</w:t>
      </w:r>
      <w:r>
        <w:rPr>
          <w:rFonts w:hint="eastAsia"/>
          <w:color w:val="FF0000"/>
          <w:sz w:val="24"/>
        </w:rPr>
        <w:tab/>
      </w:r>
      <w:r>
        <w:rPr>
          <w:rFonts w:hint="eastAsia"/>
          <w:color w:val="FF0000"/>
          <w:sz w:val="24"/>
        </w:rPr>
        <w:t>标题层次建议不超过四级，从第一级开始标号格式依次采用：一、二、三；（一）、（二）、（三）；1、2、3；（1）、（2）、（3）。</w:t>
      </w:r>
    </w:p>
    <w:p w14:paraId="79407E57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ab/>
      </w:r>
      <w:r>
        <w:rPr>
          <w:rFonts w:hint="eastAsia"/>
          <w:color w:val="FF0000"/>
          <w:sz w:val="24"/>
        </w:rPr>
        <w:t>一级标题用小三号字，中文为黑体，英文为Times New Roman，单倍行距，段前段后各0.5行。</w:t>
      </w:r>
    </w:p>
    <w:p w14:paraId="3A3BBF40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ab/>
      </w:r>
      <w:r>
        <w:rPr>
          <w:rFonts w:hint="eastAsia"/>
          <w:color w:val="FF0000"/>
          <w:sz w:val="24"/>
        </w:rPr>
        <w:t>二级标题用四号字，中文为黑体，英文为Times New Roman，单倍行距，段前段后各0.25行。</w:t>
      </w:r>
    </w:p>
    <w:p w14:paraId="2124C69B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ab/>
      </w:r>
      <w:r>
        <w:rPr>
          <w:rFonts w:hint="eastAsia"/>
          <w:color w:val="FF0000"/>
          <w:sz w:val="24"/>
        </w:rPr>
        <w:t>三级标题用小四号字，中文为黑体，英文为Times New Roman，单倍行距。</w:t>
      </w:r>
    </w:p>
    <w:p w14:paraId="1AE3DF4F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ab/>
      </w:r>
      <w:r>
        <w:rPr>
          <w:rFonts w:hint="eastAsia"/>
          <w:color w:val="FF0000"/>
          <w:sz w:val="24"/>
        </w:rPr>
        <w:t>四级标题用五号字，中文为黑体，英文为Times New Roman，单倍行距。</w:t>
      </w:r>
    </w:p>
    <w:p w14:paraId="32FA999D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2.</w:t>
      </w:r>
      <w:r>
        <w:rPr>
          <w:rFonts w:hint="eastAsia"/>
          <w:color w:val="FF0000"/>
          <w:sz w:val="24"/>
        </w:rPr>
        <w:tab/>
      </w:r>
      <w:r>
        <w:rPr>
          <w:rFonts w:hint="eastAsia"/>
          <w:color w:val="FF0000"/>
          <w:sz w:val="24"/>
        </w:rPr>
        <w:t>正文用五号字，中文为宋体，英文为Times New Roman，1.5倍行距。</w:t>
      </w:r>
    </w:p>
    <w:p w14:paraId="52E3F38D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3.</w:t>
      </w:r>
      <w:r>
        <w:rPr>
          <w:rFonts w:hint="eastAsia"/>
          <w:color w:val="FF0000"/>
          <w:sz w:val="24"/>
        </w:rPr>
        <w:tab/>
      </w:r>
      <w:r>
        <w:rPr>
          <w:rFonts w:hint="eastAsia"/>
          <w:color w:val="FF0000"/>
          <w:sz w:val="24"/>
        </w:rPr>
        <w:t>所有图统一顺序标号，图标题紧挨在图的下方，居中，用小五号字，中文为宋体，英文为Times New Roman，单倍行距，段后0.5行。</w:t>
      </w:r>
    </w:p>
    <w:p w14:paraId="0E03480F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4.</w:t>
      </w:r>
      <w:r>
        <w:rPr>
          <w:rFonts w:hint="eastAsia"/>
          <w:color w:val="FF0000"/>
          <w:sz w:val="24"/>
        </w:rPr>
        <w:tab/>
      </w:r>
      <w:r>
        <w:rPr>
          <w:rFonts w:hint="eastAsia"/>
          <w:color w:val="FF0000"/>
          <w:sz w:val="24"/>
        </w:rPr>
        <w:t>所有表统一顺序标号，图标题放在表的上方，居中，用小五号字，中文为宋体，英文为Times New Roman，单倍行距，段前0.5行。</w:t>
      </w:r>
    </w:p>
    <w:p w14:paraId="2EF02724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5.</w:t>
      </w:r>
      <w:r>
        <w:rPr>
          <w:rFonts w:hint="eastAsia"/>
          <w:b/>
          <w:color w:val="FF0000"/>
          <w:sz w:val="24"/>
        </w:rPr>
        <w:tab/>
      </w:r>
      <w:r>
        <w:rPr>
          <w:rFonts w:hint="eastAsia"/>
          <w:b/>
          <w:color w:val="FF0000"/>
          <w:sz w:val="24"/>
        </w:rPr>
        <w:t>报告形成后请删除本模板中所有红色文字。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0836797"/>
      <w:docPartObj>
        <w:docPartGallery w:val="AutoText"/>
      </w:docPartObj>
    </w:sdtPr>
    <w:sdtContent>
      <w:p w14:paraId="6417100C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14:paraId="63CF7D9D"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88414C"/>
    <w:multiLevelType w:val="multilevel"/>
    <w:tmpl w:val="0A88414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6673F0"/>
    <w:rsid w:val="0003565C"/>
    <w:rsid w:val="000377DD"/>
    <w:rsid w:val="00071833"/>
    <w:rsid w:val="00076A8F"/>
    <w:rsid w:val="00083A47"/>
    <w:rsid w:val="000A1C80"/>
    <w:rsid w:val="000A7B17"/>
    <w:rsid w:val="00117B58"/>
    <w:rsid w:val="001625B2"/>
    <w:rsid w:val="001C7C0F"/>
    <w:rsid w:val="001D049B"/>
    <w:rsid w:val="001F49CF"/>
    <w:rsid w:val="0020297D"/>
    <w:rsid w:val="00212885"/>
    <w:rsid w:val="00227F9E"/>
    <w:rsid w:val="00242664"/>
    <w:rsid w:val="002659F0"/>
    <w:rsid w:val="00267F43"/>
    <w:rsid w:val="002845FB"/>
    <w:rsid w:val="002856CF"/>
    <w:rsid w:val="00290676"/>
    <w:rsid w:val="002B2F5C"/>
    <w:rsid w:val="002B7A71"/>
    <w:rsid w:val="002C0695"/>
    <w:rsid w:val="002C7FA7"/>
    <w:rsid w:val="002E5931"/>
    <w:rsid w:val="002F7C00"/>
    <w:rsid w:val="003033DE"/>
    <w:rsid w:val="0030513E"/>
    <w:rsid w:val="003404B6"/>
    <w:rsid w:val="00352118"/>
    <w:rsid w:val="00360F79"/>
    <w:rsid w:val="003A1EB6"/>
    <w:rsid w:val="003A7F11"/>
    <w:rsid w:val="003C7D26"/>
    <w:rsid w:val="003F4CA7"/>
    <w:rsid w:val="004073A4"/>
    <w:rsid w:val="00412A3A"/>
    <w:rsid w:val="004277CF"/>
    <w:rsid w:val="00434782"/>
    <w:rsid w:val="0044476F"/>
    <w:rsid w:val="00475909"/>
    <w:rsid w:val="00495B6C"/>
    <w:rsid w:val="004C5768"/>
    <w:rsid w:val="005053F8"/>
    <w:rsid w:val="005151F1"/>
    <w:rsid w:val="00516DB4"/>
    <w:rsid w:val="00521149"/>
    <w:rsid w:val="00572206"/>
    <w:rsid w:val="00574E15"/>
    <w:rsid w:val="00584E06"/>
    <w:rsid w:val="005B15A6"/>
    <w:rsid w:val="005C79BC"/>
    <w:rsid w:val="005D6A11"/>
    <w:rsid w:val="00616861"/>
    <w:rsid w:val="00616BD6"/>
    <w:rsid w:val="00650B44"/>
    <w:rsid w:val="006620C8"/>
    <w:rsid w:val="006673F0"/>
    <w:rsid w:val="00695650"/>
    <w:rsid w:val="006A2753"/>
    <w:rsid w:val="006A3F67"/>
    <w:rsid w:val="006D47B1"/>
    <w:rsid w:val="006E3096"/>
    <w:rsid w:val="006E5FAC"/>
    <w:rsid w:val="006E6A26"/>
    <w:rsid w:val="00701358"/>
    <w:rsid w:val="00730419"/>
    <w:rsid w:val="007317E7"/>
    <w:rsid w:val="007D2436"/>
    <w:rsid w:val="007D5989"/>
    <w:rsid w:val="00833A57"/>
    <w:rsid w:val="008635C7"/>
    <w:rsid w:val="00870A97"/>
    <w:rsid w:val="00874FBA"/>
    <w:rsid w:val="008B4D62"/>
    <w:rsid w:val="008D06BC"/>
    <w:rsid w:val="008E72FB"/>
    <w:rsid w:val="00925EB1"/>
    <w:rsid w:val="00972B1B"/>
    <w:rsid w:val="009A26C0"/>
    <w:rsid w:val="009A68F0"/>
    <w:rsid w:val="009E49C5"/>
    <w:rsid w:val="00A01F17"/>
    <w:rsid w:val="00A2417C"/>
    <w:rsid w:val="00A24BB6"/>
    <w:rsid w:val="00A35B43"/>
    <w:rsid w:val="00A35B5E"/>
    <w:rsid w:val="00A45FC4"/>
    <w:rsid w:val="00A60034"/>
    <w:rsid w:val="00AA337E"/>
    <w:rsid w:val="00B071DF"/>
    <w:rsid w:val="00B12249"/>
    <w:rsid w:val="00B32EC3"/>
    <w:rsid w:val="00B40FEF"/>
    <w:rsid w:val="00B761C6"/>
    <w:rsid w:val="00B92113"/>
    <w:rsid w:val="00BA20C0"/>
    <w:rsid w:val="00BF5D88"/>
    <w:rsid w:val="00C116BA"/>
    <w:rsid w:val="00C123E4"/>
    <w:rsid w:val="00C14B1F"/>
    <w:rsid w:val="00C24824"/>
    <w:rsid w:val="00C2594D"/>
    <w:rsid w:val="00C32F7B"/>
    <w:rsid w:val="00C66555"/>
    <w:rsid w:val="00C773BC"/>
    <w:rsid w:val="00CC3C38"/>
    <w:rsid w:val="00CC5A03"/>
    <w:rsid w:val="00CC6123"/>
    <w:rsid w:val="00CE0E5D"/>
    <w:rsid w:val="00CE371A"/>
    <w:rsid w:val="00CF3905"/>
    <w:rsid w:val="00D00C3E"/>
    <w:rsid w:val="00D0296B"/>
    <w:rsid w:val="00D03DF4"/>
    <w:rsid w:val="00D16B0C"/>
    <w:rsid w:val="00D22142"/>
    <w:rsid w:val="00D22488"/>
    <w:rsid w:val="00D30A1D"/>
    <w:rsid w:val="00D52153"/>
    <w:rsid w:val="00D55E38"/>
    <w:rsid w:val="00D6129C"/>
    <w:rsid w:val="00D63081"/>
    <w:rsid w:val="00D735D1"/>
    <w:rsid w:val="00DA2C79"/>
    <w:rsid w:val="00DD475C"/>
    <w:rsid w:val="00DE157D"/>
    <w:rsid w:val="00E2463B"/>
    <w:rsid w:val="00E52F50"/>
    <w:rsid w:val="00E63FC0"/>
    <w:rsid w:val="00E925EA"/>
    <w:rsid w:val="00EA2958"/>
    <w:rsid w:val="00EA7B7C"/>
    <w:rsid w:val="00EC205C"/>
    <w:rsid w:val="00EE7047"/>
    <w:rsid w:val="00EF5C07"/>
    <w:rsid w:val="00EF7964"/>
    <w:rsid w:val="00F11669"/>
    <w:rsid w:val="00F320C3"/>
    <w:rsid w:val="00F63CAD"/>
    <w:rsid w:val="00FC7F7D"/>
    <w:rsid w:val="00FD26D9"/>
    <w:rsid w:val="00FD485E"/>
    <w:rsid w:val="00FE3619"/>
    <w:rsid w:val="00FF2858"/>
    <w:rsid w:val="00FF55E3"/>
    <w:rsid w:val="35B74250"/>
    <w:rsid w:val="3C044640"/>
    <w:rsid w:val="4F9474D9"/>
    <w:rsid w:val="56EB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4">
    <w:name w:val="Balloon Text"/>
    <w:basedOn w:val="1"/>
    <w:link w:val="15"/>
    <w:semiHidden/>
    <w:unhideWhenUsed/>
    <w:qFormat/>
    <w:uiPriority w:val="99"/>
    <w:rPr>
      <w:sz w:val="16"/>
      <w:szCs w:val="16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yperlink"/>
    <w:basedOn w:val="10"/>
    <w:unhideWhenUsed/>
    <w:qFormat/>
    <w:uiPriority w:val="99"/>
    <w:rPr>
      <w:color w:val="0000FF" w:themeColor="hyperlink"/>
      <w:u w:val="single"/>
    </w:rPr>
  </w:style>
  <w:style w:type="character" w:customStyle="1" w:styleId="13">
    <w:name w:val="页眉 字符"/>
    <w:basedOn w:val="10"/>
    <w:link w:val="6"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5">
    <w:name w:val="批注框文本 字符"/>
    <w:basedOn w:val="10"/>
    <w:link w:val="4"/>
    <w:semiHidden/>
    <w:qFormat/>
    <w:uiPriority w:val="99"/>
    <w:rPr>
      <w:sz w:val="16"/>
      <w:szCs w:val="16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styleId="17">
    <w:name w:val="Placeholder Text"/>
    <w:basedOn w:val="10"/>
    <w:semiHidden/>
    <w:uiPriority w:val="99"/>
    <w:rPr>
      <w:color w:val="666666"/>
    </w:rPr>
  </w:style>
  <w:style w:type="table" w:customStyle="1" w:styleId="18">
    <w:name w:val="Plain Table 4"/>
    <w:basedOn w:val="8"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9">
    <w:name w:val="Unresolved Mention"/>
    <w:basedOn w:val="1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E7D3B82-2206-48C6-8229-E7D2D10BD12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EMC Corporation</Company>
  <Pages>14</Pages>
  <Words>3744</Words>
  <Characters>4737</Characters>
  <Lines>67</Lines>
  <Paragraphs>18</Paragraphs>
  <TotalTime>29</TotalTime>
  <ScaleCrop>false</ScaleCrop>
  <LinksUpToDate>false</LinksUpToDate>
  <CharactersWithSpaces>4900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2025-07-30T13:05:00Z</dcterms:created>
  <dc:creator>QinZhen</dc:creator>
  <cp:lastModifiedBy>Victor</cp:lastModifiedBy>
  <dcterms:modified xsi:type="dcterms:W3CDTF">2025-08-05T06:48:06Z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eyJoZGlkIjoiNTQ5ZTNhNTUzNjg1NTVjNWM5NzA1YzdkOTRmOTYyN2UiLCJ1c2VySWQiOiI3ODI3NDA2NzkifQ==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23E21A14A64547709C0E34984956F7DC_12</vt:lpwstr>
  </property>
</Properties>
</file>