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Enterprise Multi-Tenant GRC Platform</w:t>
      </w:r>
    </w:p>
    <w:p>
      <w:pPr>
        <w:spacing w:after="100"/>
        <w:jc w:val="center"/>
      </w:pPr>
      <w:r>
        <w:rPr>
          <w:color w:val="2E75B6"/>
          <w:sz w:val="32"/>
          <w:szCs w:val="32"/>
        </w:rPr>
        <w:t xml:space="preserve">Kingdom of Saudi Arabia</w:t>
      </w:r>
    </w:p>
    <w:p>
      <w:pPr>
        <w:spacing w:after="400"/>
        <w:jc w:val="center"/>
      </w:pPr>
      <w:r>
        <w:rPr>
          <w:i/>
          <w:iCs/>
          <w:color w:val="666666"/>
          <w:sz w:val="28"/>
          <w:szCs w:val="28"/>
        </w:rPr>
        <w:t xml:space="preserve">Technical Architecture Using ABP.io Framework</w:t>
      </w:r>
    </w:p>
    <w:p>
      <w:pPr>
        <w:spacing w:after="100"/>
        <w:jc w:val="center"/>
      </w:pPr>
      <w:r>
        <w:rPr>
          <w:color w:val="1F4E79"/>
          <w:sz w:val="24"/>
          <w:szCs w:val="24"/>
        </w:rPr>
        <w:t xml:space="preserve">Supporting Vision 2030 Digital Transformation</w:t>
      </w:r>
    </w:p>
    <w:p>
      <w:pPr>
        <w:spacing w:before="600"/>
        <w:jc w:val="center"/>
      </w:pPr>
      <w:r>
        <w:rPr>
          <w:color w:val="666666"/>
          <w:sz w:val="22"/>
          <w:szCs w:val="22"/>
        </w:rPr>
        <w:t xml:space="preserve">Version 1.0 | December 2024</w:t>
      </w:r>
    </w:p>
    <w:p>
      <w:pPr>
        <w:spacing w:before="200"/>
        <w:jc w:val="center"/>
      </w:pPr>
      <w:r>
        <w:rPr>
          <w:b/>
          <w:bCs/>
          <w:color w:val="1F4E79"/>
          <w:sz w:val="22"/>
          <w:szCs w:val="22"/>
        </w:rPr>
        <w:t xml:space="preserve">2,800+ Controls | 50+ Frameworks | 33 Regulators</w:t>
      </w:r>
    </w:p>
    <w:p>
      <w:r>
        <w:br w:type="page"/>
      </w:r>
    </w:p>
    <w:p>
      <w:pPr>
        <w:pStyle w:val="Heading1"/>
      </w:pPr>
      <w:r>
        <w:t xml:space="preserve">1. Executive Summary</w:t>
      </w:r>
    </w:p>
    <w:p>
      <w:pPr>
        <w:spacing w:after="200"/>
      </w:pPr>
      <w:r>
        <w:t xml:space="preserve">This document presents a comprehensive technical architecture for an Enterprise Multi-Tenant GRC (Governance, Risk, and Compliance) Platform built using the ABP.io Framework. The platform is specifically designed to serve organizations operating in the Kingdom of Saudi Arabia, enabling them to manage compliance with multiple regulatory frameworks including NCA-ECC, PDPL, SAMA-CSF, MOH-HIS, and 50+ additional frameworks.</w:t>
      </w:r>
    </w:p>
    <w:p>
      <w:pPr>
        <w:pStyle w:val="Heading2"/>
      </w:pPr>
      <w:r>
        <w:t xml:space="preserve">1.1 Key Capabilities</w:t>
      </w:r>
    </w:p>
    <w:p>
      <w:pPr>
        <w:pStyle w:val="ListParagraph"/>
        <w:numPr>
          <w:ilvl w:val="0"/>
          <w:numId w:val="2"/>
        </w:numPr>
      </w:pPr>
      <w:r>
        <w:rPr>
          <w:b/>
          <w:bCs/>
        </w:rPr>
        <w:t xml:space="preserve">Multi-Tenant Architecture: </w:t>
      </w:r>
      <w:r>
        <w:t xml:space="preserve">Complete data isolation with shared infrastructure for cost efficiency</w:t>
      </w:r>
    </w:p>
    <w:p>
      <w:pPr>
        <w:pStyle w:val="ListParagraph"/>
        <w:numPr>
          <w:ilvl w:val="0"/>
          <w:numId w:val="2"/>
        </w:numPr>
      </w:pPr>
      <w:r>
        <w:rPr>
          <w:b/>
          <w:bCs/>
        </w:rPr>
        <w:t xml:space="preserve">Self-Service Compliance: </w:t>
      </w:r>
      <w:r>
        <w:t xml:space="preserve">Organizations perform GRC processes independently with guided workflows</w:t>
      </w:r>
    </w:p>
    <w:p>
      <w:pPr>
        <w:pStyle w:val="ListParagraph"/>
        <w:numPr>
          <w:ilvl w:val="0"/>
          <w:numId w:val="2"/>
        </w:numPr>
      </w:pPr>
      <w:r>
        <w:rPr>
          <w:b/>
          <w:bCs/>
        </w:rPr>
        <w:t xml:space="preserve">Hybrid Teams: </w:t>
      </w:r>
      <w:r>
        <w:t xml:space="preserve">Support for internal teams and external consultants/auditors</w:t>
      </w:r>
    </w:p>
    <w:p>
      <w:pPr>
        <w:pStyle w:val="ListParagraph"/>
        <w:numPr>
          <w:ilvl w:val="0"/>
          <w:numId w:val="2"/>
        </w:numPr>
      </w:pPr>
      <w:r>
        <w:rPr>
          <w:b/>
          <w:bCs/>
        </w:rPr>
        <w:t xml:space="preserve">Automated Reporting: </w:t>
      </w:r>
      <w:r>
        <w:t xml:space="preserve">Continuous, authenticated, mechanized reporting to regulators</w:t>
      </w:r>
    </w:p>
    <w:p>
      <w:pPr>
        <w:pStyle w:val="ListParagraph"/>
        <w:numPr>
          <w:ilvl w:val="0"/>
          <w:numId w:val="2"/>
        </w:numPr>
      </w:pPr>
      <w:r>
        <w:rPr>
          <w:b/>
          <w:bCs/>
        </w:rPr>
        <w:t xml:space="preserve">Bilingual Support: </w:t>
      </w:r>
      <w:r>
        <w:t xml:space="preserve">Full Arabic/English localization for all content and interfaces</w:t>
      </w:r>
    </w:p>
    <w:p>
      <w:pPr>
        <w:pStyle w:val="ListParagraph"/>
        <w:numPr>
          <w:ilvl w:val="0"/>
          <w:numId w:val="2"/>
        </w:numPr>
      </w:pPr>
      <w:r>
        <w:rPr>
          <w:b/>
          <w:bCs/>
        </w:rPr>
        <w:t xml:space="preserve">IoT/Healthcare Focus: </w:t>
      </w:r>
      <w:r>
        <w:t xml:space="preserve">Specialized modules for IoMT device security and healthcare compliance</w:t>
      </w:r>
    </w:p>
    <w:p>
      <w:r>
        <w:br w:type="page"/>
      </w:r>
    </w:p>
    <w:p>
      <w:pPr>
        <w:pStyle w:val="Heading1"/>
      </w:pPr>
      <w:r>
        <w:t xml:space="preserve">2. Why ABP.io Framework</w:t>
      </w:r>
    </w:p>
    <w:p>
      <w:pPr>
        <w:spacing w:after="200"/>
      </w:pPr>
      <w:r>
        <w:t xml:space="preserve">ABP.io is an open-source application framework built on ASP.NET Core that provides enterprise-grade features out of the box. For a Saudi GRC platform, ABP.io offers critical advantages: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ABP.io Feature</w:t>
            </w:r>
          </w:p>
        </w:tc>
        <w:tc>
          <w:tcPr>
            <w:tcW w:type="dxa" w:w="63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GRC Platform Benefit</w:t>
            </w:r>
          </w:p>
        </w:tc>
      </w:tr>
      <w:tr>
        <w:tc>
          <w:tcPr>
            <w:tcW w:type="dxa" w:w="3000"/>
            <w:tcBorders>
              <w:top w:val="single" w:color="CCCCCC" w:sz="1"/>
              <w:left w:val="single" w:color="CCCCCC" w:sz="1"/>
              <w:bottom w:val="single" w:color="CCCCCC" w:sz="1"/>
              <w:right w:val="single" w:color="CCCCCC" w:sz="1"/>
            </w:tcBorders>
          </w:tcPr>
          <w:p>
            <w:r>
              <w:rPr>
                <w:b/>
                <w:bCs/>
              </w:rPr>
              <w:t xml:space="preserve">Multi-Tenancy</w:t>
            </w:r>
          </w:p>
        </w:tc>
        <w:tc>
          <w:tcPr>
            <w:tcW w:type="dxa" w:w="6360"/>
            <w:tcBorders>
              <w:top w:val="single" w:color="CCCCCC" w:sz="1"/>
              <w:left w:val="single" w:color="CCCCCC" w:sz="1"/>
              <w:bottom w:val="single" w:color="CCCCCC" w:sz="1"/>
              <w:right w:val="single" w:color="CCCCCC" w:sz="1"/>
            </w:tcBorders>
          </w:tcPr>
          <w:p>
            <w:r>
              <w:t xml:space="preserve">Built-in tenant isolation, per-tenant databases, tenant-specific configurations. Each organization's data completely separated.</w:t>
            </w:r>
          </w:p>
        </w:tc>
      </w:tr>
      <w:tr>
        <w:tc>
          <w:tcPr>
            <w:tcW w:type="dxa" w:w="3000"/>
            <w:tcBorders>
              <w:top w:val="single" w:color="CCCCCC" w:sz="1"/>
              <w:left w:val="single" w:color="CCCCCC" w:sz="1"/>
              <w:bottom w:val="single" w:color="CCCCCC" w:sz="1"/>
              <w:right w:val="single" w:color="CCCCCC" w:sz="1"/>
            </w:tcBorders>
            <w:shd w:fill="F2F2F2" w:val="clear"/>
          </w:tcPr>
          <w:p>
            <w:r>
              <w:rPr>
                <w:b/>
                <w:bCs/>
              </w:rPr>
              <w:t xml:space="preserve">Modular Architecture</w:t>
            </w:r>
          </w:p>
        </w:tc>
        <w:tc>
          <w:tcPr>
            <w:tcW w:type="dxa" w:w="6360"/>
            <w:tcBorders>
              <w:top w:val="single" w:color="CCCCCC" w:sz="1"/>
              <w:left w:val="single" w:color="CCCCCC" w:sz="1"/>
              <w:bottom w:val="single" w:color="CCCCCC" w:sz="1"/>
              <w:right w:val="single" w:color="CCCCCC" w:sz="1"/>
            </w:tcBorders>
            <w:shd w:fill="F2F2F2" w:val="clear"/>
          </w:tcPr>
          <w:p>
            <w:r>
              <w:t xml:space="preserve">Plug-and-play modules for different frameworks (NCA, SAMA, MOH). Enable/disable per tenant.</w:t>
            </w:r>
          </w:p>
        </w:tc>
      </w:tr>
      <w:tr>
        <w:tc>
          <w:tcPr>
            <w:tcW w:type="dxa" w:w="3000"/>
            <w:tcBorders>
              <w:top w:val="single" w:color="CCCCCC" w:sz="1"/>
              <w:left w:val="single" w:color="CCCCCC" w:sz="1"/>
              <w:bottom w:val="single" w:color="CCCCCC" w:sz="1"/>
              <w:right w:val="single" w:color="CCCCCC" w:sz="1"/>
            </w:tcBorders>
          </w:tcPr>
          <w:p>
            <w:r>
              <w:rPr>
                <w:b/>
                <w:bCs/>
              </w:rPr>
              <w:t xml:space="preserve">Identity &amp; Permissions</w:t>
            </w:r>
          </w:p>
        </w:tc>
        <w:tc>
          <w:tcPr>
            <w:tcW w:type="dxa" w:w="6360"/>
            <w:tcBorders>
              <w:top w:val="single" w:color="CCCCCC" w:sz="1"/>
              <w:left w:val="single" w:color="CCCCCC" w:sz="1"/>
              <w:bottom w:val="single" w:color="CCCCCC" w:sz="1"/>
              <w:right w:val="single" w:color="CCCCCC" w:sz="1"/>
            </w:tcBorders>
          </w:tcPr>
          <w:p>
            <w:r>
              <w:t xml:space="preserve">Role-based access control, fine-grained permissions. Support for internal users, external consultants, and regulator auditors.</w:t>
            </w:r>
          </w:p>
        </w:tc>
      </w:tr>
      <w:tr>
        <w:tc>
          <w:tcPr>
            <w:tcW w:type="dxa" w:w="3000"/>
            <w:tcBorders>
              <w:top w:val="single" w:color="CCCCCC" w:sz="1"/>
              <w:left w:val="single" w:color="CCCCCC" w:sz="1"/>
              <w:bottom w:val="single" w:color="CCCCCC" w:sz="1"/>
              <w:right w:val="single" w:color="CCCCCC" w:sz="1"/>
            </w:tcBorders>
            <w:shd w:fill="F2F2F2" w:val="clear"/>
          </w:tcPr>
          <w:p>
            <w:r>
              <w:rPr>
                <w:b/>
                <w:bCs/>
              </w:rPr>
              <w:t xml:space="preserve">Audit Logging</w:t>
            </w:r>
          </w:p>
        </w:tc>
        <w:tc>
          <w:tcPr>
            <w:tcW w:type="dxa" w:w="6360"/>
            <w:tcBorders>
              <w:top w:val="single" w:color="CCCCCC" w:sz="1"/>
              <w:left w:val="single" w:color="CCCCCC" w:sz="1"/>
              <w:bottom w:val="single" w:color="CCCCCC" w:sz="1"/>
              <w:right w:val="single" w:color="CCCCCC" w:sz="1"/>
            </w:tcBorders>
            <w:shd w:fill="F2F2F2" w:val="clear"/>
          </w:tcPr>
          <w:p>
            <w:r>
              <w:t xml:space="preserve">Complete audit trail for all actions. Essential for regulatory evidence and compliance proof.</w:t>
            </w:r>
          </w:p>
        </w:tc>
      </w:tr>
      <w:tr>
        <w:tc>
          <w:tcPr>
            <w:tcW w:type="dxa" w:w="3000"/>
            <w:tcBorders>
              <w:top w:val="single" w:color="CCCCCC" w:sz="1"/>
              <w:left w:val="single" w:color="CCCCCC" w:sz="1"/>
              <w:bottom w:val="single" w:color="CCCCCC" w:sz="1"/>
              <w:right w:val="single" w:color="CCCCCC" w:sz="1"/>
            </w:tcBorders>
          </w:tcPr>
          <w:p>
            <w:r>
              <w:rPr>
                <w:b/>
                <w:bCs/>
              </w:rPr>
              <w:t xml:space="preserve">Localization</w:t>
            </w:r>
          </w:p>
        </w:tc>
        <w:tc>
          <w:tcPr>
            <w:tcW w:type="dxa" w:w="6360"/>
            <w:tcBorders>
              <w:top w:val="single" w:color="CCCCCC" w:sz="1"/>
              <w:left w:val="single" w:color="CCCCCC" w:sz="1"/>
              <w:bottom w:val="single" w:color="CCCCCC" w:sz="1"/>
              <w:right w:val="single" w:color="CCCCCC" w:sz="1"/>
            </w:tcBorders>
          </w:tcPr>
          <w:p>
            <w:r>
              <w:t xml:space="preserve">Built-in Arabic/English support with RTL layouts. All framework content bilingual.</w:t>
            </w:r>
          </w:p>
        </w:tc>
      </w:tr>
      <w:tr>
        <w:tc>
          <w:tcPr>
            <w:tcW w:type="dxa" w:w="3000"/>
            <w:tcBorders>
              <w:top w:val="single" w:color="CCCCCC" w:sz="1"/>
              <w:left w:val="single" w:color="CCCCCC" w:sz="1"/>
              <w:bottom w:val="single" w:color="CCCCCC" w:sz="1"/>
              <w:right w:val="single" w:color="CCCCCC" w:sz="1"/>
            </w:tcBorders>
            <w:shd w:fill="F2F2F2" w:val="clear"/>
          </w:tcPr>
          <w:p>
            <w:r>
              <w:rPr>
                <w:b/>
                <w:bCs/>
              </w:rPr>
              <w:t xml:space="preserve">Background Jobs</w:t>
            </w:r>
          </w:p>
        </w:tc>
        <w:tc>
          <w:tcPr>
            <w:tcW w:type="dxa" w:w="6360"/>
            <w:tcBorders>
              <w:top w:val="single" w:color="CCCCCC" w:sz="1"/>
              <w:left w:val="single" w:color="CCCCCC" w:sz="1"/>
              <w:bottom w:val="single" w:color="CCCCCC" w:sz="1"/>
              <w:right w:val="single" w:color="CCCCCC" w:sz="1"/>
            </w:tcBorders>
            <w:shd w:fill="F2F2F2" w:val="clear"/>
          </w:tcPr>
          <w:p>
            <w:r>
              <w:t xml:space="preserve">Scheduled compliance checks, automated report generation, control deadline reminders.</w:t>
            </w:r>
          </w:p>
        </w:tc>
      </w:tr>
      <w:tr>
        <w:tc>
          <w:tcPr>
            <w:tcW w:type="dxa" w:w="3000"/>
            <w:tcBorders>
              <w:top w:val="single" w:color="CCCCCC" w:sz="1"/>
              <w:left w:val="single" w:color="CCCCCC" w:sz="1"/>
              <w:bottom w:val="single" w:color="CCCCCC" w:sz="1"/>
              <w:right w:val="single" w:color="CCCCCC" w:sz="1"/>
            </w:tcBorders>
          </w:tcPr>
          <w:p>
            <w:r>
              <w:rPr>
                <w:b/>
                <w:bCs/>
              </w:rPr>
              <w:t xml:space="preserve">API-First Design</w:t>
            </w:r>
          </w:p>
        </w:tc>
        <w:tc>
          <w:tcPr>
            <w:tcW w:type="dxa" w:w="6360"/>
            <w:tcBorders>
              <w:top w:val="single" w:color="CCCCCC" w:sz="1"/>
              <w:left w:val="single" w:color="CCCCCC" w:sz="1"/>
              <w:bottom w:val="single" w:color="CCCCCC" w:sz="1"/>
              <w:right w:val="single" w:color="CCCCCC" w:sz="1"/>
            </w:tcBorders>
          </w:tcPr>
          <w:p>
            <w:r>
              <w:t xml:space="preserve">RESTful APIs for regulator integrations (ZATCA, NCA portals). Swagger documentation auto-generated.</w:t>
            </w:r>
          </w:p>
        </w:tc>
      </w:tr>
    </w:tbl>
    <w:p>
      <w:r>
        <w:br w:type="page"/>
      </w:r>
    </w:p>
    <w:p>
      <w:pPr>
        <w:pStyle w:val="Heading1"/>
      </w:pPr>
      <w:r>
        <w:t xml:space="preserve">3. High-Level Architecture</w:t>
      </w:r>
    </w:p>
    <w:p>
      <w:pPr>
        <w:pStyle w:val="Heading2"/>
      </w:pPr>
      <w:r>
        <w:t xml:space="preserve">3.1 Solution Structure</w:t>
      </w:r>
    </w:p>
    <w:p>
      <w:pPr>
        <w:spacing w:after="200"/>
      </w:pPr>
      <w:r>
        <w:t xml:space="preserve">The platform follows ABP.io's layered architecture with Domain-Driven Design (DDD)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Layer</w:t>
            </w:r>
          </w:p>
        </w:tc>
        <w:tc>
          <w:tcPr>
            <w:tcW w:type="dxa" w:w="65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Projects &amp; Responsibilities</w:t>
            </w:r>
          </w:p>
        </w:tc>
      </w:tr>
      <w:tr>
        <w:tc>
          <w:tcPr>
            <w:tcW w:type="dxa" w:w="2800"/>
            <w:tcBorders>
              <w:top w:val="single" w:color="CCCCCC" w:sz="1"/>
              <w:left w:val="single" w:color="CCCCCC" w:sz="1"/>
              <w:bottom w:val="single" w:color="CCCCCC" w:sz="1"/>
              <w:right w:val="single" w:color="CCCCCC" w:sz="1"/>
            </w:tcBorders>
          </w:tcPr>
          <w:p>
            <w:r>
              <w:rPr>
                <w:b/>
                <w:bCs/>
              </w:rPr>
              <w:t xml:space="preserve">Presentation</w:t>
            </w:r>
          </w:p>
        </w:tc>
        <w:tc>
          <w:tcPr>
            <w:tcW w:type="dxa" w:w="6560"/>
            <w:tcBorders>
              <w:top w:val="single" w:color="CCCCCC" w:sz="1"/>
              <w:left w:val="single" w:color="CCCCCC" w:sz="1"/>
              <w:bottom w:val="single" w:color="CCCCCC" w:sz="1"/>
              <w:right w:val="single" w:color="CCCCCC" w:sz="1"/>
            </w:tcBorders>
          </w:tcPr>
          <w:p>
            <w:r>
              <w:rPr>
                <w:b/>
                <w:bCs/>
              </w:rPr>
              <w:t xml:space="preserve">GRC.Web</w:t>
            </w:r>
            <w:r>
              <w:t xml:space="preserve"> - Blazor WebAssembly or Angular SPA</w:t>
            </w:r>
          </w:p>
          <w:p>
            <w:r>
              <w:rPr>
                <w:b/>
                <w:bCs/>
              </w:rPr>
              <w:t xml:space="preserve">GRC.HttpApi.Host</w:t>
            </w:r>
            <w:r>
              <w:t xml:space="preserve"> - API Gateway and controllers</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Application</w:t>
            </w:r>
          </w:p>
        </w:tc>
        <w:tc>
          <w:tcPr>
            <w:tcW w:type="dxa" w:w="6560"/>
            <w:tcBorders>
              <w:top w:val="single" w:color="CCCCCC" w:sz="1"/>
              <w:left w:val="single" w:color="CCCCCC" w:sz="1"/>
              <w:bottom w:val="single" w:color="CCCCCC" w:sz="1"/>
              <w:right w:val="single" w:color="CCCCCC" w:sz="1"/>
            </w:tcBorders>
            <w:shd w:fill="F2F2F2" w:val="clear"/>
          </w:tcPr>
          <w:p>
            <w:r>
              <w:rPr>
                <w:b/>
                <w:bCs/>
              </w:rPr>
              <w:t xml:space="preserve">GRC.Application</w:t>
            </w:r>
            <w:r>
              <w:t xml:space="preserve"> - Application services and DTOs</w:t>
            </w:r>
          </w:p>
          <w:p>
            <w:r>
              <w:rPr>
                <w:b/>
                <w:bCs/>
              </w:rPr>
              <w:t xml:space="preserve">GRC.Application.Contracts</w:t>
            </w:r>
            <w:r>
              <w:t xml:space="preserve"> - Service interfaces and DTOs</w:t>
            </w:r>
          </w:p>
        </w:tc>
      </w:tr>
      <w:tr>
        <w:tc>
          <w:tcPr>
            <w:tcW w:type="dxa" w:w="2800"/>
            <w:tcBorders>
              <w:top w:val="single" w:color="CCCCCC" w:sz="1"/>
              <w:left w:val="single" w:color="CCCCCC" w:sz="1"/>
              <w:bottom w:val="single" w:color="CCCCCC" w:sz="1"/>
              <w:right w:val="single" w:color="CCCCCC" w:sz="1"/>
            </w:tcBorders>
          </w:tcPr>
          <w:p>
            <w:r>
              <w:rPr>
                <w:b/>
                <w:bCs/>
              </w:rPr>
              <w:t xml:space="preserve">Domain</w:t>
            </w:r>
          </w:p>
        </w:tc>
        <w:tc>
          <w:tcPr>
            <w:tcW w:type="dxa" w:w="6560"/>
            <w:tcBorders>
              <w:top w:val="single" w:color="CCCCCC" w:sz="1"/>
              <w:left w:val="single" w:color="CCCCCC" w:sz="1"/>
              <w:bottom w:val="single" w:color="CCCCCC" w:sz="1"/>
              <w:right w:val="single" w:color="CCCCCC" w:sz="1"/>
            </w:tcBorders>
          </w:tcPr>
          <w:p>
            <w:r>
              <w:rPr>
                <w:b/>
                <w:bCs/>
              </w:rPr>
              <w:t xml:space="preserve">GRC.Domain</w:t>
            </w:r>
            <w:r>
              <w:t xml:space="preserve"> - Entities, aggregates, domain services</w:t>
            </w:r>
          </w:p>
          <w:p>
            <w:r>
              <w:rPr>
                <w:b/>
                <w:bCs/>
              </w:rPr>
              <w:t xml:space="preserve">GRC.Domain.Shared</w:t>
            </w:r>
            <w:r>
              <w:t xml:space="preserve"> - Constants, enums, localization</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Infrastructure</w:t>
            </w:r>
          </w:p>
        </w:tc>
        <w:tc>
          <w:tcPr>
            <w:tcW w:type="dxa" w:w="6560"/>
            <w:tcBorders>
              <w:top w:val="single" w:color="CCCCCC" w:sz="1"/>
              <w:left w:val="single" w:color="CCCCCC" w:sz="1"/>
              <w:bottom w:val="single" w:color="CCCCCC" w:sz="1"/>
              <w:right w:val="single" w:color="CCCCCC" w:sz="1"/>
            </w:tcBorders>
            <w:shd w:fill="F2F2F2" w:val="clear"/>
          </w:tcPr>
          <w:p>
            <w:r>
              <w:rPr>
                <w:b/>
                <w:bCs/>
              </w:rPr>
              <w:t xml:space="preserve">GRC.EntityFrameworkCore</w:t>
            </w:r>
            <w:r>
              <w:t xml:space="preserve"> - EF Core, repositories</w:t>
            </w:r>
          </w:p>
          <w:p>
            <w:r>
              <w:rPr>
                <w:b/>
                <w:bCs/>
              </w:rPr>
              <w:t xml:space="preserve">GRC.DbMigrator</w:t>
            </w:r>
            <w:r>
              <w:t xml:space="preserve"> - Database migrations</w:t>
            </w:r>
          </w:p>
        </w:tc>
      </w:tr>
    </w:tbl>
    <w:p>
      <w:pPr>
        <w:pStyle w:val="Heading2"/>
        <w:spacing w:before="400"/>
      </w:pPr>
      <w:r>
        <w:t xml:space="preserve">3.2 Module Architecture</w:t>
      </w:r>
    </w:p>
    <w:p>
      <w:pPr>
        <w:spacing w:after="200"/>
      </w:pPr>
      <w:r>
        <w:t xml:space="preserve">The GRC platform is composed of modular, independently deployable components:</w:t>
      </w:r>
    </w:p>
    <w:p>
      <w:pPr>
        <w:pStyle w:val="ListParagraph"/>
        <w:numPr>
          <w:ilvl w:val="0"/>
          <w:numId w:val="3"/>
        </w:numPr>
      </w:pPr>
      <w:r>
        <w:rPr>
          <w:b/>
          <w:bCs/>
        </w:rPr>
        <w:t xml:space="preserve">GRC.Frameworks Module: </w:t>
      </w:r>
      <w:r>
        <w:t xml:space="preserve">Regulatory framework definitions, control libraries, cross-mappings</w:t>
      </w:r>
    </w:p>
    <w:p>
      <w:pPr>
        <w:pStyle w:val="ListParagraph"/>
        <w:numPr>
          <w:ilvl w:val="0"/>
          <w:numId w:val="3"/>
        </w:numPr>
      </w:pPr>
      <w:r>
        <w:rPr>
          <w:b/>
          <w:bCs/>
        </w:rPr>
        <w:t xml:space="preserve">GRC.Compliance Module: </w:t>
      </w:r>
      <w:r>
        <w:t xml:space="preserve">Compliance assessments, control implementations, evidence management</w:t>
      </w:r>
    </w:p>
    <w:p>
      <w:pPr>
        <w:pStyle w:val="ListParagraph"/>
        <w:numPr>
          <w:ilvl w:val="0"/>
          <w:numId w:val="3"/>
        </w:numPr>
      </w:pPr>
      <w:r>
        <w:rPr>
          <w:b/>
          <w:bCs/>
        </w:rPr>
        <w:t xml:space="preserve">GRC.Risk Module: </w:t>
      </w:r>
      <w:r>
        <w:t xml:space="preserve">Risk register, risk assessments, treatment plans, risk scoring</w:t>
      </w:r>
    </w:p>
    <w:p>
      <w:pPr>
        <w:pStyle w:val="ListParagraph"/>
        <w:numPr>
          <w:ilvl w:val="0"/>
          <w:numId w:val="3"/>
        </w:numPr>
      </w:pPr>
      <w:r>
        <w:rPr>
          <w:b/>
          <w:bCs/>
        </w:rPr>
        <w:t xml:space="preserve">GRC.Audit Module: </w:t>
      </w:r>
      <w:r>
        <w:t xml:space="preserve">Internal/external audits, findings, corrective actions</w:t>
      </w:r>
    </w:p>
    <w:p>
      <w:pPr>
        <w:pStyle w:val="ListParagraph"/>
        <w:numPr>
          <w:ilvl w:val="0"/>
          <w:numId w:val="3"/>
        </w:numPr>
      </w:pPr>
      <w:r>
        <w:rPr>
          <w:b/>
          <w:bCs/>
        </w:rPr>
        <w:t xml:space="preserve">GRC.IoT Module: </w:t>
      </w:r>
      <w:r>
        <w:t xml:space="preserve">IoMT device inventory, healthcare-specific controls, MOH-HIS compliance</w:t>
      </w:r>
    </w:p>
    <w:p>
      <w:pPr>
        <w:pStyle w:val="ListParagraph"/>
        <w:numPr>
          <w:ilvl w:val="0"/>
          <w:numId w:val="3"/>
        </w:numPr>
      </w:pPr>
      <w:r>
        <w:rPr>
          <w:b/>
          <w:bCs/>
        </w:rPr>
        <w:t xml:space="preserve">GRC.Reporting Module: </w:t>
      </w:r>
      <w:r>
        <w:t xml:space="preserve">Dashboards, regulator reports, compliance certificates</w:t>
      </w:r>
    </w:p>
    <w:p>
      <w:pPr>
        <w:pStyle w:val="ListParagraph"/>
        <w:numPr>
          <w:ilvl w:val="0"/>
          <w:numId w:val="3"/>
        </w:numPr>
      </w:pPr>
      <w:r>
        <w:rPr>
          <w:b/>
          <w:bCs/>
        </w:rPr>
        <w:t xml:space="preserve">GRC.Integration Module: </w:t>
      </w:r>
      <w:r>
        <w:t xml:space="preserve">Regulator API integrations (ZATCA, NCA portals), webhook handlers</w:t>
      </w:r>
    </w:p>
    <w:p>
      <w:r>
        <w:br w:type="page"/>
      </w:r>
    </w:p>
    <w:p>
      <w:pPr>
        <w:pStyle w:val="Heading1"/>
      </w:pPr>
      <w:r>
        <w:t xml:space="preserve">4. Domain Model Design</w:t>
      </w:r>
    </w:p>
    <w:p>
      <w:pPr>
        <w:pStyle w:val="Heading2"/>
      </w:pPr>
      <w:r>
        <w:t xml:space="preserve">4.1 Core Entities</w:t>
      </w:r>
    </w:p>
    <w:p>
      <w:pPr>
        <w:spacing w:after="200"/>
      </w:pPr>
      <w:r>
        <w:t xml:space="preserve">The domain model follows DDD principles with aggregate roots and value objects: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Entity</w:t>
            </w:r>
          </w:p>
        </w:tc>
        <w:tc>
          <w:tcPr>
            <w:tcW w:type="dxa" w:w="34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Key Properties</w:t>
            </w:r>
          </w:p>
        </w:tc>
        <w:tc>
          <w:tcPr>
            <w:tcW w:type="dxa" w:w="35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Relationships</w:t>
            </w:r>
          </w:p>
        </w:tc>
      </w:tr>
      <w:tr>
        <w:tc>
          <w:tcPr>
            <w:tcW w:type="dxa" w:w="2400"/>
            <w:tcBorders>
              <w:top w:val="single" w:color="CCCCCC" w:sz="1"/>
              <w:left w:val="single" w:color="CCCCCC" w:sz="1"/>
              <w:bottom w:val="single" w:color="CCCCCC" w:sz="1"/>
              <w:right w:val="single" w:color="CCCCCC" w:sz="1"/>
            </w:tcBorders>
          </w:tcPr>
          <w:p>
            <w:r>
              <w:rPr>
                <w:b/>
                <w:bCs/>
              </w:rPr>
              <w:t xml:space="preserve">Framework</w:t>
            </w:r>
          </w:p>
        </w:tc>
        <w:tc>
          <w:tcPr>
            <w:tcW w:type="dxa" w:w="3400"/>
            <w:tcBorders>
              <w:top w:val="single" w:color="CCCCCC" w:sz="1"/>
              <w:left w:val="single" w:color="CCCCCC" w:sz="1"/>
              <w:bottom w:val="single" w:color="CCCCCC" w:sz="1"/>
              <w:right w:val="single" w:color="CCCCCC" w:sz="1"/>
            </w:tcBorders>
          </w:tcPr>
          <w:p>
            <w:r>
              <w:t xml:space="preserve">Code, TitleAr, TitleEn, Version, RegulatorCode, Category, Mandatory</w:t>
            </w:r>
          </w:p>
        </w:tc>
        <w:tc>
          <w:tcPr>
            <w:tcW w:type="dxa" w:w="3560"/>
            <w:tcBorders>
              <w:top w:val="single" w:color="CCCCCC" w:sz="1"/>
              <w:left w:val="single" w:color="CCCCCC" w:sz="1"/>
              <w:bottom w:val="single" w:color="CCCCCC" w:sz="1"/>
              <w:right w:val="single" w:color="CCCCCC" w:sz="1"/>
            </w:tcBorders>
          </w:tcPr>
          <w:p>
            <w:r>
              <w:t xml:space="preserve">Has many Controls; Belongs to Regulator</w:t>
            </w:r>
          </w:p>
        </w:tc>
      </w:tr>
      <w:tr>
        <w:tc>
          <w:tcPr>
            <w:tcW w:type="dxa" w:w="2400"/>
            <w:tcBorders>
              <w:top w:val="single" w:color="CCCCCC" w:sz="1"/>
              <w:left w:val="single" w:color="CCCCCC" w:sz="1"/>
              <w:bottom w:val="single" w:color="CCCCCC" w:sz="1"/>
              <w:right w:val="single" w:color="CCCCCC" w:sz="1"/>
            </w:tcBorders>
            <w:shd w:fill="F2F2F2" w:val="clear"/>
          </w:tcPr>
          <w:p>
            <w:r>
              <w:rPr>
                <w:b/>
                <w:bCs/>
              </w:rPr>
              <w:t xml:space="preserve">Control</w:t>
            </w:r>
          </w:p>
        </w:tc>
        <w:tc>
          <w:tcPr>
            <w:tcW w:type="dxa" w:w="3400"/>
            <w:tcBorders>
              <w:top w:val="single" w:color="CCCCCC" w:sz="1"/>
              <w:left w:val="single" w:color="CCCCCC" w:sz="1"/>
              <w:bottom w:val="single" w:color="CCCCCC" w:sz="1"/>
              <w:right w:val="single" w:color="CCCCCC" w:sz="1"/>
            </w:tcBorders>
            <w:shd w:fill="F2F2F2" w:val="clear"/>
          </w:tcPr>
          <w:p>
            <w:r>
              <w:t xml:space="preserve">ControlNumber, Domain, TitleAr, TitleEn, RequirementAr, RequirementEn, ControlType, MaturityLevel</w:t>
            </w:r>
          </w:p>
        </w:tc>
        <w:tc>
          <w:tcPr>
            <w:tcW w:type="dxa" w:w="3560"/>
            <w:tcBorders>
              <w:top w:val="single" w:color="CCCCCC" w:sz="1"/>
              <w:left w:val="single" w:color="CCCCCC" w:sz="1"/>
              <w:bottom w:val="single" w:color="CCCCCC" w:sz="1"/>
              <w:right w:val="single" w:color="CCCCCC" w:sz="1"/>
            </w:tcBorders>
            <w:shd w:fill="F2F2F2" w:val="clear"/>
          </w:tcPr>
          <w:p>
            <w:r>
              <w:t xml:space="preserve">Belongs to Framework; Has many Implementations, Evidence</w:t>
            </w:r>
          </w:p>
        </w:tc>
      </w:tr>
      <w:tr>
        <w:tc>
          <w:tcPr>
            <w:tcW w:type="dxa" w:w="2400"/>
            <w:tcBorders>
              <w:top w:val="single" w:color="CCCCCC" w:sz="1"/>
              <w:left w:val="single" w:color="CCCCCC" w:sz="1"/>
              <w:bottom w:val="single" w:color="CCCCCC" w:sz="1"/>
              <w:right w:val="single" w:color="CCCCCC" w:sz="1"/>
            </w:tcBorders>
          </w:tcPr>
          <w:p>
            <w:r>
              <w:rPr>
                <w:b/>
                <w:bCs/>
              </w:rPr>
              <w:t xml:space="preserve">ControlImplementation</w:t>
            </w:r>
          </w:p>
        </w:tc>
        <w:tc>
          <w:tcPr>
            <w:tcW w:type="dxa" w:w="3400"/>
            <w:tcBorders>
              <w:top w:val="single" w:color="CCCCCC" w:sz="1"/>
              <w:left w:val="single" w:color="CCCCCC" w:sz="1"/>
              <w:bottom w:val="single" w:color="CCCCCC" w:sz="1"/>
              <w:right w:val="single" w:color="CCCCCC" w:sz="1"/>
            </w:tcBorders>
          </w:tcPr>
          <w:p>
            <w:r>
              <w:t xml:space="preserve">Status, ImplementationDate, OwnerUserId, Notes, TargetDate</w:t>
            </w:r>
          </w:p>
        </w:tc>
        <w:tc>
          <w:tcPr>
            <w:tcW w:type="dxa" w:w="3560"/>
            <w:tcBorders>
              <w:top w:val="single" w:color="CCCCCC" w:sz="1"/>
              <w:left w:val="single" w:color="CCCCCC" w:sz="1"/>
              <w:bottom w:val="single" w:color="CCCCCC" w:sz="1"/>
              <w:right w:val="single" w:color="CCCCCC" w:sz="1"/>
            </w:tcBorders>
          </w:tcPr>
          <w:p>
            <w:r>
              <w:t xml:space="preserve">Links Control to Organization (Tenant)</w:t>
            </w:r>
          </w:p>
        </w:tc>
      </w:tr>
      <w:tr>
        <w:tc>
          <w:tcPr>
            <w:tcW w:type="dxa" w:w="2400"/>
            <w:tcBorders>
              <w:top w:val="single" w:color="CCCCCC" w:sz="1"/>
              <w:left w:val="single" w:color="CCCCCC" w:sz="1"/>
              <w:bottom w:val="single" w:color="CCCCCC" w:sz="1"/>
              <w:right w:val="single" w:color="CCCCCC" w:sz="1"/>
            </w:tcBorders>
            <w:shd w:fill="F2F2F2" w:val="clear"/>
          </w:tcPr>
          <w:p>
            <w:r>
              <w:rPr>
                <w:b/>
                <w:bCs/>
              </w:rPr>
              <w:t xml:space="preserve">Evidence</w:t>
            </w:r>
          </w:p>
        </w:tc>
        <w:tc>
          <w:tcPr>
            <w:tcW w:type="dxa" w:w="3400"/>
            <w:tcBorders>
              <w:top w:val="single" w:color="CCCCCC" w:sz="1"/>
              <w:left w:val="single" w:color="CCCCCC" w:sz="1"/>
              <w:bottom w:val="single" w:color="CCCCCC" w:sz="1"/>
              <w:right w:val="single" w:color="CCCCCC" w:sz="1"/>
            </w:tcBorders>
            <w:shd w:fill="F2F2F2" w:val="clear"/>
          </w:tcPr>
          <w:p>
            <w:r>
              <w:t xml:space="preserve">EvidenceType, FilePath, UploadDate, ValidUntil, VerifiedBy</w:t>
            </w:r>
          </w:p>
        </w:tc>
        <w:tc>
          <w:tcPr>
            <w:tcW w:type="dxa" w:w="3560"/>
            <w:tcBorders>
              <w:top w:val="single" w:color="CCCCCC" w:sz="1"/>
              <w:left w:val="single" w:color="CCCCCC" w:sz="1"/>
              <w:bottom w:val="single" w:color="CCCCCC" w:sz="1"/>
              <w:right w:val="single" w:color="CCCCCC" w:sz="1"/>
            </w:tcBorders>
            <w:shd w:fill="F2F2F2" w:val="clear"/>
          </w:tcPr>
          <w:p>
            <w:r>
              <w:t xml:space="preserve">Belongs to ControlImplementation</w:t>
            </w:r>
          </w:p>
        </w:tc>
      </w:tr>
      <w:tr>
        <w:tc>
          <w:tcPr>
            <w:tcW w:type="dxa" w:w="2400"/>
            <w:tcBorders>
              <w:top w:val="single" w:color="CCCCCC" w:sz="1"/>
              <w:left w:val="single" w:color="CCCCCC" w:sz="1"/>
              <w:bottom w:val="single" w:color="CCCCCC" w:sz="1"/>
              <w:right w:val="single" w:color="CCCCCC" w:sz="1"/>
            </w:tcBorders>
          </w:tcPr>
          <w:p>
            <w:r>
              <w:rPr>
                <w:b/>
                <w:bCs/>
              </w:rPr>
              <w:t xml:space="preserve">Assessment</w:t>
            </w:r>
          </w:p>
        </w:tc>
        <w:tc>
          <w:tcPr>
            <w:tcW w:type="dxa" w:w="3400"/>
            <w:tcBorders>
              <w:top w:val="single" w:color="CCCCCC" w:sz="1"/>
              <w:left w:val="single" w:color="CCCCCC" w:sz="1"/>
              <w:bottom w:val="single" w:color="CCCCCC" w:sz="1"/>
              <w:right w:val="single" w:color="CCCCCC" w:sz="1"/>
            </w:tcBorders>
          </w:tcPr>
          <w:p>
            <w:r>
              <w:t xml:space="preserve">AssessmentType, StartDate, EndDate, Status, OverallScore, Assessor</w:t>
            </w:r>
          </w:p>
        </w:tc>
        <w:tc>
          <w:tcPr>
            <w:tcW w:type="dxa" w:w="3560"/>
            <w:tcBorders>
              <w:top w:val="single" w:color="CCCCCC" w:sz="1"/>
              <w:left w:val="single" w:color="CCCCCC" w:sz="1"/>
              <w:bottom w:val="single" w:color="CCCCCC" w:sz="1"/>
              <w:right w:val="single" w:color="CCCCCC" w:sz="1"/>
            </w:tcBorders>
          </w:tcPr>
          <w:p>
            <w:r>
              <w:t xml:space="preserve">Has many AssessmentItems; Belongs to Framework</w:t>
            </w:r>
          </w:p>
        </w:tc>
      </w:tr>
      <w:tr>
        <w:tc>
          <w:tcPr>
            <w:tcW w:type="dxa" w:w="2400"/>
            <w:tcBorders>
              <w:top w:val="single" w:color="CCCCCC" w:sz="1"/>
              <w:left w:val="single" w:color="CCCCCC" w:sz="1"/>
              <w:bottom w:val="single" w:color="CCCCCC" w:sz="1"/>
              <w:right w:val="single" w:color="CCCCCC" w:sz="1"/>
            </w:tcBorders>
            <w:shd w:fill="F2F2F2" w:val="clear"/>
          </w:tcPr>
          <w:p>
            <w:r>
              <w:rPr>
                <w:b/>
                <w:bCs/>
              </w:rPr>
              <w:t xml:space="preserve">Risk</w:t>
            </w:r>
          </w:p>
        </w:tc>
        <w:tc>
          <w:tcPr>
            <w:tcW w:type="dxa" w:w="3400"/>
            <w:tcBorders>
              <w:top w:val="single" w:color="CCCCCC" w:sz="1"/>
              <w:left w:val="single" w:color="CCCCCC" w:sz="1"/>
              <w:bottom w:val="single" w:color="CCCCCC" w:sz="1"/>
              <w:right w:val="single" w:color="CCCCCC" w:sz="1"/>
            </w:tcBorders>
            <w:shd w:fill="F2F2F2" w:val="clear"/>
          </w:tcPr>
          <w:p>
            <w:r>
              <w:t xml:space="preserve">Title, Description, RiskCategory, Likelihood, Impact, RiskScore, TreatmentPlan</w:t>
            </w:r>
          </w:p>
        </w:tc>
        <w:tc>
          <w:tcPr>
            <w:tcW w:type="dxa" w:w="3560"/>
            <w:tcBorders>
              <w:top w:val="single" w:color="CCCCCC" w:sz="1"/>
              <w:left w:val="single" w:color="CCCCCC" w:sz="1"/>
              <w:bottom w:val="single" w:color="CCCCCC" w:sz="1"/>
              <w:right w:val="single" w:color="CCCCCC" w:sz="1"/>
            </w:tcBorders>
            <w:shd w:fill="F2F2F2" w:val="clear"/>
          </w:tcPr>
          <w:p>
            <w:r>
              <w:t xml:space="preserve">Links to Controls; Has treatment actions</w:t>
            </w:r>
          </w:p>
        </w:tc>
      </w:tr>
      <w:tr>
        <w:tc>
          <w:tcPr>
            <w:tcW w:type="dxa" w:w="2400"/>
            <w:tcBorders>
              <w:top w:val="single" w:color="CCCCCC" w:sz="1"/>
              <w:left w:val="single" w:color="CCCCCC" w:sz="1"/>
              <w:bottom w:val="single" w:color="CCCCCC" w:sz="1"/>
              <w:right w:val="single" w:color="CCCCCC" w:sz="1"/>
            </w:tcBorders>
          </w:tcPr>
          <w:p>
            <w:r>
              <w:rPr>
                <w:b/>
                <w:bCs/>
              </w:rPr>
              <w:t xml:space="preserve">IoTDevice</w:t>
            </w:r>
          </w:p>
        </w:tc>
        <w:tc>
          <w:tcPr>
            <w:tcW w:type="dxa" w:w="3400"/>
            <w:tcBorders>
              <w:top w:val="single" w:color="CCCCCC" w:sz="1"/>
              <w:left w:val="single" w:color="CCCCCC" w:sz="1"/>
              <w:bottom w:val="single" w:color="CCCCCC" w:sz="1"/>
              <w:right w:val="single" w:color="CCCCCC" w:sz="1"/>
            </w:tcBorders>
          </w:tcPr>
          <w:p>
            <w:r>
              <w:t xml:space="preserve">DeviceName, DeviceType, Manufacturer, NetworkSegment, SecurityStatus</w:t>
            </w:r>
          </w:p>
        </w:tc>
        <w:tc>
          <w:tcPr>
            <w:tcW w:type="dxa" w:w="3560"/>
            <w:tcBorders>
              <w:top w:val="single" w:color="CCCCCC" w:sz="1"/>
              <w:left w:val="single" w:color="CCCCCC" w:sz="1"/>
              <w:bottom w:val="single" w:color="CCCCCC" w:sz="1"/>
              <w:right w:val="single" w:color="CCCCCC" w:sz="1"/>
            </w:tcBorders>
          </w:tcPr>
          <w:p>
            <w:r>
              <w:t xml:space="preserve">Healthcare IoMT inventory; Links to Controls</w:t>
            </w:r>
          </w:p>
        </w:tc>
      </w:tr>
    </w:tbl>
    <w:p>
      <w:r>
        <w:br w:type="page"/>
      </w:r>
    </w:p>
    <w:p>
      <w:pPr>
        <w:pStyle w:val="Heading1"/>
      </w:pPr>
      <w:r>
        <w:t xml:space="preserve">5. Multi-Tenancy Architecture</w:t>
      </w:r>
    </w:p>
    <w:p>
      <w:pPr>
        <w:pStyle w:val="Heading2"/>
      </w:pPr>
      <w:r>
        <w:t xml:space="preserve">5.1 Tenant Isolation Strategy</w:t>
      </w:r>
    </w:p>
    <w:p>
      <w:pPr>
        <w:spacing w:after="200"/>
      </w:pPr>
      <w:r>
        <w:t xml:space="preserve">ABP.io provides three multi-tenancy strategies. For GRC compliance requirements, we recommend a hybrid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Strategy</w:t>
            </w:r>
          </w:p>
        </w:tc>
        <w:tc>
          <w:tcPr>
            <w:tcW w:type="dxa" w:w="343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Use Case</w:t>
            </w:r>
          </w:p>
        </w:tc>
        <w:tc>
          <w:tcPr>
            <w:tcW w:type="dxa" w:w="343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Data Isolation</w:t>
            </w:r>
          </w:p>
        </w:tc>
      </w:tr>
      <w:tr>
        <w:tc>
          <w:tcPr>
            <w:tcW w:type="dxa" w:w="2500"/>
            <w:tcBorders>
              <w:top w:val="single" w:color="CCCCCC" w:sz="1"/>
              <w:left w:val="single" w:color="CCCCCC" w:sz="1"/>
              <w:bottom w:val="single" w:color="CCCCCC" w:sz="1"/>
              <w:right w:val="single" w:color="CCCCCC" w:sz="1"/>
            </w:tcBorders>
          </w:tcPr>
          <w:p>
            <w:r>
              <w:rPr>
                <w:b/>
                <w:bCs/>
              </w:rPr>
              <w:t xml:space="preserve">Separate Database</w:t>
            </w:r>
          </w:p>
        </w:tc>
        <w:tc>
          <w:tcPr>
            <w:tcW w:type="dxa" w:w="3430"/>
            <w:tcBorders>
              <w:top w:val="single" w:color="CCCCCC" w:sz="1"/>
              <w:left w:val="single" w:color="CCCCCC" w:sz="1"/>
              <w:bottom w:val="single" w:color="CCCCCC" w:sz="1"/>
              <w:right w:val="single" w:color="CCCCCC" w:sz="1"/>
            </w:tcBorders>
          </w:tcPr>
          <w:p>
            <w:r>
              <w:t xml:space="preserve">Financial institutions (SAMA-regulated), Government entities, Large enterprises</w:t>
            </w:r>
          </w:p>
        </w:tc>
        <w:tc>
          <w:tcPr>
            <w:tcW w:type="dxa" w:w="3430"/>
            <w:tcBorders>
              <w:top w:val="single" w:color="CCCCCC" w:sz="1"/>
              <w:left w:val="single" w:color="CCCCCC" w:sz="1"/>
              <w:bottom w:val="single" w:color="CCCCCC" w:sz="1"/>
              <w:right w:val="single" w:color="CCCCCC" w:sz="1"/>
            </w:tcBorders>
          </w:tcPr>
          <w:p>
            <w:r>
              <w:t xml:space="preserve">Complete physical isolation. Each tenant has dedicated database.</w:t>
            </w:r>
          </w:p>
        </w:tc>
      </w:tr>
      <w:tr>
        <w:tc>
          <w:tcPr>
            <w:tcW w:type="dxa" w:w="2500"/>
            <w:tcBorders>
              <w:top w:val="single" w:color="CCCCCC" w:sz="1"/>
              <w:left w:val="single" w:color="CCCCCC" w:sz="1"/>
              <w:bottom w:val="single" w:color="CCCCCC" w:sz="1"/>
              <w:right w:val="single" w:color="CCCCCC" w:sz="1"/>
            </w:tcBorders>
            <w:shd w:fill="F2F2F2" w:val="clear"/>
          </w:tcPr>
          <w:p>
            <w:r>
              <w:rPr>
                <w:b/>
                <w:bCs/>
              </w:rPr>
              <w:t xml:space="preserve">Shared Database + TenantId</w:t>
            </w:r>
          </w:p>
        </w:tc>
        <w:tc>
          <w:tcPr>
            <w:tcW w:type="dxa" w:w="3430"/>
            <w:tcBorders>
              <w:top w:val="single" w:color="CCCCCC" w:sz="1"/>
              <w:left w:val="single" w:color="CCCCCC" w:sz="1"/>
              <w:bottom w:val="single" w:color="CCCCCC" w:sz="1"/>
              <w:right w:val="single" w:color="CCCCCC" w:sz="1"/>
            </w:tcBorders>
            <w:shd w:fill="F2F2F2" w:val="clear"/>
          </w:tcPr>
          <w:p>
            <w:r>
              <w:t xml:space="preserve">SMEs, Startups, Cost-sensitive organizations</w:t>
            </w:r>
          </w:p>
        </w:tc>
        <w:tc>
          <w:tcPr>
            <w:tcW w:type="dxa" w:w="3430"/>
            <w:tcBorders>
              <w:top w:val="single" w:color="CCCCCC" w:sz="1"/>
              <w:left w:val="single" w:color="CCCCCC" w:sz="1"/>
              <w:bottom w:val="single" w:color="CCCCCC" w:sz="1"/>
              <w:right w:val="single" w:color="CCCCCC" w:sz="1"/>
            </w:tcBorders>
            <w:shd w:fill="F2F2F2" w:val="clear"/>
          </w:tcPr>
          <w:p>
            <w:r>
              <w:t xml:space="preserve">Logical isolation via TenantId column. ABP auto-filters.</w:t>
            </w:r>
          </w:p>
        </w:tc>
      </w:tr>
      <w:tr>
        <w:tc>
          <w:tcPr>
            <w:tcW w:type="dxa" w:w="2500"/>
            <w:tcBorders>
              <w:top w:val="single" w:color="CCCCCC" w:sz="1"/>
              <w:left w:val="single" w:color="CCCCCC" w:sz="1"/>
              <w:bottom w:val="single" w:color="CCCCCC" w:sz="1"/>
              <w:right w:val="single" w:color="CCCCCC" w:sz="1"/>
            </w:tcBorders>
          </w:tcPr>
          <w:p>
            <w:r>
              <w:rPr>
                <w:b/>
                <w:bCs/>
              </w:rPr>
              <w:t xml:space="preserve">Hybrid (Recommended)</w:t>
            </w:r>
          </w:p>
        </w:tc>
        <w:tc>
          <w:tcPr>
            <w:tcW w:type="dxa" w:w="3430"/>
            <w:tcBorders>
              <w:top w:val="single" w:color="CCCCCC" w:sz="1"/>
              <w:left w:val="single" w:color="CCCCCC" w:sz="1"/>
              <w:bottom w:val="single" w:color="CCCCCC" w:sz="1"/>
              <w:right w:val="single" w:color="CCCCCC" w:sz="1"/>
            </w:tcBorders>
          </w:tcPr>
          <w:p>
            <w:r>
              <w:t xml:space="preserve">Mix based on tenant requirements. Critical tenants get dedicated DBs.</w:t>
            </w:r>
          </w:p>
        </w:tc>
        <w:tc>
          <w:tcPr>
            <w:tcW w:type="dxa" w:w="3430"/>
            <w:tcBorders>
              <w:top w:val="single" w:color="CCCCCC" w:sz="1"/>
              <w:left w:val="single" w:color="CCCCCC" w:sz="1"/>
              <w:bottom w:val="single" w:color="CCCCCC" w:sz="1"/>
              <w:right w:val="single" w:color="CCCCCC" w:sz="1"/>
            </w:tcBorders>
          </w:tcPr>
          <w:p>
            <w:r>
              <w:t xml:space="preserve">Configurable per tenant. Best balance of security and cost.</w:t>
            </w:r>
          </w:p>
        </w:tc>
      </w:tr>
    </w:tbl>
    <w:p>
      <w:pPr>
        <w:pStyle w:val="Heading2"/>
        <w:spacing w:before="400"/>
      </w:pPr>
      <w:r>
        <w:t xml:space="preserve">5.2 Tenant Configuration</w:t>
      </w:r>
    </w:p>
    <w:p>
      <w:pPr>
        <w:spacing w:after="200"/>
      </w:pPr>
      <w:r>
        <w:t xml:space="preserve">Each tenant can be configured with specific regulatory requirements and features:</w:t>
      </w:r>
    </w:p>
    <w:p>
      <w:pPr>
        <w:pStyle w:val="ListParagraph"/>
        <w:numPr>
          <w:ilvl w:val="0"/>
          <w:numId w:val="2"/>
        </w:numPr>
      </w:pPr>
      <w:r>
        <w:rPr>
          <w:b/>
          <w:bCs/>
        </w:rPr>
        <w:t xml:space="preserve">Applicable Frameworks: </w:t>
      </w:r>
      <w:r>
        <w:t xml:space="preserve">Enable NCA-ECC, SAMA-CSF, PDPL, MOH-HIS based on industry sector</w:t>
      </w:r>
    </w:p>
    <w:p>
      <w:pPr>
        <w:pStyle w:val="ListParagraph"/>
        <w:numPr>
          <w:ilvl w:val="0"/>
          <w:numId w:val="2"/>
        </w:numPr>
      </w:pPr>
      <w:r>
        <w:rPr>
          <w:b/>
          <w:bCs/>
        </w:rPr>
        <w:t xml:space="preserve">User Roles: </w:t>
      </w:r>
      <w:r>
        <w:t xml:space="preserve">Compliance Manager, Risk Officer, Auditor, Consultant, Viewer, Regulator Access</w:t>
      </w:r>
    </w:p>
    <w:p>
      <w:pPr>
        <w:pStyle w:val="ListParagraph"/>
        <w:numPr>
          <w:ilvl w:val="0"/>
          <w:numId w:val="2"/>
        </w:numPr>
      </w:pPr>
      <w:r>
        <w:rPr>
          <w:b/>
          <w:bCs/>
        </w:rPr>
        <w:t xml:space="preserve">Reporting Requirements: </w:t>
      </w:r>
      <w:r>
        <w:t xml:space="preserve">Define mandatory reports, frequencies, regulator destinations</w:t>
      </w:r>
    </w:p>
    <w:p>
      <w:pPr>
        <w:pStyle w:val="ListParagraph"/>
        <w:numPr>
          <w:ilvl w:val="0"/>
          <w:numId w:val="2"/>
        </w:numPr>
      </w:pPr>
      <w:r>
        <w:rPr>
          <w:b/>
          <w:bCs/>
        </w:rPr>
        <w:t xml:space="preserve">External Access: </w:t>
      </w:r>
      <w:r>
        <w:t xml:space="preserve">Configure external consultant permissions with time-limited access</w:t>
      </w:r>
    </w:p>
    <w:p>
      <w:pPr>
        <w:pStyle w:val="ListParagraph"/>
        <w:numPr>
          <w:ilvl w:val="0"/>
          <w:numId w:val="2"/>
        </w:numPr>
      </w:pPr>
      <w:r>
        <w:rPr>
          <w:b/>
          <w:bCs/>
        </w:rPr>
        <w:t xml:space="preserve">Data Residency: </w:t>
      </w:r>
      <w:r>
        <w:t xml:space="preserve">Ensure data stays within Saudi Arabia for compliance with PDPL</w:t>
      </w:r>
    </w:p>
    <w:p>
      <w:r>
        <w:br w:type="page"/>
      </w:r>
    </w:p>
    <w:p>
      <w:pPr>
        <w:pStyle w:val="Heading1"/>
      </w:pPr>
      <w:r>
        <w:t xml:space="preserve">6. User Roles &amp; Access Control</w:t>
      </w:r>
    </w:p>
    <w:p>
      <w:pPr>
        <w:pStyle w:val="Heading2"/>
      </w:pPr>
      <w:r>
        <w:t xml:space="preserve">6.1 Role Hierarchy</w:t>
      </w:r>
    </w:p>
    <w:p>
      <w:pPr>
        <w:spacing w:after="200"/>
      </w:pPr>
      <w:r>
        <w:t xml:space="preserve">The platform supports complex organizational structures with internal and external 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Role</w:t>
            </w:r>
          </w:p>
        </w:tc>
        <w:tc>
          <w:tcPr>
            <w:tcW w:type="dxa" w:w="35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Permissions</w:t>
            </w:r>
          </w:p>
        </w:tc>
        <w:tc>
          <w:tcPr>
            <w:tcW w:type="dxa" w:w="35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Use Case</w:t>
            </w:r>
          </w:p>
        </w:tc>
      </w:tr>
      <w:tr>
        <w:tc>
          <w:tcPr>
            <w:tcW w:type="dxa" w:w="2200"/>
            <w:tcBorders>
              <w:top w:val="single" w:color="CCCCCC" w:sz="1"/>
              <w:left w:val="single" w:color="CCCCCC" w:sz="1"/>
              <w:bottom w:val="single" w:color="CCCCCC" w:sz="1"/>
              <w:right w:val="single" w:color="CCCCCC" w:sz="1"/>
            </w:tcBorders>
          </w:tcPr>
          <w:p>
            <w:r>
              <w:rPr>
                <w:b/>
                <w:bCs/>
              </w:rPr>
              <w:t xml:space="preserve">Tenant Admin</w:t>
            </w:r>
          </w:p>
        </w:tc>
        <w:tc>
          <w:tcPr>
            <w:tcW w:type="dxa" w:w="3580"/>
            <w:tcBorders>
              <w:top w:val="single" w:color="CCCCCC" w:sz="1"/>
              <w:left w:val="single" w:color="CCCCCC" w:sz="1"/>
              <w:bottom w:val="single" w:color="CCCCCC" w:sz="1"/>
              <w:right w:val="single" w:color="CCCCCC" w:sz="1"/>
            </w:tcBorders>
          </w:tcPr>
          <w:p>
            <w:r>
              <w:t xml:space="preserve">Full tenant management, user creation, framework selection, billing</w:t>
            </w:r>
          </w:p>
        </w:tc>
        <w:tc>
          <w:tcPr>
            <w:tcW w:type="dxa" w:w="3580"/>
            <w:tcBorders>
              <w:top w:val="single" w:color="CCCCCC" w:sz="1"/>
              <w:left w:val="single" w:color="CCCCCC" w:sz="1"/>
              <w:bottom w:val="single" w:color="CCCCCC" w:sz="1"/>
              <w:right w:val="single" w:color="CCCCCC" w:sz="1"/>
            </w:tcBorders>
          </w:tcPr>
          <w:p>
            <w:r>
              <w:t xml:space="preserve">Organization IT/Compliance Director</w:t>
            </w:r>
          </w:p>
        </w:tc>
      </w:tr>
      <w:tr>
        <w:tc>
          <w:tcPr>
            <w:tcW w:type="dxa" w:w="2200"/>
            <w:tcBorders>
              <w:top w:val="single" w:color="CCCCCC" w:sz="1"/>
              <w:left w:val="single" w:color="CCCCCC" w:sz="1"/>
              <w:bottom w:val="single" w:color="CCCCCC" w:sz="1"/>
              <w:right w:val="single" w:color="CCCCCC" w:sz="1"/>
            </w:tcBorders>
            <w:shd w:fill="F2F2F2" w:val="clear"/>
          </w:tcPr>
          <w:p>
            <w:r>
              <w:rPr>
                <w:b/>
                <w:bCs/>
              </w:rPr>
              <w:t xml:space="preserve">Compliance Manager</w:t>
            </w:r>
          </w:p>
        </w:tc>
        <w:tc>
          <w:tcPr>
            <w:tcW w:type="dxa" w:w="3580"/>
            <w:tcBorders>
              <w:top w:val="single" w:color="CCCCCC" w:sz="1"/>
              <w:left w:val="single" w:color="CCCCCC" w:sz="1"/>
              <w:bottom w:val="single" w:color="CCCCCC" w:sz="1"/>
              <w:right w:val="single" w:color="CCCCCC" w:sz="1"/>
            </w:tcBorders>
            <w:shd w:fill="F2F2F2" w:val="clear"/>
          </w:tcPr>
          <w:p>
            <w:r>
              <w:t xml:space="preserve">Control implementation, evidence upload, assessment management</w:t>
            </w:r>
          </w:p>
        </w:tc>
        <w:tc>
          <w:tcPr>
            <w:tcW w:type="dxa" w:w="3580"/>
            <w:tcBorders>
              <w:top w:val="single" w:color="CCCCCC" w:sz="1"/>
              <w:left w:val="single" w:color="CCCCCC" w:sz="1"/>
              <w:bottom w:val="single" w:color="CCCCCC" w:sz="1"/>
              <w:right w:val="single" w:color="CCCCCC" w:sz="1"/>
            </w:tcBorders>
            <w:shd w:fill="F2F2F2" w:val="clear"/>
          </w:tcPr>
          <w:p>
            <w:r>
              <w:t xml:space="preserve">Internal compliance team lead</w:t>
            </w:r>
          </w:p>
        </w:tc>
      </w:tr>
      <w:tr>
        <w:tc>
          <w:tcPr>
            <w:tcW w:type="dxa" w:w="2200"/>
            <w:tcBorders>
              <w:top w:val="single" w:color="CCCCCC" w:sz="1"/>
              <w:left w:val="single" w:color="CCCCCC" w:sz="1"/>
              <w:bottom w:val="single" w:color="CCCCCC" w:sz="1"/>
              <w:right w:val="single" w:color="CCCCCC" w:sz="1"/>
            </w:tcBorders>
          </w:tcPr>
          <w:p>
            <w:r>
              <w:rPr>
                <w:b/>
                <w:bCs/>
              </w:rPr>
              <w:t xml:space="preserve">Control Owner</w:t>
            </w:r>
          </w:p>
        </w:tc>
        <w:tc>
          <w:tcPr>
            <w:tcW w:type="dxa" w:w="3580"/>
            <w:tcBorders>
              <w:top w:val="single" w:color="CCCCCC" w:sz="1"/>
              <w:left w:val="single" w:color="CCCCCC" w:sz="1"/>
              <w:bottom w:val="single" w:color="CCCCCC" w:sz="1"/>
              <w:right w:val="single" w:color="CCCCCC" w:sz="1"/>
            </w:tcBorders>
          </w:tcPr>
          <w:p>
            <w:r>
              <w:t xml:space="preserve">Update assigned controls only, upload evidence, add notes</w:t>
            </w:r>
          </w:p>
        </w:tc>
        <w:tc>
          <w:tcPr>
            <w:tcW w:type="dxa" w:w="3580"/>
            <w:tcBorders>
              <w:top w:val="single" w:color="CCCCCC" w:sz="1"/>
              <w:left w:val="single" w:color="CCCCCC" w:sz="1"/>
              <w:bottom w:val="single" w:color="CCCCCC" w:sz="1"/>
              <w:right w:val="single" w:color="CCCCCC" w:sz="1"/>
            </w:tcBorders>
          </w:tcPr>
          <w:p>
            <w:r>
              <w:t xml:space="preserve">Department managers responsible for specific controls</w:t>
            </w:r>
          </w:p>
        </w:tc>
      </w:tr>
      <w:tr>
        <w:tc>
          <w:tcPr>
            <w:tcW w:type="dxa" w:w="2200"/>
            <w:tcBorders>
              <w:top w:val="single" w:color="CCCCCC" w:sz="1"/>
              <w:left w:val="single" w:color="CCCCCC" w:sz="1"/>
              <w:bottom w:val="single" w:color="CCCCCC" w:sz="1"/>
              <w:right w:val="single" w:color="CCCCCC" w:sz="1"/>
            </w:tcBorders>
            <w:shd w:fill="F2F2F2" w:val="clear"/>
          </w:tcPr>
          <w:p>
            <w:r>
              <w:rPr>
                <w:b/>
                <w:bCs/>
              </w:rPr>
              <w:t xml:space="preserve">Risk Officer</w:t>
            </w:r>
          </w:p>
        </w:tc>
        <w:tc>
          <w:tcPr>
            <w:tcW w:type="dxa" w:w="3580"/>
            <w:tcBorders>
              <w:top w:val="single" w:color="CCCCCC" w:sz="1"/>
              <w:left w:val="single" w:color="CCCCCC" w:sz="1"/>
              <w:bottom w:val="single" w:color="CCCCCC" w:sz="1"/>
              <w:right w:val="single" w:color="CCCCCC" w:sz="1"/>
            </w:tcBorders>
            <w:shd w:fill="F2F2F2" w:val="clear"/>
          </w:tcPr>
          <w:p>
            <w:r>
              <w:t xml:space="preserve">Risk register, risk assessments, treatment plans</w:t>
            </w:r>
          </w:p>
        </w:tc>
        <w:tc>
          <w:tcPr>
            <w:tcW w:type="dxa" w:w="3580"/>
            <w:tcBorders>
              <w:top w:val="single" w:color="CCCCCC" w:sz="1"/>
              <w:left w:val="single" w:color="CCCCCC" w:sz="1"/>
              <w:bottom w:val="single" w:color="CCCCCC" w:sz="1"/>
              <w:right w:val="single" w:color="CCCCCC" w:sz="1"/>
            </w:tcBorders>
            <w:shd w:fill="F2F2F2" w:val="clear"/>
          </w:tcPr>
          <w:p>
            <w:r>
              <w:t xml:space="preserve">Enterprise risk management team</w:t>
            </w:r>
          </w:p>
        </w:tc>
      </w:tr>
      <w:tr>
        <w:tc>
          <w:tcPr>
            <w:tcW w:type="dxa" w:w="2200"/>
            <w:tcBorders>
              <w:top w:val="single" w:color="CCCCCC" w:sz="1"/>
              <w:left w:val="single" w:color="CCCCCC" w:sz="1"/>
              <w:bottom w:val="single" w:color="CCCCCC" w:sz="1"/>
              <w:right w:val="single" w:color="CCCCCC" w:sz="1"/>
            </w:tcBorders>
          </w:tcPr>
          <w:p>
            <w:r>
              <w:rPr>
                <w:b/>
                <w:bCs/>
              </w:rPr>
              <w:t xml:space="preserve">External Consultant</w:t>
            </w:r>
          </w:p>
        </w:tc>
        <w:tc>
          <w:tcPr>
            <w:tcW w:type="dxa" w:w="3580"/>
            <w:tcBorders>
              <w:top w:val="single" w:color="CCCCCC" w:sz="1"/>
              <w:left w:val="single" w:color="CCCCCC" w:sz="1"/>
              <w:bottom w:val="single" w:color="CCCCCC" w:sz="1"/>
              <w:right w:val="single" w:color="CCCCCC" w:sz="1"/>
            </w:tcBorders>
          </w:tcPr>
          <w:p>
            <w:r>
              <w:t xml:space="preserve">Time-limited access, assigned frameworks only, no admin</w:t>
            </w:r>
          </w:p>
        </w:tc>
        <w:tc>
          <w:tcPr>
            <w:tcW w:type="dxa" w:w="3580"/>
            <w:tcBorders>
              <w:top w:val="single" w:color="CCCCCC" w:sz="1"/>
              <w:left w:val="single" w:color="CCCCCC" w:sz="1"/>
              <w:bottom w:val="single" w:color="CCCCCC" w:sz="1"/>
              <w:right w:val="single" w:color="CCCCCC" w:sz="1"/>
            </w:tcBorders>
          </w:tcPr>
          <w:p>
            <w:r>
              <w:t xml:space="preserve">Third-party GRC consultants, Big4 firms</w:t>
            </w:r>
          </w:p>
        </w:tc>
      </w:tr>
      <w:tr>
        <w:tc>
          <w:tcPr>
            <w:tcW w:type="dxa" w:w="2200"/>
            <w:tcBorders>
              <w:top w:val="single" w:color="CCCCCC" w:sz="1"/>
              <w:left w:val="single" w:color="CCCCCC" w:sz="1"/>
              <w:bottom w:val="single" w:color="CCCCCC" w:sz="1"/>
              <w:right w:val="single" w:color="CCCCCC" w:sz="1"/>
            </w:tcBorders>
            <w:shd w:fill="F2F2F2" w:val="clear"/>
          </w:tcPr>
          <w:p>
            <w:r>
              <w:rPr>
                <w:b/>
                <w:bCs/>
              </w:rPr>
              <w:t xml:space="preserve">External Auditor</w:t>
            </w:r>
          </w:p>
        </w:tc>
        <w:tc>
          <w:tcPr>
            <w:tcW w:type="dxa" w:w="3580"/>
            <w:tcBorders>
              <w:top w:val="single" w:color="CCCCCC" w:sz="1"/>
              <w:left w:val="single" w:color="CCCCCC" w:sz="1"/>
              <w:bottom w:val="single" w:color="CCCCCC" w:sz="1"/>
              <w:right w:val="single" w:color="CCCCCC" w:sz="1"/>
            </w:tcBorders>
            <w:shd w:fill="F2F2F2" w:val="clear"/>
          </w:tcPr>
          <w:p>
            <w:r>
              <w:t xml:space="preserve">Read-only access to evidence, controls, assessments</w:t>
            </w:r>
          </w:p>
        </w:tc>
        <w:tc>
          <w:tcPr>
            <w:tcW w:type="dxa" w:w="3580"/>
            <w:tcBorders>
              <w:top w:val="single" w:color="CCCCCC" w:sz="1"/>
              <w:left w:val="single" w:color="CCCCCC" w:sz="1"/>
              <w:bottom w:val="single" w:color="CCCCCC" w:sz="1"/>
              <w:right w:val="single" w:color="CCCCCC" w:sz="1"/>
            </w:tcBorders>
            <w:shd w:fill="F2F2F2" w:val="clear"/>
          </w:tcPr>
          <w:p>
            <w:r>
              <w:t xml:space="preserve">External audit firms, ISO certification bodies</w:t>
            </w:r>
          </w:p>
        </w:tc>
      </w:tr>
      <w:tr>
        <w:tc>
          <w:tcPr>
            <w:tcW w:type="dxa" w:w="2200"/>
            <w:tcBorders>
              <w:top w:val="single" w:color="CCCCCC" w:sz="1"/>
              <w:left w:val="single" w:color="CCCCCC" w:sz="1"/>
              <w:bottom w:val="single" w:color="CCCCCC" w:sz="1"/>
              <w:right w:val="single" w:color="CCCCCC" w:sz="1"/>
            </w:tcBorders>
          </w:tcPr>
          <w:p>
            <w:r>
              <w:rPr>
                <w:b/>
                <w:bCs/>
              </w:rPr>
              <w:t xml:space="preserve">Regulator Access</w:t>
            </w:r>
          </w:p>
        </w:tc>
        <w:tc>
          <w:tcPr>
            <w:tcW w:type="dxa" w:w="3580"/>
            <w:tcBorders>
              <w:top w:val="single" w:color="CCCCCC" w:sz="1"/>
              <w:left w:val="single" w:color="CCCCCC" w:sz="1"/>
              <w:bottom w:val="single" w:color="CCCCCC" w:sz="1"/>
              <w:right w:val="single" w:color="CCCCCC" w:sz="1"/>
            </w:tcBorders>
          </w:tcPr>
          <w:p>
            <w:r>
              <w:t xml:space="preserve">Read-only, specific reports and controls only</w:t>
            </w:r>
          </w:p>
        </w:tc>
        <w:tc>
          <w:tcPr>
            <w:tcW w:type="dxa" w:w="3580"/>
            <w:tcBorders>
              <w:top w:val="single" w:color="CCCCCC" w:sz="1"/>
              <w:left w:val="single" w:color="CCCCCC" w:sz="1"/>
              <w:bottom w:val="single" w:color="CCCCCC" w:sz="1"/>
              <w:right w:val="single" w:color="CCCCCC" w:sz="1"/>
            </w:tcBorders>
          </w:tcPr>
          <w:p>
            <w:r>
              <w:t xml:space="preserve">NCA, SAMA inspectors with formal request</w:t>
            </w:r>
          </w:p>
        </w:tc>
      </w:tr>
    </w:tbl>
    <w:p>
      <w:r>
        <w:br w:type="page"/>
      </w:r>
    </w:p>
    <w:p>
      <w:pPr>
        <w:pStyle w:val="Heading1"/>
      </w:pPr>
      <w:r>
        <w:t xml:space="preserve">7. Regulatory Integration Layer</w:t>
      </w:r>
    </w:p>
    <w:p>
      <w:pPr>
        <w:pStyle w:val="Heading2"/>
      </w:pPr>
      <w:r>
        <w:t xml:space="preserve">7.1 Saudi Regulator Integrations</w:t>
      </w:r>
    </w:p>
    <w:p>
      <w:pPr>
        <w:spacing w:after="200"/>
      </w:pPr>
      <w:r>
        <w:t xml:space="preserve">The platform provides automated integration with Saudi regulatory portals for continuous reporting: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80"/>
        <w:gridCol w:w="3980"/>
      </w:tblGrid>
      <w:tr>
        <w:trPr>
          <w:tblHeader/>
        </w:trPr>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Regulator</w:t>
            </w:r>
          </w:p>
        </w:tc>
        <w:tc>
          <w:tcPr>
            <w:tcW w:type="dxa" w:w="35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Integration Type</w:t>
            </w:r>
          </w:p>
        </w:tc>
        <w:tc>
          <w:tcPr>
            <w:tcW w:type="dxa" w:w="39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Automated Reporting</w:t>
            </w:r>
          </w:p>
        </w:tc>
      </w:tr>
      <w:tr>
        <w:tc>
          <w:tcPr>
            <w:tcW w:type="dxa" w:w="1800"/>
            <w:tcBorders>
              <w:top w:val="single" w:color="CCCCCC" w:sz="1"/>
              <w:left w:val="single" w:color="CCCCCC" w:sz="1"/>
              <w:bottom w:val="single" w:color="CCCCCC" w:sz="1"/>
              <w:right w:val="single" w:color="CCCCCC" w:sz="1"/>
            </w:tcBorders>
          </w:tcPr>
          <w:p>
            <w:r>
              <w:rPr>
                <w:b/>
                <w:bCs/>
              </w:rPr>
              <w:t xml:space="preserve">ZATCA</w:t>
            </w:r>
          </w:p>
        </w:tc>
        <w:tc>
          <w:tcPr>
            <w:tcW w:type="dxa" w:w="3580"/>
            <w:tcBorders>
              <w:top w:val="single" w:color="CCCCCC" w:sz="1"/>
              <w:left w:val="single" w:color="CCCCCC" w:sz="1"/>
              <w:bottom w:val="single" w:color="CCCCCC" w:sz="1"/>
              <w:right w:val="single" w:color="CCCCCC" w:sz="1"/>
            </w:tcBorders>
          </w:tcPr>
          <w:p>
            <w:r>
              <w:t xml:space="preserve">REST API (FATOORA portal), Certificate-based auth</w:t>
            </w:r>
          </w:p>
        </w:tc>
        <w:tc>
          <w:tcPr>
            <w:tcW w:type="dxa" w:w="3980"/>
            <w:tcBorders>
              <w:top w:val="single" w:color="CCCCCC" w:sz="1"/>
              <w:left w:val="single" w:color="CCCCCC" w:sz="1"/>
              <w:bottom w:val="single" w:color="CCCCCC" w:sz="1"/>
              <w:right w:val="single" w:color="CCCCCC" w:sz="1"/>
            </w:tcBorders>
          </w:tcPr>
          <w:p>
            <w:r>
              <w:t xml:space="preserve">E-Invoice generation, VAT returns, clearance status</w:t>
            </w:r>
          </w:p>
        </w:tc>
      </w:tr>
      <w:tr>
        <w:tc>
          <w:tcPr>
            <w:tcW w:type="dxa" w:w="1800"/>
            <w:tcBorders>
              <w:top w:val="single" w:color="CCCCCC" w:sz="1"/>
              <w:left w:val="single" w:color="CCCCCC" w:sz="1"/>
              <w:bottom w:val="single" w:color="CCCCCC" w:sz="1"/>
              <w:right w:val="single" w:color="CCCCCC" w:sz="1"/>
            </w:tcBorders>
            <w:shd w:fill="F2F2F2" w:val="clear"/>
          </w:tcPr>
          <w:p>
            <w:r>
              <w:rPr>
                <w:b/>
                <w:bCs/>
              </w:rPr>
              <w:t xml:space="preserve">NCA</w:t>
            </w:r>
          </w:p>
        </w:tc>
        <w:tc>
          <w:tcPr>
            <w:tcW w:type="dxa" w:w="3580"/>
            <w:tcBorders>
              <w:top w:val="single" w:color="CCCCCC" w:sz="1"/>
              <w:left w:val="single" w:color="CCCCCC" w:sz="1"/>
              <w:bottom w:val="single" w:color="CCCCCC" w:sz="1"/>
              <w:right w:val="single" w:color="CCCCCC" w:sz="1"/>
            </w:tcBorders>
            <w:shd w:fill="F2F2F2" w:val="clear"/>
          </w:tcPr>
          <w:p>
            <w:r>
              <w:t xml:space="preserve">RASID portal integration, ECC compliance reports</w:t>
            </w:r>
          </w:p>
        </w:tc>
        <w:tc>
          <w:tcPr>
            <w:tcW w:type="dxa" w:w="3980"/>
            <w:tcBorders>
              <w:top w:val="single" w:color="CCCCCC" w:sz="1"/>
              <w:left w:val="single" w:color="CCCCCC" w:sz="1"/>
              <w:bottom w:val="single" w:color="CCCCCC" w:sz="1"/>
              <w:right w:val="single" w:color="CCCCCC" w:sz="1"/>
            </w:tcBorders>
            <w:shd w:fill="F2F2F2" w:val="clear"/>
          </w:tcPr>
          <w:p>
            <w:r>
              <w:t xml:space="preserve">Monthly ECC status, incident reports, audit findings</w:t>
            </w:r>
          </w:p>
        </w:tc>
      </w:tr>
      <w:tr>
        <w:tc>
          <w:tcPr>
            <w:tcW w:type="dxa" w:w="1800"/>
            <w:tcBorders>
              <w:top w:val="single" w:color="CCCCCC" w:sz="1"/>
              <w:left w:val="single" w:color="CCCCCC" w:sz="1"/>
              <w:bottom w:val="single" w:color="CCCCCC" w:sz="1"/>
              <w:right w:val="single" w:color="CCCCCC" w:sz="1"/>
            </w:tcBorders>
          </w:tcPr>
          <w:p>
            <w:r>
              <w:rPr>
                <w:b/>
                <w:bCs/>
              </w:rPr>
              <w:t xml:space="preserve">SAMA</w:t>
            </w:r>
          </w:p>
        </w:tc>
        <w:tc>
          <w:tcPr>
            <w:tcW w:type="dxa" w:w="3580"/>
            <w:tcBorders>
              <w:top w:val="single" w:color="CCCCCC" w:sz="1"/>
              <w:left w:val="single" w:color="CCCCCC" w:sz="1"/>
              <w:bottom w:val="single" w:color="CCCCCC" w:sz="1"/>
              <w:right w:val="single" w:color="CCCCCC" w:sz="1"/>
            </w:tcBorders>
          </w:tcPr>
          <w:p>
            <w:r>
              <w:t xml:space="preserve">SAMA Connect API, Secure file transfer</w:t>
            </w:r>
          </w:p>
        </w:tc>
        <w:tc>
          <w:tcPr>
            <w:tcW w:type="dxa" w:w="3980"/>
            <w:tcBorders>
              <w:top w:val="single" w:color="CCCCCC" w:sz="1"/>
              <w:left w:val="single" w:color="CCCCCC" w:sz="1"/>
              <w:bottom w:val="single" w:color="CCCCCC" w:sz="1"/>
              <w:right w:val="single" w:color="CCCCCC" w:sz="1"/>
            </w:tcBorders>
          </w:tcPr>
          <w:p>
            <w:r>
              <w:t xml:space="preserve">CSF compliance scores, incident notifications, AML reports</w:t>
            </w:r>
          </w:p>
        </w:tc>
      </w:tr>
      <w:tr>
        <w:tc>
          <w:tcPr>
            <w:tcW w:type="dxa" w:w="1800"/>
            <w:tcBorders>
              <w:top w:val="single" w:color="CCCCCC" w:sz="1"/>
              <w:left w:val="single" w:color="CCCCCC" w:sz="1"/>
              <w:bottom w:val="single" w:color="CCCCCC" w:sz="1"/>
              <w:right w:val="single" w:color="CCCCCC" w:sz="1"/>
            </w:tcBorders>
            <w:shd w:fill="F2F2F2" w:val="clear"/>
          </w:tcPr>
          <w:p>
            <w:r>
              <w:rPr>
                <w:b/>
                <w:bCs/>
              </w:rPr>
              <w:t xml:space="preserve">CMA</w:t>
            </w:r>
          </w:p>
        </w:tc>
        <w:tc>
          <w:tcPr>
            <w:tcW w:type="dxa" w:w="3580"/>
            <w:tcBorders>
              <w:top w:val="single" w:color="CCCCCC" w:sz="1"/>
              <w:left w:val="single" w:color="CCCCCC" w:sz="1"/>
              <w:bottom w:val="single" w:color="CCCCCC" w:sz="1"/>
              <w:right w:val="single" w:color="CCCCCC" w:sz="1"/>
            </w:tcBorders>
            <w:shd w:fill="F2F2F2" w:val="clear"/>
          </w:tcPr>
          <w:p>
            <w:r>
              <w:t xml:space="preserve">Tadawul e-filing, Corporate governance portal</w:t>
            </w:r>
          </w:p>
        </w:tc>
        <w:tc>
          <w:tcPr>
            <w:tcW w:type="dxa" w:w="3980"/>
            <w:tcBorders>
              <w:top w:val="single" w:color="CCCCCC" w:sz="1"/>
              <w:left w:val="single" w:color="CCCCCC" w:sz="1"/>
              <w:bottom w:val="single" w:color="CCCCCC" w:sz="1"/>
              <w:right w:val="single" w:color="CCCCCC" w:sz="1"/>
            </w:tcBorders>
            <w:shd w:fill="F2F2F2" w:val="clear"/>
          </w:tcPr>
          <w:p>
            <w:r>
              <w:t xml:space="preserve">Annual governance reports, disclosure filings</w:t>
            </w:r>
          </w:p>
        </w:tc>
      </w:tr>
      <w:tr>
        <w:tc>
          <w:tcPr>
            <w:tcW w:type="dxa" w:w="1800"/>
            <w:tcBorders>
              <w:top w:val="single" w:color="CCCCCC" w:sz="1"/>
              <w:left w:val="single" w:color="CCCCCC" w:sz="1"/>
              <w:bottom w:val="single" w:color="CCCCCC" w:sz="1"/>
              <w:right w:val="single" w:color="CCCCCC" w:sz="1"/>
            </w:tcBorders>
          </w:tcPr>
          <w:p>
            <w:r>
              <w:rPr>
                <w:b/>
                <w:bCs/>
              </w:rPr>
              <w:t xml:space="preserve">SDAIA</w:t>
            </w:r>
          </w:p>
        </w:tc>
        <w:tc>
          <w:tcPr>
            <w:tcW w:type="dxa" w:w="3580"/>
            <w:tcBorders>
              <w:top w:val="single" w:color="CCCCCC" w:sz="1"/>
              <w:left w:val="single" w:color="CCCCCC" w:sz="1"/>
              <w:bottom w:val="single" w:color="CCCCCC" w:sz="1"/>
              <w:right w:val="single" w:color="CCCCCC" w:sz="1"/>
            </w:tcBorders>
          </w:tcPr>
          <w:p>
            <w:r>
              <w:t xml:space="preserve">PDPL compliance portal (when available)</w:t>
            </w:r>
          </w:p>
        </w:tc>
        <w:tc>
          <w:tcPr>
            <w:tcW w:type="dxa" w:w="3980"/>
            <w:tcBorders>
              <w:top w:val="single" w:color="CCCCCC" w:sz="1"/>
              <w:left w:val="single" w:color="CCCCCC" w:sz="1"/>
              <w:bottom w:val="single" w:color="CCCCCC" w:sz="1"/>
              <w:right w:val="single" w:color="CCCCCC" w:sz="1"/>
            </w:tcBorders>
          </w:tcPr>
          <w:p>
            <w:r>
              <w:t xml:space="preserve">Data breach notifications, DPO registration</w:t>
            </w:r>
          </w:p>
        </w:tc>
      </w:tr>
    </w:tbl>
    <w:p>
      <w:pPr>
        <w:pStyle w:val="Heading2"/>
        <w:spacing w:before="400"/>
      </w:pPr>
      <w:r>
        <w:t xml:space="preserve">7.2 Integration Architecture</w:t>
      </w:r>
    </w:p>
    <w:p>
      <w:pPr>
        <w:spacing w:after="200"/>
      </w:pPr>
      <w:r>
        <w:t xml:space="preserve">The integration layer uses a message-based architecture for reliable regulatory reporting:</w:t>
      </w:r>
    </w:p>
    <w:p>
      <w:pPr>
        <w:pStyle w:val="ListParagraph"/>
        <w:numPr>
          <w:ilvl w:val="0"/>
          <w:numId w:val="2"/>
        </w:numPr>
      </w:pPr>
      <w:r>
        <w:rPr>
          <w:b/>
          <w:bCs/>
        </w:rPr>
        <w:t xml:space="preserve">Message Queue: </w:t>
      </w:r>
      <w:r>
        <w:t xml:space="preserve">RabbitMQ/Azure Service Bus for async processing</w:t>
      </w:r>
    </w:p>
    <w:p>
      <w:pPr>
        <w:pStyle w:val="ListParagraph"/>
        <w:numPr>
          <w:ilvl w:val="0"/>
          <w:numId w:val="2"/>
        </w:numPr>
      </w:pPr>
      <w:r>
        <w:rPr>
          <w:b/>
          <w:bCs/>
        </w:rPr>
        <w:t xml:space="preserve">Retry Logic: </w:t>
      </w:r>
      <w:r>
        <w:t xml:space="preserve">Exponential backoff for failed submissions</w:t>
      </w:r>
    </w:p>
    <w:p>
      <w:pPr>
        <w:pStyle w:val="ListParagraph"/>
        <w:numPr>
          <w:ilvl w:val="0"/>
          <w:numId w:val="2"/>
        </w:numPr>
      </w:pPr>
      <w:r>
        <w:rPr>
          <w:b/>
          <w:bCs/>
        </w:rPr>
        <w:t xml:space="preserve">Audit Trail: </w:t>
      </w:r>
      <w:r>
        <w:t xml:space="preserve">Complete logging of all regulator communications</w:t>
      </w:r>
    </w:p>
    <w:p>
      <w:pPr>
        <w:pStyle w:val="ListParagraph"/>
        <w:numPr>
          <w:ilvl w:val="0"/>
          <w:numId w:val="2"/>
        </w:numPr>
      </w:pPr>
      <w:r>
        <w:rPr>
          <w:b/>
          <w:bCs/>
        </w:rPr>
        <w:t xml:space="preserve">Certificate Management: </w:t>
      </w:r>
      <w:r>
        <w:t xml:space="preserve">Secure storage of regulator certificates</w:t>
      </w:r>
    </w:p>
    <w:p>
      <w:pPr>
        <w:pStyle w:val="ListParagraph"/>
        <w:numPr>
          <w:ilvl w:val="0"/>
          <w:numId w:val="2"/>
        </w:numPr>
      </w:pPr>
      <w:r>
        <w:rPr>
          <w:b/>
          <w:bCs/>
        </w:rPr>
        <w:t xml:space="preserve">Webhook Handlers: </w:t>
      </w:r>
      <w:r>
        <w:t xml:space="preserve">Receive regulator responses and status updates</w:t>
      </w:r>
    </w:p>
    <w:p>
      <w:r>
        <w:br w:type="page"/>
      </w:r>
    </w:p>
    <w:p>
      <w:pPr>
        <w:pStyle w:val="Heading1"/>
      </w:pPr>
      <w:r>
        <w:t xml:space="preserve">8. End-to-End GRC Workflow</w:t>
      </w:r>
    </w:p>
    <w:p>
      <w:pPr>
        <w:pStyle w:val="Heading2"/>
      </w:pPr>
      <w:r>
        <w:t xml:space="preserve">8.1 Compliance Assessment Workflow</w:t>
      </w:r>
    </w:p>
    <w:p>
      <w:pPr>
        <w:spacing w:after="200"/>
      </w:pPr>
      <w:r>
        <w:t xml:space="preserve">Organizations perform self-service compliance assessments with the following workflow:</w:t>
      </w:r>
    </w:p>
    <w:p>
      <w:pPr>
        <w:pStyle w:val="ListParagraph"/>
        <w:numPr>
          <w:ilvl w:val="0"/>
          <w:numId w:val="4"/>
        </w:numPr>
      </w:pPr>
      <w:r>
        <w:rPr>
          <w:b/>
          <w:bCs/>
        </w:rPr>
        <w:t xml:space="preserve">Framework Selection: </w:t>
      </w:r>
      <w:r>
        <w:t xml:space="preserve">Tenant admin enables applicable frameworks (NCA-ECC, SAMA-CSF, PDPL, etc.)</w:t>
      </w:r>
    </w:p>
    <w:p>
      <w:pPr>
        <w:pStyle w:val="ListParagraph"/>
        <w:numPr>
          <w:ilvl w:val="0"/>
          <w:numId w:val="4"/>
        </w:numPr>
      </w:pPr>
      <w:r>
        <w:rPr>
          <w:b/>
          <w:bCs/>
        </w:rPr>
        <w:t xml:space="preserve">Control Gap Analysis: </w:t>
      </w:r>
      <w:r>
        <w:t xml:space="preserve">System auto-generates control implementation checklist with mapped requirements</w:t>
      </w:r>
    </w:p>
    <w:p>
      <w:pPr>
        <w:pStyle w:val="ListParagraph"/>
        <w:numPr>
          <w:ilvl w:val="0"/>
          <w:numId w:val="4"/>
        </w:numPr>
      </w:pPr>
      <w:r>
        <w:rPr>
          <w:b/>
          <w:bCs/>
        </w:rPr>
        <w:t xml:space="preserve">Ownership Assignment: </w:t>
      </w:r>
      <w:r>
        <w:t xml:space="preserve">Compliance Manager assigns controls to department owners</w:t>
      </w:r>
    </w:p>
    <w:p>
      <w:pPr>
        <w:pStyle w:val="ListParagraph"/>
        <w:numPr>
          <w:ilvl w:val="0"/>
          <w:numId w:val="4"/>
        </w:numPr>
      </w:pPr>
      <w:r>
        <w:rPr>
          <w:b/>
          <w:bCs/>
        </w:rPr>
        <w:t xml:space="preserve">Implementation: </w:t>
      </w:r>
      <w:r>
        <w:t xml:space="preserve">Control owners update status, upload evidence, document implementation</w:t>
      </w:r>
    </w:p>
    <w:p>
      <w:pPr>
        <w:pStyle w:val="ListParagraph"/>
        <w:numPr>
          <w:ilvl w:val="0"/>
          <w:numId w:val="4"/>
        </w:numPr>
      </w:pPr>
      <w:r>
        <w:rPr>
          <w:b/>
          <w:bCs/>
        </w:rPr>
        <w:t xml:space="preserve">Evidence Collection: </w:t>
      </w:r>
      <w:r>
        <w:t xml:space="preserve">Automated evidence requirements mapped per control, validation rules</w:t>
      </w:r>
    </w:p>
    <w:p>
      <w:pPr>
        <w:pStyle w:val="ListParagraph"/>
        <w:numPr>
          <w:ilvl w:val="0"/>
          <w:numId w:val="4"/>
        </w:numPr>
      </w:pPr>
      <w:r>
        <w:rPr>
          <w:b/>
          <w:bCs/>
        </w:rPr>
        <w:t xml:space="preserve">Assessment Scoring: </w:t>
      </w:r>
      <w:r>
        <w:t xml:space="preserve">Maturity-based scoring (1-5) per control with weighted overall score</w:t>
      </w:r>
    </w:p>
    <w:p>
      <w:pPr>
        <w:pStyle w:val="ListParagraph"/>
        <w:numPr>
          <w:ilvl w:val="0"/>
          <w:numId w:val="4"/>
        </w:numPr>
      </w:pPr>
      <w:r>
        <w:rPr>
          <w:b/>
          <w:bCs/>
        </w:rPr>
        <w:t xml:space="preserve">Report Generation: </w:t>
      </w:r>
      <w:r>
        <w:t xml:space="preserve">Automated compliance reports in regulator-required formats</w:t>
      </w:r>
    </w:p>
    <w:p>
      <w:pPr>
        <w:pStyle w:val="ListParagraph"/>
        <w:numPr>
          <w:ilvl w:val="0"/>
          <w:numId w:val="4"/>
        </w:numPr>
      </w:pPr>
      <w:r>
        <w:rPr>
          <w:b/>
          <w:bCs/>
        </w:rPr>
        <w:t xml:space="preserve">Regulator Submission: </w:t>
      </w:r>
      <w:r>
        <w:t xml:space="preserve">Authenticated electronic submission via integration layer</w:t>
      </w:r>
    </w:p>
    <w:p>
      <w:pPr>
        <w:pStyle w:val="ListParagraph"/>
        <w:numPr>
          <w:ilvl w:val="0"/>
          <w:numId w:val="4"/>
        </w:numPr>
      </w:pPr>
      <w:r>
        <w:rPr>
          <w:b/>
          <w:bCs/>
        </w:rPr>
        <w:t xml:space="preserve">Continuous Monitoring: </w:t>
      </w:r>
      <w:r>
        <w:t xml:space="preserve">Automated checks for evidence expiry, control degradation, new requirements</w:t>
      </w:r>
    </w:p>
    <w:p>
      <w:pPr>
        <w:pStyle w:val="Heading2"/>
        <w:spacing w:before="400"/>
      </w:pPr>
      <w:r>
        <w:t xml:space="preserve">8.2 Risk Management Workflow</w:t>
      </w:r>
    </w:p>
    <w:p>
      <w:pPr>
        <w:spacing w:after="200"/>
      </w:pPr>
      <w:r>
        <w:t xml:space="preserve">Integrated risk management with compliance controls:</w:t>
      </w:r>
    </w:p>
    <w:p>
      <w:pPr>
        <w:pStyle w:val="ListParagraph"/>
        <w:numPr>
          <w:ilvl w:val="0"/>
          <w:numId w:val="2"/>
        </w:numPr>
      </w:pPr>
      <w:r>
        <w:rPr>
          <w:b/>
          <w:bCs/>
        </w:rPr>
        <w:t xml:space="preserve">Risk Identification: </w:t>
      </w:r>
      <w:r>
        <w:t xml:space="preserve">Link risks to controls, auto-suggest from gap analysis</w:t>
      </w:r>
    </w:p>
    <w:p>
      <w:pPr>
        <w:pStyle w:val="ListParagraph"/>
        <w:numPr>
          <w:ilvl w:val="0"/>
          <w:numId w:val="2"/>
        </w:numPr>
      </w:pPr>
      <w:r>
        <w:rPr>
          <w:b/>
          <w:bCs/>
        </w:rPr>
        <w:t xml:space="preserve">Risk Scoring: </w:t>
      </w:r>
      <w:r>
        <w:t xml:space="preserve">Likelihood × Impact matrix (5×5) with configurable thresholds</w:t>
      </w:r>
    </w:p>
    <w:p>
      <w:pPr>
        <w:pStyle w:val="ListParagraph"/>
        <w:numPr>
          <w:ilvl w:val="0"/>
          <w:numId w:val="2"/>
        </w:numPr>
      </w:pPr>
      <w:r>
        <w:rPr>
          <w:b/>
          <w:bCs/>
        </w:rPr>
        <w:t xml:space="preserve">Treatment Plans: </w:t>
      </w:r>
      <w:r>
        <w:t xml:space="preserve">Accept, Mitigate, Transfer, Avoid with linked actions</w:t>
      </w:r>
    </w:p>
    <w:p>
      <w:pPr>
        <w:pStyle w:val="ListParagraph"/>
        <w:numPr>
          <w:ilvl w:val="0"/>
          <w:numId w:val="2"/>
        </w:numPr>
      </w:pPr>
      <w:r>
        <w:rPr>
          <w:b/>
          <w:bCs/>
        </w:rPr>
        <w:t xml:space="preserve">Risk Dashboards: </w:t>
      </w:r>
      <w:r>
        <w:t xml:space="preserve">Heat maps, trend analysis, risk appetite monitoring</w:t>
      </w:r>
    </w:p>
    <w:p>
      <w:r>
        <w:br w:type="page"/>
      </w:r>
    </w:p>
    <w:p>
      <w:pPr>
        <w:pStyle w:val="Heading1"/>
      </w:pPr>
      <w:r>
        <w:t xml:space="preserve">9. Healthcare IoT (IoMT) Module</w:t>
      </w:r>
    </w:p>
    <w:p>
      <w:pPr>
        <w:pStyle w:val="Heading2"/>
      </w:pPr>
      <w:r>
        <w:t xml:space="preserve">9.1 IoMT Device Management</w:t>
      </w:r>
    </w:p>
    <w:p>
      <w:pPr>
        <w:spacing w:after="200"/>
      </w:pPr>
      <w:r>
        <w:t xml:space="preserve">Specialized module for healthcare IoT cybersecurity based on the 48 IoT controls from your research: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Category</w:t>
            </w:r>
          </w:p>
        </w:tc>
        <w:tc>
          <w:tcPr>
            <w:tcW w:type="dxa" w:w="35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Key Controls</w:t>
            </w:r>
          </w:p>
        </w:tc>
        <w:tc>
          <w:tcPr>
            <w:tcW w:type="dxa" w:w="35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Platform Features</w:t>
            </w:r>
          </w:p>
        </w:tc>
      </w:tr>
      <w:tr>
        <w:tc>
          <w:tcPr>
            <w:tcW w:type="dxa" w:w="2200"/>
            <w:tcBorders>
              <w:top w:val="single" w:color="CCCCCC" w:sz="1"/>
              <w:left w:val="single" w:color="CCCCCC" w:sz="1"/>
              <w:bottom w:val="single" w:color="CCCCCC" w:sz="1"/>
              <w:right w:val="single" w:color="CCCCCC" w:sz="1"/>
            </w:tcBorders>
          </w:tcPr>
          <w:p>
            <w:r>
              <w:rPr>
                <w:b/>
                <w:bCs/>
              </w:rPr>
              <w:t xml:space="preserve">Device Security</w:t>
            </w:r>
          </w:p>
        </w:tc>
        <w:tc>
          <w:tcPr>
            <w:tcW w:type="dxa" w:w="3580"/>
            <w:tcBorders>
              <w:top w:val="single" w:color="CCCCCC" w:sz="1"/>
              <w:left w:val="single" w:color="CCCCCC" w:sz="1"/>
              <w:bottom w:val="single" w:color="CCCCCC" w:sz="1"/>
              <w:right w:val="single" w:color="CCCCCC" w:sz="1"/>
            </w:tcBorders>
          </w:tcPr>
          <w:p>
            <w:r>
              <w:t xml:space="preserve">MOH-HIS 6.4, NCA-ECC 2.1.1, Asset Inventory</w:t>
            </w:r>
          </w:p>
        </w:tc>
        <w:tc>
          <w:tcPr>
            <w:tcW w:type="dxa" w:w="3580"/>
            <w:tcBorders>
              <w:top w:val="single" w:color="CCCCCC" w:sz="1"/>
              <w:left w:val="single" w:color="CCCCCC" w:sz="1"/>
              <w:bottom w:val="single" w:color="CCCCCC" w:sz="1"/>
              <w:right w:val="single" w:color="CCCCCC" w:sz="1"/>
            </w:tcBorders>
          </w:tcPr>
          <w:p>
            <w:r>
              <w:t xml:space="preserve">IoT device registry, automated discovery, classification</w:t>
            </w:r>
          </w:p>
        </w:tc>
      </w:tr>
      <w:tr>
        <w:tc>
          <w:tcPr>
            <w:tcW w:type="dxa" w:w="2200"/>
            <w:tcBorders>
              <w:top w:val="single" w:color="CCCCCC" w:sz="1"/>
              <w:left w:val="single" w:color="CCCCCC" w:sz="1"/>
              <w:bottom w:val="single" w:color="CCCCCC" w:sz="1"/>
              <w:right w:val="single" w:color="CCCCCC" w:sz="1"/>
            </w:tcBorders>
            <w:shd w:fill="F2F2F2" w:val="clear"/>
          </w:tcPr>
          <w:p>
            <w:r>
              <w:rPr>
                <w:b/>
                <w:bCs/>
              </w:rPr>
              <w:t xml:space="preserve">Network Security</w:t>
            </w:r>
          </w:p>
        </w:tc>
        <w:tc>
          <w:tcPr>
            <w:tcW w:type="dxa" w:w="3580"/>
            <w:tcBorders>
              <w:top w:val="single" w:color="CCCCCC" w:sz="1"/>
              <w:left w:val="single" w:color="CCCCCC" w:sz="1"/>
              <w:bottom w:val="single" w:color="CCCCCC" w:sz="1"/>
              <w:right w:val="single" w:color="CCCCCC" w:sz="1"/>
            </w:tcBorders>
            <w:shd w:fill="F2F2F2" w:val="clear"/>
          </w:tcPr>
          <w:p>
            <w:r>
              <w:t xml:space="preserve">Network segmentation, IDS/IPS, wireless security</w:t>
            </w:r>
          </w:p>
        </w:tc>
        <w:tc>
          <w:tcPr>
            <w:tcW w:type="dxa" w:w="3580"/>
            <w:tcBorders>
              <w:top w:val="single" w:color="CCCCCC" w:sz="1"/>
              <w:left w:val="single" w:color="CCCCCC" w:sz="1"/>
              <w:bottom w:val="single" w:color="CCCCCC" w:sz="1"/>
              <w:right w:val="single" w:color="CCCCCC" w:sz="1"/>
            </w:tcBorders>
            <w:shd w:fill="F2F2F2" w:val="clear"/>
          </w:tcPr>
          <w:p>
            <w:r>
              <w:t xml:space="preserve">Network topology mapping, segment compliance checks</w:t>
            </w:r>
          </w:p>
        </w:tc>
      </w:tr>
      <w:tr>
        <w:tc>
          <w:tcPr>
            <w:tcW w:type="dxa" w:w="2200"/>
            <w:tcBorders>
              <w:top w:val="single" w:color="CCCCCC" w:sz="1"/>
              <w:left w:val="single" w:color="CCCCCC" w:sz="1"/>
              <w:bottom w:val="single" w:color="CCCCCC" w:sz="1"/>
              <w:right w:val="single" w:color="CCCCCC" w:sz="1"/>
            </w:tcBorders>
          </w:tcPr>
          <w:p>
            <w:r>
              <w:rPr>
                <w:b/>
                <w:bCs/>
              </w:rPr>
              <w:t xml:space="preserve">Data Protection</w:t>
            </w:r>
          </w:p>
        </w:tc>
        <w:tc>
          <w:tcPr>
            <w:tcW w:type="dxa" w:w="3580"/>
            <w:tcBorders>
              <w:top w:val="single" w:color="CCCCCC" w:sz="1"/>
              <w:left w:val="single" w:color="CCCCCC" w:sz="1"/>
              <w:bottom w:val="single" w:color="CCCCCC" w:sz="1"/>
              <w:right w:val="single" w:color="CCCCCC" w:sz="1"/>
            </w:tcBorders>
          </w:tcPr>
          <w:p>
            <w:r>
              <w:t xml:space="preserve">Encryption at rest/transit, key management, patient data</w:t>
            </w:r>
          </w:p>
        </w:tc>
        <w:tc>
          <w:tcPr>
            <w:tcW w:type="dxa" w:w="3580"/>
            <w:tcBorders>
              <w:top w:val="single" w:color="CCCCCC" w:sz="1"/>
              <w:left w:val="single" w:color="CCCCCC" w:sz="1"/>
              <w:bottom w:val="single" w:color="CCCCCC" w:sz="1"/>
              <w:right w:val="single" w:color="CCCCCC" w:sz="1"/>
            </w:tcBorders>
          </w:tcPr>
          <w:p>
            <w:r>
              <w:t xml:space="preserve">Data flow mapping, encryption status tracking</w:t>
            </w:r>
          </w:p>
        </w:tc>
      </w:tr>
      <w:tr>
        <w:tc>
          <w:tcPr>
            <w:tcW w:type="dxa" w:w="2200"/>
            <w:tcBorders>
              <w:top w:val="single" w:color="CCCCCC" w:sz="1"/>
              <w:left w:val="single" w:color="CCCCCC" w:sz="1"/>
              <w:bottom w:val="single" w:color="CCCCCC" w:sz="1"/>
              <w:right w:val="single" w:color="CCCCCC" w:sz="1"/>
            </w:tcBorders>
            <w:shd w:fill="F2F2F2" w:val="clear"/>
          </w:tcPr>
          <w:p>
            <w:r>
              <w:rPr>
                <w:b/>
                <w:bCs/>
              </w:rPr>
              <w:t xml:space="preserve">Access Control</w:t>
            </w:r>
          </w:p>
        </w:tc>
        <w:tc>
          <w:tcPr>
            <w:tcW w:type="dxa" w:w="3580"/>
            <w:tcBorders>
              <w:top w:val="single" w:color="CCCCCC" w:sz="1"/>
              <w:left w:val="single" w:color="CCCCCC" w:sz="1"/>
              <w:bottom w:val="single" w:color="CCCCCC" w:sz="1"/>
              <w:right w:val="single" w:color="CCCCCC" w:sz="1"/>
            </w:tcBorders>
            <w:shd w:fill="F2F2F2" w:val="clear"/>
          </w:tcPr>
          <w:p>
            <w:r>
              <w:t xml:space="preserve">Device authentication, user access management</w:t>
            </w:r>
          </w:p>
        </w:tc>
        <w:tc>
          <w:tcPr>
            <w:tcW w:type="dxa" w:w="3580"/>
            <w:tcBorders>
              <w:top w:val="single" w:color="CCCCCC" w:sz="1"/>
              <w:left w:val="single" w:color="CCCCCC" w:sz="1"/>
              <w:bottom w:val="single" w:color="CCCCCC" w:sz="1"/>
              <w:right w:val="single" w:color="CCCCCC" w:sz="1"/>
            </w:tcBorders>
            <w:shd w:fill="F2F2F2" w:val="clear"/>
          </w:tcPr>
          <w:p>
            <w:r>
              <w:t xml:space="preserve">Access control matrix, credential management</w:t>
            </w:r>
          </w:p>
        </w:tc>
      </w:tr>
      <w:tr>
        <w:tc>
          <w:tcPr>
            <w:tcW w:type="dxa" w:w="2200"/>
            <w:tcBorders>
              <w:top w:val="single" w:color="CCCCCC" w:sz="1"/>
              <w:left w:val="single" w:color="CCCCCC" w:sz="1"/>
              <w:bottom w:val="single" w:color="CCCCCC" w:sz="1"/>
              <w:right w:val="single" w:color="CCCCCC" w:sz="1"/>
            </w:tcBorders>
          </w:tcPr>
          <w:p>
            <w:r>
              <w:rPr>
                <w:b/>
                <w:bCs/>
              </w:rPr>
              <w:t xml:space="preserve">Monitoring</w:t>
            </w:r>
          </w:p>
        </w:tc>
        <w:tc>
          <w:tcPr>
            <w:tcW w:type="dxa" w:w="3580"/>
            <w:tcBorders>
              <w:top w:val="single" w:color="CCCCCC" w:sz="1"/>
              <w:left w:val="single" w:color="CCCCCC" w:sz="1"/>
              <w:bottom w:val="single" w:color="CCCCCC" w:sz="1"/>
              <w:right w:val="single" w:color="CCCCCC" w:sz="1"/>
            </w:tcBorders>
          </w:tcPr>
          <w:p>
            <w:r>
              <w:t xml:space="preserve">Activity logging, SIEM integration, anomaly detection</w:t>
            </w:r>
          </w:p>
        </w:tc>
        <w:tc>
          <w:tcPr>
            <w:tcW w:type="dxa" w:w="3580"/>
            <w:tcBorders>
              <w:top w:val="single" w:color="CCCCCC" w:sz="1"/>
              <w:left w:val="single" w:color="CCCCCC" w:sz="1"/>
              <w:bottom w:val="single" w:color="CCCCCC" w:sz="1"/>
              <w:right w:val="single" w:color="CCCCCC" w:sz="1"/>
            </w:tcBorders>
          </w:tcPr>
          <w:p>
            <w:r>
              <w:t xml:space="preserve">Log collection status, alert management</w:t>
            </w:r>
          </w:p>
        </w:tc>
      </w:tr>
      <w:tr>
        <w:tc>
          <w:tcPr>
            <w:tcW w:type="dxa" w:w="2200"/>
            <w:tcBorders>
              <w:top w:val="single" w:color="CCCCCC" w:sz="1"/>
              <w:left w:val="single" w:color="CCCCCC" w:sz="1"/>
              <w:bottom w:val="single" w:color="CCCCCC" w:sz="1"/>
              <w:right w:val="single" w:color="CCCCCC" w:sz="1"/>
            </w:tcBorders>
            <w:shd w:fill="F2F2F2" w:val="clear"/>
          </w:tcPr>
          <w:p>
            <w:r>
              <w:rPr>
                <w:b/>
                <w:bCs/>
              </w:rPr>
              <w:t xml:space="preserve">Incident Response</w:t>
            </w:r>
          </w:p>
        </w:tc>
        <w:tc>
          <w:tcPr>
            <w:tcW w:type="dxa" w:w="3580"/>
            <w:tcBorders>
              <w:top w:val="single" w:color="CCCCCC" w:sz="1"/>
              <w:left w:val="single" w:color="CCCCCC" w:sz="1"/>
              <w:bottom w:val="single" w:color="CCCCCC" w:sz="1"/>
              <w:right w:val="single" w:color="CCCCCC" w:sz="1"/>
            </w:tcBorders>
            <w:shd w:fill="F2F2F2" w:val="clear"/>
          </w:tcPr>
          <w:p>
            <w:r>
              <w:t xml:space="preserve">Incident management, breach notification, recovery</w:t>
            </w:r>
          </w:p>
        </w:tc>
        <w:tc>
          <w:tcPr>
            <w:tcW w:type="dxa" w:w="3580"/>
            <w:tcBorders>
              <w:top w:val="single" w:color="CCCCCC" w:sz="1"/>
              <w:left w:val="single" w:color="CCCCCC" w:sz="1"/>
              <w:bottom w:val="single" w:color="CCCCCC" w:sz="1"/>
              <w:right w:val="single" w:color="CCCCCC" w:sz="1"/>
            </w:tcBorders>
            <w:shd w:fill="F2F2F2" w:val="clear"/>
          </w:tcPr>
          <w:p>
            <w:r>
              <w:t xml:space="preserve">Incident workflow, MOH notification automation</w:t>
            </w:r>
          </w:p>
        </w:tc>
      </w:tr>
    </w:tbl>
    <w:p>
      <w:r>
        <w:br w:type="page"/>
      </w:r>
    </w:p>
    <w:p>
      <w:pPr>
        <w:pStyle w:val="Heading1"/>
      </w:pPr>
      <w:r>
        <w:t xml:space="preserve">10. Deployment Architecture</w:t>
      </w:r>
    </w:p>
    <w:p>
      <w:pPr>
        <w:pStyle w:val="Heading2"/>
      </w:pPr>
      <w:r>
        <w:t xml:space="preserve">10.1 Cloud Infrastructure (Saudi Region)</w:t>
      </w:r>
    </w:p>
    <w:p>
      <w:pPr>
        <w:spacing w:after="200"/>
      </w:pPr>
      <w:r>
        <w:t xml:space="preserve">To comply with PDPL data residency requirements, the platform is deployed in Saudi Arabia region:</w:t>
      </w:r>
    </w:p>
    <w:p>
      <w:pPr>
        <w:pStyle w:val="ListParagraph"/>
        <w:numPr>
          <w:ilvl w:val="0"/>
          <w:numId w:val="2"/>
        </w:numPr>
      </w:pPr>
      <w:r>
        <w:rPr>
          <w:b/>
          <w:bCs/>
        </w:rPr>
        <w:t xml:space="preserve">Primary: </w:t>
      </w:r>
      <w:r>
        <w:t xml:space="preserve">Azure Saudi Arabia Central (Riyadh) or AWS Middle East (Bahrain with data agreements)</w:t>
      </w:r>
    </w:p>
    <w:p>
      <w:pPr>
        <w:pStyle w:val="ListParagraph"/>
        <w:numPr>
          <w:ilvl w:val="0"/>
          <w:numId w:val="2"/>
        </w:numPr>
      </w:pPr>
      <w:r>
        <w:rPr>
          <w:b/>
          <w:bCs/>
        </w:rPr>
        <w:t xml:space="preserve">Container Orchestration: </w:t>
      </w:r>
      <w:r>
        <w:t xml:space="preserve">Kubernetes (AKS/EKS) for microservices deployment</w:t>
      </w:r>
    </w:p>
    <w:p>
      <w:pPr>
        <w:pStyle w:val="ListParagraph"/>
        <w:numPr>
          <w:ilvl w:val="0"/>
          <w:numId w:val="2"/>
        </w:numPr>
      </w:pPr>
      <w:r>
        <w:rPr>
          <w:b/>
          <w:bCs/>
        </w:rPr>
        <w:t xml:space="preserve">Database: </w:t>
      </w:r>
      <w:r>
        <w:t xml:space="preserve">Azure SQL or PostgreSQL with read replicas for high availability</w:t>
      </w:r>
    </w:p>
    <w:p>
      <w:pPr>
        <w:pStyle w:val="ListParagraph"/>
        <w:numPr>
          <w:ilvl w:val="0"/>
          <w:numId w:val="2"/>
        </w:numPr>
      </w:pPr>
      <w:r>
        <w:rPr>
          <w:b/>
          <w:bCs/>
        </w:rPr>
        <w:t xml:space="preserve">Blob Storage: </w:t>
      </w:r>
      <w:r>
        <w:t xml:space="preserve">Azure Blob or S3 for evidence documents with encryption</w:t>
      </w:r>
    </w:p>
    <w:p>
      <w:pPr>
        <w:pStyle w:val="ListParagraph"/>
        <w:numPr>
          <w:ilvl w:val="0"/>
          <w:numId w:val="2"/>
        </w:numPr>
      </w:pPr>
      <w:r>
        <w:rPr>
          <w:b/>
          <w:bCs/>
        </w:rPr>
        <w:t xml:space="preserve">Redis Cache: </w:t>
      </w:r>
      <w:r>
        <w:t xml:space="preserve">For session management and distributed caching</w:t>
      </w:r>
    </w:p>
    <w:p>
      <w:pPr>
        <w:pStyle w:val="ListParagraph"/>
        <w:numPr>
          <w:ilvl w:val="0"/>
          <w:numId w:val="2"/>
        </w:numPr>
      </w:pPr>
      <w:r>
        <w:rPr>
          <w:b/>
          <w:bCs/>
        </w:rPr>
        <w:t xml:space="preserve">API Gateway: </w:t>
      </w:r>
      <w:r>
        <w:t xml:space="preserve">Azure API Management or Kong for rate limiting, authentication</w:t>
      </w:r>
    </w:p>
    <w:p>
      <w:pPr>
        <w:pStyle w:val="Heading2"/>
        <w:spacing w:before="400"/>
      </w:pPr>
      <w:r>
        <w:t xml:space="preserve">10.2 Security Architecture</w:t>
      </w:r>
    </w:p>
    <w:p>
      <w:pPr>
        <w:spacing w:after="200"/>
      </w:pPr>
      <w:r>
        <w:t xml:space="preserve">Enterprise-grade security aligned with NCA-ECC requirements:</w:t>
      </w:r>
    </w:p>
    <w:p>
      <w:pPr>
        <w:pStyle w:val="ListParagraph"/>
        <w:numPr>
          <w:ilvl w:val="0"/>
          <w:numId w:val="2"/>
        </w:numPr>
      </w:pPr>
      <w:r>
        <w:rPr>
          <w:b/>
          <w:bCs/>
        </w:rPr>
        <w:t xml:space="preserve">Authentication: </w:t>
      </w:r>
      <w:r>
        <w:t xml:space="preserve">OpenID Connect with Azure AD/Keycloak, MFA enforcement</w:t>
      </w:r>
    </w:p>
    <w:p>
      <w:pPr>
        <w:pStyle w:val="ListParagraph"/>
        <w:numPr>
          <w:ilvl w:val="0"/>
          <w:numId w:val="2"/>
        </w:numPr>
      </w:pPr>
      <w:r>
        <w:rPr>
          <w:b/>
          <w:bCs/>
        </w:rPr>
        <w:t xml:space="preserve">Encryption: </w:t>
      </w:r>
      <w:r>
        <w:t xml:space="preserve">TLS 1.3 in transit, AES-256 at rest, customer-managed keys option</w:t>
      </w:r>
    </w:p>
    <w:p>
      <w:pPr>
        <w:pStyle w:val="ListParagraph"/>
        <w:numPr>
          <w:ilvl w:val="0"/>
          <w:numId w:val="2"/>
        </w:numPr>
      </w:pPr>
      <w:r>
        <w:rPr>
          <w:b/>
          <w:bCs/>
        </w:rPr>
        <w:t xml:space="preserve">WAF: </w:t>
      </w:r>
      <w:r>
        <w:t xml:space="preserve">Azure WAF or Cloudflare for OWASP Top 10 protection</w:t>
      </w:r>
    </w:p>
    <w:p>
      <w:pPr>
        <w:pStyle w:val="ListParagraph"/>
        <w:numPr>
          <w:ilvl w:val="0"/>
          <w:numId w:val="2"/>
        </w:numPr>
      </w:pPr>
      <w:r>
        <w:rPr>
          <w:b/>
          <w:bCs/>
        </w:rPr>
        <w:t xml:space="preserve">Secrets Management: </w:t>
      </w:r>
      <w:r>
        <w:t xml:space="preserve">Azure Key Vault for API keys, certificates, connection strings</w:t>
      </w:r>
    </w:p>
    <w:p>
      <w:pPr>
        <w:pStyle w:val="ListParagraph"/>
        <w:numPr>
          <w:ilvl w:val="0"/>
          <w:numId w:val="2"/>
        </w:numPr>
      </w:pPr>
      <w:r>
        <w:rPr>
          <w:b/>
          <w:bCs/>
        </w:rPr>
        <w:t xml:space="preserve">Penetration Testing: </w:t>
      </w:r>
      <w:r>
        <w:t xml:space="preserve">Annual third-party assessments, vulnerability scanning</w:t>
      </w:r>
    </w:p>
    <w:p>
      <w:r>
        <w:br w:type="page"/>
      </w:r>
    </w:p>
    <w:p>
      <w:pPr>
        <w:pStyle w:val="Heading1"/>
      </w:pPr>
      <w:r>
        <w:t xml:space="preserve">11. Technology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Layer</w:t>
            </w:r>
          </w:p>
        </w:tc>
        <w:tc>
          <w:tcPr>
            <w:tcW w:type="dxa" w:w="32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Technology</w:t>
            </w:r>
          </w:p>
        </w:tc>
        <w:tc>
          <w:tcPr>
            <w:tcW w:type="dxa" w:w="32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tcPr>
          <w:p>
            <w:r>
              <w:rPr>
                <w:b/>
                <w:bCs/>
              </w:rPr>
              <w:t xml:space="preserve">Framework</w:t>
            </w:r>
          </w:p>
        </w:tc>
        <w:tc>
          <w:tcPr>
            <w:tcW w:type="dxa" w:w="3280"/>
            <w:tcBorders>
              <w:top w:val="single" w:color="CCCCCC" w:sz="1"/>
              <w:left w:val="single" w:color="CCCCCC" w:sz="1"/>
              <w:bottom w:val="single" w:color="CCCCCC" w:sz="1"/>
              <w:right w:val="single" w:color="CCCCCC" w:sz="1"/>
            </w:tcBorders>
          </w:tcPr>
          <w:p>
            <w:r>
              <w:t xml:space="preserve">ABP.io Commercial 8.x</w:t>
            </w:r>
          </w:p>
        </w:tc>
        <w:tc>
          <w:tcPr>
            <w:tcW w:type="dxa" w:w="3280"/>
            <w:tcBorders>
              <w:top w:val="single" w:color="CCCCCC" w:sz="1"/>
              <w:left w:val="single" w:color="CCCCCC" w:sz="1"/>
              <w:bottom w:val="single" w:color="CCCCCC" w:sz="1"/>
              <w:right w:val="single" w:color="CCCCCC" w:sz="1"/>
            </w:tcBorders>
          </w:tcPr>
          <w:p>
            <w:r>
              <w:t xml:space="preserve">Multi-tenancy, modules, DDD</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Backend</w:t>
            </w:r>
          </w:p>
        </w:tc>
        <w:tc>
          <w:tcPr>
            <w:tcW w:type="dxa" w:w="3280"/>
            <w:tcBorders>
              <w:top w:val="single" w:color="CCCCCC" w:sz="1"/>
              <w:left w:val="single" w:color="CCCCCC" w:sz="1"/>
              <w:bottom w:val="single" w:color="CCCCCC" w:sz="1"/>
              <w:right w:val="single" w:color="CCCCCC" w:sz="1"/>
            </w:tcBorders>
            <w:shd w:fill="F2F2F2" w:val="clear"/>
          </w:tcPr>
          <w:p>
            <w:r>
              <w:t xml:space="preserve">ASP.NET Core 8.0</w:t>
            </w:r>
          </w:p>
        </w:tc>
        <w:tc>
          <w:tcPr>
            <w:tcW w:type="dxa" w:w="3280"/>
            <w:tcBorders>
              <w:top w:val="single" w:color="CCCCCC" w:sz="1"/>
              <w:left w:val="single" w:color="CCCCCC" w:sz="1"/>
              <w:bottom w:val="single" w:color="CCCCCC" w:sz="1"/>
              <w:right w:val="single" w:color="CCCCCC" w:sz="1"/>
            </w:tcBorders>
            <w:shd w:fill="F2F2F2" w:val="clear"/>
          </w:tcPr>
          <w:p>
            <w:r>
              <w:t xml:space="preserve">API, business logic</w:t>
            </w:r>
          </w:p>
        </w:tc>
      </w:tr>
      <w:tr>
        <w:tc>
          <w:tcPr>
            <w:tcW w:type="dxa" w:w="2800"/>
            <w:tcBorders>
              <w:top w:val="single" w:color="CCCCCC" w:sz="1"/>
              <w:left w:val="single" w:color="CCCCCC" w:sz="1"/>
              <w:bottom w:val="single" w:color="CCCCCC" w:sz="1"/>
              <w:right w:val="single" w:color="CCCCCC" w:sz="1"/>
            </w:tcBorders>
          </w:tcPr>
          <w:p>
            <w:r>
              <w:rPr>
                <w:b/>
                <w:bCs/>
              </w:rPr>
              <w:t xml:space="preserve">Frontend</w:t>
            </w:r>
          </w:p>
        </w:tc>
        <w:tc>
          <w:tcPr>
            <w:tcW w:type="dxa" w:w="3280"/>
            <w:tcBorders>
              <w:top w:val="single" w:color="CCCCCC" w:sz="1"/>
              <w:left w:val="single" w:color="CCCCCC" w:sz="1"/>
              <w:bottom w:val="single" w:color="CCCCCC" w:sz="1"/>
              <w:right w:val="single" w:color="CCCCCC" w:sz="1"/>
            </w:tcBorders>
          </w:tcPr>
          <w:p>
            <w:r>
              <w:t xml:space="preserve">Blazor WASM or Angular 17</w:t>
            </w:r>
          </w:p>
        </w:tc>
        <w:tc>
          <w:tcPr>
            <w:tcW w:type="dxa" w:w="3280"/>
            <w:tcBorders>
              <w:top w:val="single" w:color="CCCCCC" w:sz="1"/>
              <w:left w:val="single" w:color="CCCCCC" w:sz="1"/>
              <w:bottom w:val="single" w:color="CCCCCC" w:sz="1"/>
              <w:right w:val="single" w:color="CCCCCC" w:sz="1"/>
            </w:tcBorders>
          </w:tcPr>
          <w:p>
            <w:r>
              <w:t xml:space="preserve">SPA with RTL support</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Database</w:t>
            </w:r>
          </w:p>
        </w:tc>
        <w:tc>
          <w:tcPr>
            <w:tcW w:type="dxa" w:w="3280"/>
            <w:tcBorders>
              <w:top w:val="single" w:color="CCCCCC" w:sz="1"/>
              <w:left w:val="single" w:color="CCCCCC" w:sz="1"/>
              <w:bottom w:val="single" w:color="CCCCCC" w:sz="1"/>
              <w:right w:val="single" w:color="CCCCCC" w:sz="1"/>
            </w:tcBorders>
            <w:shd w:fill="F2F2F2" w:val="clear"/>
          </w:tcPr>
          <w:p>
            <w:r>
              <w:t xml:space="preserve">PostgreSQL 16 / SQL Server</w:t>
            </w:r>
          </w:p>
        </w:tc>
        <w:tc>
          <w:tcPr>
            <w:tcW w:type="dxa" w:w="3280"/>
            <w:tcBorders>
              <w:top w:val="single" w:color="CCCCCC" w:sz="1"/>
              <w:left w:val="single" w:color="CCCCCC" w:sz="1"/>
              <w:bottom w:val="single" w:color="CCCCCC" w:sz="1"/>
              <w:right w:val="single" w:color="CCCCCC" w:sz="1"/>
            </w:tcBorders>
            <w:shd w:fill="F2F2F2" w:val="clear"/>
          </w:tcPr>
          <w:p>
            <w:r>
              <w:t xml:space="preserve">Primary data storage</w:t>
            </w:r>
          </w:p>
        </w:tc>
      </w:tr>
      <w:tr>
        <w:tc>
          <w:tcPr>
            <w:tcW w:type="dxa" w:w="2800"/>
            <w:tcBorders>
              <w:top w:val="single" w:color="CCCCCC" w:sz="1"/>
              <w:left w:val="single" w:color="CCCCCC" w:sz="1"/>
              <w:bottom w:val="single" w:color="CCCCCC" w:sz="1"/>
              <w:right w:val="single" w:color="CCCCCC" w:sz="1"/>
            </w:tcBorders>
          </w:tcPr>
          <w:p>
            <w:r>
              <w:rPr>
                <w:b/>
                <w:bCs/>
              </w:rPr>
              <w:t xml:space="preserve">ORM</w:t>
            </w:r>
          </w:p>
        </w:tc>
        <w:tc>
          <w:tcPr>
            <w:tcW w:type="dxa" w:w="3280"/>
            <w:tcBorders>
              <w:top w:val="single" w:color="CCCCCC" w:sz="1"/>
              <w:left w:val="single" w:color="CCCCCC" w:sz="1"/>
              <w:bottom w:val="single" w:color="CCCCCC" w:sz="1"/>
              <w:right w:val="single" w:color="CCCCCC" w:sz="1"/>
            </w:tcBorders>
          </w:tcPr>
          <w:p>
            <w:r>
              <w:t xml:space="preserve">Entity Framework Core 8</w:t>
            </w:r>
          </w:p>
        </w:tc>
        <w:tc>
          <w:tcPr>
            <w:tcW w:type="dxa" w:w="3280"/>
            <w:tcBorders>
              <w:top w:val="single" w:color="CCCCCC" w:sz="1"/>
              <w:left w:val="single" w:color="CCCCCC" w:sz="1"/>
              <w:bottom w:val="single" w:color="CCCCCC" w:sz="1"/>
              <w:right w:val="single" w:color="CCCCCC" w:sz="1"/>
            </w:tcBorders>
          </w:tcPr>
          <w:p>
            <w:r>
              <w:t xml:space="preserve">Data access layer</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Messaging</w:t>
            </w:r>
          </w:p>
        </w:tc>
        <w:tc>
          <w:tcPr>
            <w:tcW w:type="dxa" w:w="3280"/>
            <w:tcBorders>
              <w:top w:val="single" w:color="CCCCCC" w:sz="1"/>
              <w:left w:val="single" w:color="CCCCCC" w:sz="1"/>
              <w:bottom w:val="single" w:color="CCCCCC" w:sz="1"/>
              <w:right w:val="single" w:color="CCCCCC" w:sz="1"/>
            </w:tcBorders>
            <w:shd w:fill="F2F2F2" w:val="clear"/>
          </w:tcPr>
          <w:p>
            <w:r>
              <w:t xml:space="preserve">RabbitMQ / Azure Service Bus</w:t>
            </w:r>
          </w:p>
        </w:tc>
        <w:tc>
          <w:tcPr>
            <w:tcW w:type="dxa" w:w="3280"/>
            <w:tcBorders>
              <w:top w:val="single" w:color="CCCCCC" w:sz="1"/>
              <w:left w:val="single" w:color="CCCCCC" w:sz="1"/>
              <w:bottom w:val="single" w:color="CCCCCC" w:sz="1"/>
              <w:right w:val="single" w:color="CCCCCC" w:sz="1"/>
            </w:tcBorders>
            <w:shd w:fill="F2F2F2" w:val="clear"/>
          </w:tcPr>
          <w:p>
            <w:r>
              <w:t xml:space="preserve">Async processing, events</w:t>
            </w:r>
          </w:p>
        </w:tc>
      </w:tr>
      <w:tr>
        <w:tc>
          <w:tcPr>
            <w:tcW w:type="dxa" w:w="2800"/>
            <w:tcBorders>
              <w:top w:val="single" w:color="CCCCCC" w:sz="1"/>
              <w:left w:val="single" w:color="CCCCCC" w:sz="1"/>
              <w:bottom w:val="single" w:color="CCCCCC" w:sz="1"/>
              <w:right w:val="single" w:color="CCCCCC" w:sz="1"/>
            </w:tcBorders>
          </w:tcPr>
          <w:p>
            <w:r>
              <w:rPr>
                <w:b/>
                <w:bCs/>
              </w:rPr>
              <w:t xml:space="preserve">Background Jobs</w:t>
            </w:r>
          </w:p>
        </w:tc>
        <w:tc>
          <w:tcPr>
            <w:tcW w:type="dxa" w:w="3280"/>
            <w:tcBorders>
              <w:top w:val="single" w:color="CCCCCC" w:sz="1"/>
              <w:left w:val="single" w:color="CCCCCC" w:sz="1"/>
              <w:bottom w:val="single" w:color="CCCCCC" w:sz="1"/>
              <w:right w:val="single" w:color="CCCCCC" w:sz="1"/>
            </w:tcBorders>
          </w:tcPr>
          <w:p>
            <w:r>
              <w:t xml:space="preserve">Hangfire / Quartz.NET</w:t>
            </w:r>
          </w:p>
        </w:tc>
        <w:tc>
          <w:tcPr>
            <w:tcW w:type="dxa" w:w="3280"/>
            <w:tcBorders>
              <w:top w:val="single" w:color="CCCCCC" w:sz="1"/>
              <w:left w:val="single" w:color="CCCCCC" w:sz="1"/>
              <w:bottom w:val="single" w:color="CCCCCC" w:sz="1"/>
              <w:right w:val="single" w:color="CCCCCC" w:sz="1"/>
            </w:tcBorders>
          </w:tcPr>
          <w:p>
            <w:r>
              <w:t xml:space="preserve">Scheduled compliance checks</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Search</w:t>
            </w:r>
          </w:p>
        </w:tc>
        <w:tc>
          <w:tcPr>
            <w:tcW w:type="dxa" w:w="3280"/>
            <w:tcBorders>
              <w:top w:val="single" w:color="CCCCCC" w:sz="1"/>
              <w:left w:val="single" w:color="CCCCCC" w:sz="1"/>
              <w:bottom w:val="single" w:color="CCCCCC" w:sz="1"/>
              <w:right w:val="single" w:color="CCCCCC" w:sz="1"/>
            </w:tcBorders>
            <w:shd w:fill="F2F2F2" w:val="clear"/>
          </w:tcPr>
          <w:p>
            <w:r>
              <w:t xml:space="preserve">Elasticsearch</w:t>
            </w:r>
          </w:p>
        </w:tc>
        <w:tc>
          <w:tcPr>
            <w:tcW w:type="dxa" w:w="3280"/>
            <w:tcBorders>
              <w:top w:val="single" w:color="CCCCCC" w:sz="1"/>
              <w:left w:val="single" w:color="CCCCCC" w:sz="1"/>
              <w:bottom w:val="single" w:color="CCCCCC" w:sz="1"/>
              <w:right w:val="single" w:color="CCCCCC" w:sz="1"/>
            </w:tcBorders>
            <w:shd w:fill="F2F2F2" w:val="clear"/>
          </w:tcPr>
          <w:p>
            <w:r>
              <w:t xml:space="preserve">Control search, Arabic full-text</w:t>
            </w:r>
          </w:p>
        </w:tc>
      </w:tr>
      <w:tr>
        <w:tc>
          <w:tcPr>
            <w:tcW w:type="dxa" w:w="2800"/>
            <w:tcBorders>
              <w:top w:val="single" w:color="CCCCCC" w:sz="1"/>
              <w:left w:val="single" w:color="CCCCCC" w:sz="1"/>
              <w:bottom w:val="single" w:color="CCCCCC" w:sz="1"/>
              <w:right w:val="single" w:color="CCCCCC" w:sz="1"/>
            </w:tcBorders>
          </w:tcPr>
          <w:p>
            <w:r>
              <w:rPr>
                <w:b/>
                <w:bCs/>
              </w:rPr>
              <w:t xml:space="preserve">Reporting</w:t>
            </w:r>
          </w:p>
        </w:tc>
        <w:tc>
          <w:tcPr>
            <w:tcW w:type="dxa" w:w="3280"/>
            <w:tcBorders>
              <w:top w:val="single" w:color="CCCCCC" w:sz="1"/>
              <w:left w:val="single" w:color="CCCCCC" w:sz="1"/>
              <w:bottom w:val="single" w:color="CCCCCC" w:sz="1"/>
              <w:right w:val="single" w:color="CCCCCC" w:sz="1"/>
            </w:tcBorders>
          </w:tcPr>
          <w:p>
            <w:r>
              <w:t xml:space="preserve">RDLC / Power BI Embedded</w:t>
            </w:r>
          </w:p>
        </w:tc>
        <w:tc>
          <w:tcPr>
            <w:tcW w:type="dxa" w:w="3280"/>
            <w:tcBorders>
              <w:top w:val="single" w:color="CCCCCC" w:sz="1"/>
              <w:left w:val="single" w:color="CCCCCC" w:sz="1"/>
              <w:bottom w:val="single" w:color="CCCCCC" w:sz="1"/>
              <w:right w:val="single" w:color="CCCCCC" w:sz="1"/>
            </w:tcBorders>
          </w:tcPr>
          <w:p>
            <w:r>
              <w:t xml:space="preserve">Regulatory reports, dashboards</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Container</w:t>
            </w:r>
          </w:p>
        </w:tc>
        <w:tc>
          <w:tcPr>
            <w:tcW w:type="dxa" w:w="3280"/>
            <w:tcBorders>
              <w:top w:val="single" w:color="CCCCCC" w:sz="1"/>
              <w:left w:val="single" w:color="CCCCCC" w:sz="1"/>
              <w:bottom w:val="single" w:color="CCCCCC" w:sz="1"/>
              <w:right w:val="single" w:color="CCCCCC" w:sz="1"/>
            </w:tcBorders>
            <w:shd w:fill="F2F2F2" w:val="clear"/>
          </w:tcPr>
          <w:p>
            <w:r>
              <w:t xml:space="preserve">Docker + Kubernetes</w:t>
            </w:r>
          </w:p>
        </w:tc>
        <w:tc>
          <w:tcPr>
            <w:tcW w:type="dxa" w:w="3280"/>
            <w:tcBorders>
              <w:top w:val="single" w:color="CCCCCC" w:sz="1"/>
              <w:left w:val="single" w:color="CCCCCC" w:sz="1"/>
              <w:bottom w:val="single" w:color="CCCCCC" w:sz="1"/>
              <w:right w:val="single" w:color="CCCCCC" w:sz="1"/>
            </w:tcBorders>
            <w:shd w:fill="F2F2F2" w:val="clear"/>
          </w:tcPr>
          <w:p>
            <w:r>
              <w:t xml:space="preserve">Microservices deployment</w:t>
            </w:r>
          </w:p>
        </w:tc>
      </w:tr>
      <w:tr>
        <w:tc>
          <w:tcPr>
            <w:tcW w:type="dxa" w:w="2800"/>
            <w:tcBorders>
              <w:top w:val="single" w:color="CCCCCC" w:sz="1"/>
              <w:left w:val="single" w:color="CCCCCC" w:sz="1"/>
              <w:bottom w:val="single" w:color="CCCCCC" w:sz="1"/>
              <w:right w:val="single" w:color="CCCCCC" w:sz="1"/>
            </w:tcBorders>
          </w:tcPr>
          <w:p>
            <w:r>
              <w:rPr>
                <w:b/>
                <w:bCs/>
              </w:rPr>
              <w:t xml:space="preserve">CI/CD</w:t>
            </w:r>
          </w:p>
        </w:tc>
        <w:tc>
          <w:tcPr>
            <w:tcW w:type="dxa" w:w="3280"/>
            <w:tcBorders>
              <w:top w:val="single" w:color="CCCCCC" w:sz="1"/>
              <w:left w:val="single" w:color="CCCCCC" w:sz="1"/>
              <w:bottom w:val="single" w:color="CCCCCC" w:sz="1"/>
              <w:right w:val="single" w:color="CCCCCC" w:sz="1"/>
            </w:tcBorders>
          </w:tcPr>
          <w:p>
            <w:r>
              <w:t xml:space="preserve">Azure DevOps / GitHub Actions</w:t>
            </w:r>
          </w:p>
        </w:tc>
        <w:tc>
          <w:tcPr>
            <w:tcW w:type="dxa" w:w="3280"/>
            <w:tcBorders>
              <w:top w:val="single" w:color="CCCCCC" w:sz="1"/>
              <w:left w:val="single" w:color="CCCCCC" w:sz="1"/>
              <w:bottom w:val="single" w:color="CCCCCC" w:sz="1"/>
              <w:right w:val="single" w:color="CCCCCC" w:sz="1"/>
            </w:tcBorders>
          </w:tcPr>
          <w:p>
            <w:r>
              <w:t xml:space="preserve">Automated deployments</w:t>
            </w:r>
          </w:p>
        </w:tc>
      </w:tr>
    </w:tbl>
    <w:p>
      <w:r>
        <w:br w:type="page"/>
      </w:r>
    </w:p>
    <w:p>
      <w:pPr>
        <w:pStyle w:val="Heading1"/>
      </w:pPr>
      <w:r>
        <w:t xml:space="preserve">12. Pre-Loaded Regulatory Data</w:t>
      </w:r>
    </w:p>
    <w:p>
      <w:pPr>
        <w:spacing w:after="200"/>
      </w:pPr>
      <w:r>
        <w:t xml:space="preserve">The platform includes 2,800+ production-ready controls from 50+ frameworks covering all Saudi regulators: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780"/>
        <w:gridCol w:w="308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Category</w:t>
            </w:r>
          </w:p>
        </w:tc>
        <w:tc>
          <w:tcPr>
            <w:tcW w:type="dxa" w:w="27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Frameworks</w:t>
            </w:r>
          </w:p>
        </w:tc>
        <w:tc>
          <w:tcPr>
            <w:tcW w:type="dxa" w:w="30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Controls</w:t>
            </w:r>
          </w:p>
        </w:tc>
      </w:tr>
      <w:tr>
        <w:tc>
          <w:tcPr>
            <w:tcW w:type="dxa" w:w="3500"/>
            <w:tcBorders>
              <w:top w:val="single" w:color="CCCCCC" w:sz="1"/>
              <w:left w:val="single" w:color="CCCCCC" w:sz="1"/>
              <w:bottom w:val="single" w:color="CCCCCC" w:sz="1"/>
              <w:right w:val="single" w:color="CCCCCC" w:sz="1"/>
            </w:tcBorders>
          </w:tcPr>
          <w:p>
            <w:r>
              <w:t xml:space="preserve">NCA Cybersecurity</w:t>
            </w:r>
          </w:p>
        </w:tc>
        <w:tc>
          <w:tcPr>
            <w:tcW w:type="dxa" w:w="2780"/>
            <w:tcBorders>
              <w:top w:val="single" w:color="CCCCCC" w:sz="1"/>
              <w:left w:val="single" w:color="CCCCCC" w:sz="1"/>
              <w:bottom w:val="single" w:color="CCCCCC" w:sz="1"/>
              <w:right w:val="single" w:color="CCCCCC" w:sz="1"/>
            </w:tcBorders>
          </w:tcPr>
          <w:p>
            <w:r>
              <w:t xml:space="preserve">NCA-ECC, NCA-CCC, NCA-OTCC</w:t>
            </w:r>
          </w:p>
        </w:tc>
        <w:tc>
          <w:tcPr>
            <w:tcW w:type="dxa" w:w="3080"/>
            <w:tcBorders>
              <w:top w:val="single" w:color="CCCCCC" w:sz="1"/>
              <w:left w:val="single" w:color="CCCCCC" w:sz="1"/>
              <w:bottom w:val="single" w:color="CCCCCC" w:sz="1"/>
              <w:right w:val="single" w:color="CCCCCC" w:sz="1"/>
            </w:tcBorders>
          </w:tcPr>
          <w:p>
            <w:r>
              <w:t xml:space="preserve">234 controls</w:t>
            </w:r>
          </w:p>
        </w:tc>
      </w:tr>
      <w:tr>
        <w:tc>
          <w:tcPr>
            <w:tcW w:type="dxa" w:w="3500"/>
            <w:tcBorders>
              <w:top w:val="single" w:color="CCCCCC" w:sz="1"/>
              <w:left w:val="single" w:color="CCCCCC" w:sz="1"/>
              <w:bottom w:val="single" w:color="CCCCCC" w:sz="1"/>
              <w:right w:val="single" w:color="CCCCCC" w:sz="1"/>
            </w:tcBorders>
            <w:shd w:fill="F2F2F2" w:val="clear"/>
          </w:tcPr>
          <w:p>
            <w:r>
              <w:t xml:space="preserve">Data Protection</w:t>
            </w:r>
          </w:p>
        </w:tc>
        <w:tc>
          <w:tcPr>
            <w:tcW w:type="dxa" w:w="2780"/>
            <w:tcBorders>
              <w:top w:val="single" w:color="CCCCCC" w:sz="1"/>
              <w:left w:val="single" w:color="CCCCCC" w:sz="1"/>
              <w:bottom w:val="single" w:color="CCCCCC" w:sz="1"/>
              <w:right w:val="single" w:color="CCCCCC" w:sz="1"/>
            </w:tcBorders>
            <w:shd w:fill="F2F2F2" w:val="clear"/>
          </w:tcPr>
          <w:p>
            <w:r>
              <w:t xml:space="preserve">PDPL, PDPL-IR, DGA</w:t>
            </w:r>
          </w:p>
        </w:tc>
        <w:tc>
          <w:tcPr>
            <w:tcW w:type="dxa" w:w="3080"/>
            <w:tcBorders>
              <w:top w:val="single" w:color="CCCCCC" w:sz="1"/>
              <w:left w:val="single" w:color="CCCCCC" w:sz="1"/>
              <w:bottom w:val="single" w:color="CCCCCC" w:sz="1"/>
              <w:right w:val="single" w:color="CCCCCC" w:sz="1"/>
            </w:tcBorders>
            <w:shd w:fill="F2F2F2" w:val="clear"/>
          </w:tcPr>
          <w:p>
            <w:r>
              <w:t xml:space="preserve">204 controls</w:t>
            </w:r>
          </w:p>
        </w:tc>
      </w:tr>
      <w:tr>
        <w:tc>
          <w:tcPr>
            <w:tcW w:type="dxa" w:w="3500"/>
            <w:tcBorders>
              <w:top w:val="single" w:color="CCCCCC" w:sz="1"/>
              <w:left w:val="single" w:color="CCCCCC" w:sz="1"/>
              <w:bottom w:val="single" w:color="CCCCCC" w:sz="1"/>
              <w:right w:val="single" w:color="CCCCCC" w:sz="1"/>
            </w:tcBorders>
          </w:tcPr>
          <w:p>
            <w:r>
              <w:t xml:space="preserve">Financial Sector (SAMA)</w:t>
            </w:r>
          </w:p>
        </w:tc>
        <w:tc>
          <w:tcPr>
            <w:tcW w:type="dxa" w:w="2780"/>
            <w:tcBorders>
              <w:top w:val="single" w:color="CCCCCC" w:sz="1"/>
              <w:left w:val="single" w:color="CCCCCC" w:sz="1"/>
              <w:bottom w:val="single" w:color="CCCCCC" w:sz="1"/>
              <w:right w:val="single" w:color="CCCCCC" w:sz="1"/>
            </w:tcBorders>
          </w:tcPr>
          <w:p>
            <w:r>
              <w:t xml:space="preserve">SAMA-CSF, AML, PSR</w:t>
            </w:r>
          </w:p>
        </w:tc>
        <w:tc>
          <w:tcPr>
            <w:tcW w:type="dxa" w:w="3080"/>
            <w:tcBorders>
              <w:top w:val="single" w:color="CCCCCC" w:sz="1"/>
              <w:left w:val="single" w:color="CCCCCC" w:sz="1"/>
              <w:bottom w:val="single" w:color="CCCCCC" w:sz="1"/>
              <w:right w:val="single" w:color="CCCCCC" w:sz="1"/>
            </w:tcBorders>
          </w:tcPr>
          <w:p>
            <w:r>
              <w:t xml:space="preserve">390 controls</w:t>
            </w:r>
          </w:p>
        </w:tc>
      </w:tr>
      <w:tr>
        <w:tc>
          <w:tcPr>
            <w:tcW w:type="dxa" w:w="3500"/>
            <w:tcBorders>
              <w:top w:val="single" w:color="CCCCCC" w:sz="1"/>
              <w:left w:val="single" w:color="CCCCCC" w:sz="1"/>
              <w:bottom w:val="single" w:color="CCCCCC" w:sz="1"/>
              <w:right w:val="single" w:color="CCCCCC" w:sz="1"/>
            </w:tcBorders>
            <w:shd w:fill="F2F2F2" w:val="clear"/>
          </w:tcPr>
          <w:p>
            <w:r>
              <w:t xml:space="preserve">Capital Markets (CMA)</w:t>
            </w:r>
          </w:p>
        </w:tc>
        <w:tc>
          <w:tcPr>
            <w:tcW w:type="dxa" w:w="2780"/>
            <w:tcBorders>
              <w:top w:val="single" w:color="CCCCCC" w:sz="1"/>
              <w:left w:val="single" w:color="CCCCCC" w:sz="1"/>
              <w:bottom w:val="single" w:color="CCCCCC" w:sz="1"/>
              <w:right w:val="single" w:color="CCCCCC" w:sz="1"/>
            </w:tcBorders>
            <w:shd w:fill="F2F2F2" w:val="clear"/>
          </w:tcPr>
          <w:p>
            <w:r>
              <w:t xml:space="preserve">CG, AML, IC, MC, Disc</w:t>
            </w:r>
          </w:p>
        </w:tc>
        <w:tc>
          <w:tcPr>
            <w:tcW w:type="dxa" w:w="3080"/>
            <w:tcBorders>
              <w:top w:val="single" w:color="CCCCCC" w:sz="1"/>
              <w:left w:val="single" w:color="CCCCCC" w:sz="1"/>
              <w:bottom w:val="single" w:color="CCCCCC" w:sz="1"/>
              <w:right w:val="single" w:color="CCCCCC" w:sz="1"/>
            </w:tcBorders>
            <w:shd w:fill="F2F2F2" w:val="clear"/>
          </w:tcPr>
          <w:p>
            <w:r>
              <w:t xml:space="preserve">291 controls</w:t>
            </w:r>
          </w:p>
        </w:tc>
      </w:tr>
      <w:tr>
        <w:tc>
          <w:tcPr>
            <w:tcW w:type="dxa" w:w="3500"/>
            <w:tcBorders>
              <w:top w:val="single" w:color="CCCCCC" w:sz="1"/>
              <w:left w:val="single" w:color="CCCCCC" w:sz="1"/>
              <w:bottom w:val="single" w:color="CCCCCC" w:sz="1"/>
              <w:right w:val="single" w:color="CCCCCC" w:sz="1"/>
            </w:tcBorders>
          </w:tcPr>
          <w:p>
            <w:r>
              <w:t xml:space="preserve">Healthcare (MOH, SFDA)</w:t>
            </w:r>
          </w:p>
        </w:tc>
        <w:tc>
          <w:tcPr>
            <w:tcW w:type="dxa" w:w="2780"/>
            <w:tcBorders>
              <w:top w:val="single" w:color="CCCCCC" w:sz="1"/>
              <w:left w:val="single" w:color="CCCCCC" w:sz="1"/>
              <w:bottom w:val="single" w:color="CCCCCC" w:sz="1"/>
              <w:right w:val="single" w:color="CCCCCC" w:sz="1"/>
            </w:tcBorders>
          </w:tcPr>
          <w:p>
            <w:r>
              <w:t xml:space="preserve">HIS, PS, QM, EMR, SFDA</w:t>
            </w:r>
          </w:p>
        </w:tc>
        <w:tc>
          <w:tcPr>
            <w:tcW w:type="dxa" w:w="3080"/>
            <w:tcBorders>
              <w:top w:val="single" w:color="CCCCCC" w:sz="1"/>
              <w:left w:val="single" w:color="CCCCCC" w:sz="1"/>
              <w:bottom w:val="single" w:color="CCCCCC" w:sz="1"/>
              <w:right w:val="single" w:color="CCCCCC" w:sz="1"/>
            </w:tcBorders>
          </w:tcPr>
          <w:p>
            <w:r>
              <w:t xml:space="preserve">458 controls</w:t>
            </w:r>
          </w:p>
        </w:tc>
      </w:tr>
      <w:tr>
        <w:tc>
          <w:tcPr>
            <w:tcW w:type="dxa" w:w="3500"/>
            <w:tcBorders>
              <w:top w:val="single" w:color="CCCCCC" w:sz="1"/>
              <w:left w:val="single" w:color="CCCCCC" w:sz="1"/>
              <w:bottom w:val="single" w:color="CCCCCC" w:sz="1"/>
              <w:right w:val="single" w:color="CCCCCC" w:sz="1"/>
            </w:tcBorders>
            <w:shd w:fill="F2F2F2" w:val="clear"/>
          </w:tcPr>
          <w:p>
            <w:r>
              <w:t xml:space="preserve">Tax &amp; Commerce</w:t>
            </w:r>
          </w:p>
        </w:tc>
        <w:tc>
          <w:tcPr>
            <w:tcW w:type="dxa" w:w="2780"/>
            <w:tcBorders>
              <w:top w:val="single" w:color="CCCCCC" w:sz="1"/>
              <w:left w:val="single" w:color="CCCCCC" w:sz="1"/>
              <w:bottom w:val="single" w:color="CCCCCC" w:sz="1"/>
              <w:right w:val="single" w:color="CCCCCC" w:sz="1"/>
            </w:tcBorders>
            <w:shd w:fill="F2F2F2" w:val="clear"/>
          </w:tcPr>
          <w:p>
            <w:r>
              <w:t xml:space="preserve">ZATCA, MOCI, VAT, WHT</w:t>
            </w:r>
          </w:p>
        </w:tc>
        <w:tc>
          <w:tcPr>
            <w:tcW w:type="dxa" w:w="3080"/>
            <w:tcBorders>
              <w:top w:val="single" w:color="CCCCCC" w:sz="1"/>
              <w:left w:val="single" w:color="CCCCCC" w:sz="1"/>
              <w:bottom w:val="single" w:color="CCCCCC" w:sz="1"/>
              <w:right w:val="single" w:color="CCCCCC" w:sz="1"/>
            </w:tcBorders>
            <w:shd w:fill="F2F2F2" w:val="clear"/>
          </w:tcPr>
          <w:p>
            <w:r>
              <w:t xml:space="preserve">225 controls</w:t>
            </w:r>
          </w:p>
        </w:tc>
      </w:tr>
      <w:tr>
        <w:tc>
          <w:tcPr>
            <w:tcW w:type="dxa" w:w="3500"/>
            <w:tcBorders>
              <w:top w:val="single" w:color="CCCCCC" w:sz="1"/>
              <w:left w:val="single" w:color="CCCCCC" w:sz="1"/>
              <w:bottom w:val="single" w:color="CCCCCC" w:sz="1"/>
              <w:right w:val="single" w:color="CCCCCC" w:sz="1"/>
            </w:tcBorders>
          </w:tcPr>
          <w:p>
            <w:r>
              <w:t xml:space="preserve">International Standards</w:t>
            </w:r>
          </w:p>
        </w:tc>
        <w:tc>
          <w:tcPr>
            <w:tcW w:type="dxa" w:w="2780"/>
            <w:tcBorders>
              <w:top w:val="single" w:color="CCCCCC" w:sz="1"/>
              <w:left w:val="single" w:color="CCCCCC" w:sz="1"/>
              <w:bottom w:val="single" w:color="CCCCCC" w:sz="1"/>
              <w:right w:val="single" w:color="CCCCCC" w:sz="1"/>
            </w:tcBorders>
          </w:tcPr>
          <w:p>
            <w:r>
              <w:t xml:space="preserve">ISO, NIST, PCI, SOC2, GDPR</w:t>
            </w:r>
          </w:p>
        </w:tc>
        <w:tc>
          <w:tcPr>
            <w:tcW w:type="dxa" w:w="3080"/>
            <w:tcBorders>
              <w:top w:val="single" w:color="CCCCCC" w:sz="1"/>
              <w:left w:val="single" w:color="CCCCCC" w:sz="1"/>
              <w:bottom w:val="single" w:color="CCCCCC" w:sz="1"/>
              <w:right w:val="single" w:color="CCCCCC" w:sz="1"/>
            </w:tcBorders>
          </w:tcPr>
          <w:p>
            <w:r>
              <w:t xml:space="preserve">614 controls</w:t>
            </w:r>
          </w:p>
        </w:tc>
      </w:tr>
      <w:tr>
        <w:tc>
          <w:tcPr>
            <w:tcW w:type="dxa" w:w="3500"/>
            <w:tcBorders>
              <w:top w:val="single" w:color="CCCCCC" w:sz="1"/>
              <w:left w:val="single" w:color="CCCCCC" w:sz="1"/>
              <w:bottom w:val="single" w:color="CCCCCC" w:sz="1"/>
              <w:right w:val="single" w:color="CCCCCC" w:sz="1"/>
            </w:tcBorders>
            <w:shd w:fill="F2F2F2" w:val="clear"/>
          </w:tcPr>
          <w:p>
            <w:r>
              <w:t xml:space="preserve">IoT Healthcare (GH-ICGA)</w:t>
            </w:r>
          </w:p>
        </w:tc>
        <w:tc>
          <w:tcPr>
            <w:tcW w:type="dxa" w:w="2780"/>
            <w:tcBorders>
              <w:top w:val="single" w:color="CCCCCC" w:sz="1"/>
              <w:left w:val="single" w:color="CCCCCC" w:sz="1"/>
              <w:bottom w:val="single" w:color="CCCCCC" w:sz="1"/>
              <w:right w:val="single" w:color="CCCCCC" w:sz="1"/>
            </w:tcBorders>
            <w:shd w:fill="F2F2F2" w:val="clear"/>
          </w:tcPr>
          <w:p>
            <w:r>
              <w:t xml:space="preserve">48 specialized controls</w:t>
            </w:r>
          </w:p>
        </w:tc>
        <w:tc>
          <w:tcPr>
            <w:tcW w:type="dxa" w:w="3080"/>
            <w:tcBorders>
              <w:top w:val="single" w:color="CCCCCC" w:sz="1"/>
              <w:left w:val="single" w:color="CCCCCC" w:sz="1"/>
              <w:bottom w:val="single" w:color="CCCCCC" w:sz="1"/>
              <w:right w:val="single" w:color="CCCCCC" w:sz="1"/>
            </w:tcBorders>
            <w:shd w:fill="F2F2F2" w:val="clear"/>
          </w:tcPr>
          <w:p>
            <w:r>
              <w:t xml:space="preserve">48 controls</w:t>
            </w:r>
          </w:p>
        </w:tc>
      </w:tr>
    </w:tbl>
    <w:p>
      <w:pPr>
        <w:spacing w:before="300"/>
      </w:pPr>
      <w:r>
        <w:rPr>
          <w:b/>
          <w:bCs/>
        </w:rPr>
        <w:t xml:space="preserve">Total: 2,800+ controls across 50+ frameworks from 33 Saudi regulatory authorities.</w:t>
      </w:r>
    </w:p>
    <w:p>
      <w:r>
        <w:br w:type="page"/>
      </w:r>
    </w:p>
    <w:p>
      <w:pPr>
        <w:pStyle w:val="Heading1"/>
      </w:pPr>
      <w:r>
        <w:t xml:space="preserve">13. Implementation Roadmap</w:t>
      </w:r>
    </w:p>
    <w:p>
      <w:pPr>
        <w:pStyle w:val="Heading2"/>
      </w:pPr>
      <w:r>
        <w:t xml:space="preserve">Phase 1: Foundation (Months 1-3)</w:t>
      </w:r>
    </w:p>
    <w:p>
      <w:pPr>
        <w:pStyle w:val="ListParagraph"/>
        <w:numPr>
          <w:ilvl w:val="0"/>
          <w:numId w:val="2"/>
        </w:numPr>
      </w:pPr>
      <w:r>
        <w:t xml:space="preserve">ABP.io solution setup with multi-tenancy configuration</w:t>
      </w:r>
    </w:p>
    <w:p>
      <w:pPr>
        <w:pStyle w:val="ListParagraph"/>
        <w:numPr>
          <w:ilvl w:val="0"/>
          <w:numId w:val="2"/>
        </w:numPr>
      </w:pPr>
      <w:r>
        <w:t xml:space="preserve">Core domain models and database schema</w:t>
      </w:r>
    </w:p>
    <w:p>
      <w:pPr>
        <w:pStyle w:val="ListParagraph"/>
        <w:numPr>
          <w:ilvl w:val="0"/>
          <w:numId w:val="2"/>
        </w:numPr>
      </w:pPr>
      <w:r>
        <w:t xml:space="preserve">Import 2,800+ controls from production data files</w:t>
      </w:r>
    </w:p>
    <w:p>
      <w:pPr>
        <w:pStyle w:val="ListParagraph"/>
        <w:numPr>
          <w:ilvl w:val="0"/>
          <w:numId w:val="2"/>
        </w:numPr>
      </w:pPr>
      <w:r>
        <w:t xml:space="preserve">Basic user management and authentication</w:t>
      </w:r>
    </w:p>
    <w:p>
      <w:pPr>
        <w:pStyle w:val="Heading2"/>
        <w:spacing w:before="300"/>
      </w:pPr>
      <w:r>
        <w:t xml:space="preserve">Phase 2: Compliance Core (Months 4-6)</w:t>
      </w:r>
    </w:p>
    <w:p>
      <w:pPr>
        <w:pStyle w:val="ListParagraph"/>
        <w:numPr>
          <w:ilvl w:val="0"/>
          <w:numId w:val="2"/>
        </w:numPr>
      </w:pPr>
      <w:r>
        <w:t xml:space="preserve">Framework selection and control assignment modules</w:t>
      </w:r>
    </w:p>
    <w:p>
      <w:pPr>
        <w:pStyle w:val="ListParagraph"/>
        <w:numPr>
          <w:ilvl w:val="0"/>
          <w:numId w:val="2"/>
        </w:numPr>
      </w:pPr>
      <w:r>
        <w:t xml:space="preserve">Evidence management and upload functionality</w:t>
      </w:r>
    </w:p>
    <w:p>
      <w:pPr>
        <w:pStyle w:val="ListParagraph"/>
        <w:numPr>
          <w:ilvl w:val="0"/>
          <w:numId w:val="2"/>
        </w:numPr>
      </w:pPr>
      <w:r>
        <w:t xml:space="preserve">Assessment workflow and scoring engine</w:t>
      </w:r>
    </w:p>
    <w:p>
      <w:pPr>
        <w:pStyle w:val="ListParagraph"/>
        <w:numPr>
          <w:ilvl w:val="0"/>
          <w:numId w:val="2"/>
        </w:numPr>
      </w:pPr>
      <w:r>
        <w:t xml:space="preserve">Arabic/English UI with RTL support</w:t>
      </w:r>
    </w:p>
    <w:p>
      <w:pPr>
        <w:pStyle w:val="Heading2"/>
        <w:spacing w:before="300"/>
      </w:pPr>
      <w:r>
        <w:t xml:space="preserve">Phase 3: Integration &amp; Reporting (Months 7-9)</w:t>
      </w:r>
    </w:p>
    <w:p>
      <w:pPr>
        <w:pStyle w:val="ListParagraph"/>
        <w:numPr>
          <w:ilvl w:val="0"/>
          <w:numId w:val="2"/>
        </w:numPr>
      </w:pPr>
      <w:r>
        <w:t xml:space="preserve">ZATCA e-invoicing integration</w:t>
      </w:r>
    </w:p>
    <w:p>
      <w:pPr>
        <w:pStyle w:val="ListParagraph"/>
        <w:numPr>
          <w:ilvl w:val="0"/>
          <w:numId w:val="2"/>
        </w:numPr>
      </w:pPr>
      <w:r>
        <w:t xml:space="preserve">NCA RASID portal integration</w:t>
      </w:r>
    </w:p>
    <w:p>
      <w:pPr>
        <w:pStyle w:val="ListParagraph"/>
        <w:numPr>
          <w:ilvl w:val="0"/>
          <w:numId w:val="2"/>
        </w:numPr>
      </w:pPr>
      <w:r>
        <w:t xml:space="preserve">Automated compliance reporting</w:t>
      </w:r>
    </w:p>
    <w:p>
      <w:pPr>
        <w:pStyle w:val="ListParagraph"/>
        <w:numPr>
          <w:ilvl w:val="0"/>
          <w:numId w:val="2"/>
        </w:numPr>
      </w:pPr>
      <w:r>
        <w:t xml:space="preserve">Dashboard and analytics</w:t>
      </w:r>
    </w:p>
    <w:p>
      <w:pPr>
        <w:pStyle w:val="Heading2"/>
        <w:spacing w:before="300"/>
      </w:pPr>
      <w:r>
        <w:t xml:space="preserve">Phase 4: Advanced Features (Months 10-12)</w:t>
      </w:r>
    </w:p>
    <w:p>
      <w:pPr>
        <w:pStyle w:val="ListParagraph"/>
        <w:numPr>
          <w:ilvl w:val="0"/>
          <w:numId w:val="2"/>
        </w:numPr>
      </w:pPr>
      <w:r>
        <w:t xml:space="preserve">IoT/Healthcare module deployment</w:t>
      </w:r>
    </w:p>
    <w:p>
      <w:pPr>
        <w:pStyle w:val="ListParagraph"/>
        <w:numPr>
          <w:ilvl w:val="0"/>
          <w:numId w:val="2"/>
        </w:numPr>
      </w:pPr>
      <w:r>
        <w:t xml:space="preserve">Risk management module</w:t>
      </w:r>
    </w:p>
    <w:p>
      <w:pPr>
        <w:pStyle w:val="ListParagraph"/>
        <w:numPr>
          <w:ilvl w:val="0"/>
          <w:numId w:val="2"/>
        </w:numPr>
      </w:pPr>
      <w:r>
        <w:t xml:space="preserve">External consultant/auditor portals</w:t>
      </w:r>
    </w:p>
    <w:p>
      <w:pPr>
        <w:pStyle w:val="ListParagraph"/>
        <w:numPr>
          <w:ilvl w:val="0"/>
          <w:numId w:val="2"/>
        </w:numPr>
      </w:pPr>
      <w:r>
        <w:t xml:space="preserve">AI-assisted compliance recommendations</w:t>
      </w:r>
    </w:p>
    <w:p>
      <w:pPr>
        <w:spacing w:before="400"/>
      </w:pPr>
      <w:r>
        <w:rPr>
          <w:i/>
          <w:iCs/>
        </w:rPr>
        <w:t xml:space="preserve">This architecture enables Saudi organizations to perform end-to-end GRC processes with continuous, authenticated, mechanized reporting to regulators - fully aligned with Vision 2030 digital transformation goals.</w:t>
      </w:r>
    </w:p>
    <w:p>
      <w:pPr>
        <w:spacing w:before="300"/>
        <w:jc w:val="center"/>
      </w:pPr>
      <w:r>
        <w:rPr>
          <w:b/>
          <w:bCs/>
          <w:color w:val="1F4E79"/>
        </w:rPr>
        <w:t xml:space="preserve">— End of Architecture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ABP.io GRC Platform Architecture - Saudi Arabia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2025-12-20T12:13:38.125Z</dcterms:created>
  <dcterms:modified xsi:type="dcterms:W3CDTF">2025-12-20T12:13:38.126Z</dcterms:modified>
</cp:coreProperties>
</file>

<file path=docProps/custom.xml><?xml version="1.0" encoding="utf-8"?>
<Properties xmlns="http://schemas.openxmlformats.org/officeDocument/2006/custom-properties" xmlns:vt="http://schemas.openxmlformats.org/officeDocument/2006/docPropsVTypes"/>
</file>