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9B019" w14:textId="77777777" w:rsidR="0013499B" w:rsidRDefault="00D80009">
      <w:pPr>
        <w:spacing w:after="60"/>
      </w:pPr>
      <w:r>
        <w:rPr>
          <w:b/>
          <w:bCs/>
          <w:color w:val="1F3864"/>
          <w:sz w:val="34"/>
          <w:szCs w:val="34"/>
        </w:rPr>
        <w:t>Huanglong Palace Hotel — Renovation Project</w:t>
      </w:r>
    </w:p>
    <w:p w14:paraId="0E59B01A" w14:textId="77777777" w:rsidR="0013499B" w:rsidRDefault="00D80009">
      <w:pPr>
        <w:spacing w:after="240"/>
      </w:pPr>
      <w:r>
        <w:rPr>
          <w:color w:val="2E5FA3"/>
          <w:sz w:val="24"/>
          <w:szCs w:val="24"/>
        </w:rPr>
        <w:t xml:space="preserve">Site Progress &amp; Defect Inspection </w:t>
      </w:r>
      <w:proofErr w:type="gramStart"/>
      <w:r>
        <w:rPr>
          <w:color w:val="2E5FA3"/>
          <w:sz w:val="24"/>
          <w:szCs w:val="24"/>
        </w:rPr>
        <w:t>Report  ·</w:t>
      </w:r>
      <w:proofErr w:type="gramEnd"/>
      <w:r>
        <w:rPr>
          <w:color w:val="2E5FA3"/>
          <w:sz w:val="24"/>
          <w:szCs w:val="24"/>
        </w:rPr>
        <w:t xml:space="preserve">  Q4 2024</w:t>
      </w:r>
    </w:p>
    <w:p w14:paraId="0E59B01B" w14:textId="77777777" w:rsidR="0013499B" w:rsidRPr="00D80009" w:rsidRDefault="00D80009">
      <w:pPr>
        <w:spacing w:after="160"/>
      </w:pPr>
      <w:r w:rsidRPr="00D80009">
        <w:t>The Huanglong Palace Hotel renovation project (contract reference HPR-2024-031, total contract value CNY 48,750,000, equivalent to approximately EUR 6,230,000) reached an overall completion level of 71% as of 31 October 2024, against a programme target of 74% for the same date. The site covers a gross internal floor area of 8,640 m² across three levels, and the current reporting period runs from 1 October to 31 October 2024. Budget draw-down to date stands at CNY 33,420,000, representing 68.5% of the contra</w:t>
      </w:r>
      <w:r w:rsidRPr="00D80009">
        <w:t>ct value. The forecast final cost remains within the approved contingency envelope of CNY 2,100,000, although this position is under pressure from several unresolved defect items described in detail below.</w:t>
      </w:r>
    </w:p>
    <w:p w14:paraId="0E59B01C" w14:textId="77777777" w:rsidR="0013499B" w:rsidRPr="00D80009" w:rsidRDefault="00D80009">
      <w:pPr>
        <w:spacing w:after="160"/>
      </w:pPr>
      <w:r w:rsidRPr="00D80009">
        <w:t xml:space="preserve">All fifteen rooms on the ground floor plan were inspected during the week of 4–8 November 2024. </w:t>
      </w:r>
      <w:proofErr w:type="gramStart"/>
      <w:r w:rsidRPr="00D80009">
        <w:t>The majority of</w:t>
      </w:r>
      <w:proofErr w:type="gramEnd"/>
      <w:r w:rsidRPr="00D80009">
        <w:t xml:space="preserve"> spaces are progressing well. The Main Lobby is 88% complete, with the feature chandelier commissioned and tested on 1 November and the reception counter stonework finished to an excellent standard — no defects were recorded in this room. The Banquet Hall, the largest and highest-value space on the project at 580 m², reached 83% completion and drew positive feedback from the client during a preview walkthrough on 4 November; the decorative ceiling works were noted as being of exceptional qual</w:t>
      </w:r>
      <w:r w:rsidRPr="00D80009">
        <w:t xml:space="preserve">ity, and the sprinkler system was pressure-tested and certified on 29 October. The Courtyard is 96% complete and considered ready for client inspection, with drainage, planting, and irrigation all signed off. The Tea Room achieved an acoustic performance of </w:t>
      </w:r>
      <w:proofErr w:type="spellStart"/>
      <w:r w:rsidRPr="00D80009">
        <w:t>Rw</w:t>
      </w:r>
      <w:proofErr w:type="spellEnd"/>
      <w:r w:rsidRPr="00D80009">
        <w:t xml:space="preserve"> 47dB against a target of </w:t>
      </w:r>
      <w:proofErr w:type="spellStart"/>
      <w:r w:rsidRPr="00D80009">
        <w:t>Rw</w:t>
      </w:r>
      <w:proofErr w:type="spellEnd"/>
      <w:r w:rsidRPr="00D80009">
        <w:t xml:space="preserve"> 45dB, a result the project team regards as a positive outcome. The Entrance Lobby, Service Desk, Platform, Entertainment Room, and Overhead Passage are all advancing without critical issues, with only minor snagging items r</w:t>
      </w:r>
      <w:r w:rsidRPr="00D80009">
        <w:t>ecorded.</w:t>
      </w:r>
    </w:p>
    <w:p w14:paraId="0E59B01D" w14:textId="77777777" w:rsidR="0013499B" w:rsidRPr="00D80009" w:rsidRDefault="00D80009">
      <w:pPr>
        <w:spacing w:after="160"/>
      </w:pPr>
      <w:r w:rsidRPr="00D80009">
        <w:t xml:space="preserve">However, four spaces are currently carrying critical defect notices that must be resolved before practical completion can be certified, and it is these areas that represent the principal risk to both the programme and the project budget. The first is the </w:t>
      </w:r>
      <w:r w:rsidRPr="00D80009">
        <w:t>Small Dining Room</w:t>
      </w:r>
      <w:r w:rsidRPr="00D80009">
        <w:t>, where the mechanical ventilation installation has been found non-compliant with design specification HPR-M-09 and with national code GB50736-2012. The air change rate measured on site is 4.2 ACH against a required minimum of 8.0 ACH, a shortfall caused by the subcontractor installing a Daikin VAM500FC unit in place of the specified VAM1000FC. Replacement units have been ordered but carry a lead time of six to eight weeks from the Shanghai warehouse. The contract milestone for practical co</w:t>
      </w:r>
      <w:r w:rsidRPr="00D80009">
        <w:t>mpletion of this space, originally set for 30 October 2024, is now forecast no earlier than 20 December, with liquidated damages accruing at CNY 4,500 per day; cumulative exposure at the report date stands at CNY 18,000. The screed in this room also shows cracking across approximately 22 m², with crack widths of 0.4 to 1.1 mm, consistent with inadequate curing time, and full replacement of the screed layer is recommended before the final floor finish is laid.</w:t>
      </w:r>
    </w:p>
    <w:p w14:paraId="0E59B01E" w14:textId="77777777" w:rsidR="0013499B" w:rsidRPr="00D80009" w:rsidRDefault="00D80009">
      <w:pPr>
        <w:spacing w:after="160"/>
      </w:pPr>
      <w:r w:rsidRPr="00D80009">
        <w:t xml:space="preserve">The second critical space is the </w:t>
      </w:r>
      <w:r w:rsidRPr="00D80009">
        <w:t>Kitchen</w:t>
      </w:r>
      <w:r w:rsidRPr="00D80009">
        <w:t>, where extensive moisture damage has been identified across the floor slab and lower wall zones. Water ingress has been confirmed as originating from a failed waterproof membrane at the junction of the drainage channel and the main floor slab, installed by Chengdu Waterproofing Solutions on 14 June 2024 under invoice reference CWS-2024-0441 at a value of CNY 192,000. Moisture content readings taken on 7 November recorded values of 38 to 52% in at least three locations, against a specification maximu</w:t>
      </w:r>
      <w:r w:rsidRPr="00D80009">
        <w:t>m of 5%. All equipment installation has been suspended pending a structural engineer's report due on 14 November. The worst-case remediation cost is estimated at CNY 340,000, and programme impact is assessed at fourteen to eighteen working days. Insurance notification has been submitted under claim reference PICC-HPR-2024-1107. Separately, the gas supply rough-in to cooking positions 3 and 4 does not match approved layout drawing HPR-P-07 Rev. 1, and remedial re-routing is estimated at a further CNY 23,500.</w:t>
      </w:r>
    </w:p>
    <w:p w14:paraId="0E59B01F" w14:textId="77777777" w:rsidR="0013499B" w:rsidRPr="00D80009" w:rsidRDefault="00D80009">
      <w:pPr>
        <w:spacing w:after="160"/>
      </w:pPr>
      <w:r w:rsidRPr="00D80009">
        <w:t xml:space="preserve">The third area of critical concern is the </w:t>
      </w:r>
      <w:r w:rsidRPr="00D80009">
        <w:t>Salon</w:t>
      </w:r>
      <w:r w:rsidRPr="00D80009">
        <w:t xml:space="preserve">, where the electrical installation failed its first-fix inspection on 7 November. Three non-compliances were identified: the isolator switch position for the basin unit does not meet the minimum clearance requirements of GB 16895.15; earthing continuity between the main bonding conductor and the metal sink unit is entirely absent, which the approved inspector has classified as a Category A dangerous fault; and the cable </w:t>
      </w:r>
      <w:r w:rsidRPr="00D80009">
        <w:lastRenderedPageBreak/>
        <w:t>containment in the ceiling void uses an unapproved tray type not listed on the app</w:t>
      </w:r>
      <w:r w:rsidRPr="00D80009">
        <w:t xml:space="preserve">roved materials schedule. Electrical works have been red-tagged and must not be energised until a full remediation plan is submitted and approved by 14 November. Estimated remediation cost is CNY 64,000 including re-inspection fees, and the programme impact is a minimum of ten working days, with knock-on effects to tiling and fit-out works that cannot proceed until </w:t>
      </w:r>
      <w:proofErr w:type="gramStart"/>
      <w:r w:rsidRPr="00D80009">
        <w:t>first-fix</w:t>
      </w:r>
      <w:proofErr w:type="gramEnd"/>
      <w:r w:rsidRPr="00D80009">
        <w:t xml:space="preserve"> is signed off. This space sits on the critical path for the overall programme.</w:t>
      </w:r>
    </w:p>
    <w:p w14:paraId="0E59B020" w14:textId="77777777" w:rsidR="0013499B" w:rsidRPr="00D80009" w:rsidRDefault="00D80009">
      <w:pPr>
        <w:spacing w:after="160"/>
      </w:pPr>
      <w:r w:rsidRPr="00D80009">
        <w:t xml:space="preserve">The fourth and most urgent critical issue concerns the </w:t>
      </w:r>
      <w:r w:rsidRPr="00D80009">
        <w:t>Main Entrance</w:t>
      </w:r>
      <w:r w:rsidRPr="00D80009">
        <w:t>, where a crack of 3.2 mm width and approximately 1.4 metres in length has been identified in the reinforced concrete canopy beam above the entrance doors. The crack runs diagonally from the east bearing point at roughly 45 degrees, consistent with shear stress rather than settlement. Professor Li Wei of Sichuan University's Civil Engineering Department attended site on 8 November and has classified the crack as requiring immediate investigation. Temporary propping is to be installed by 12 Nove</w:t>
      </w:r>
      <w:r w:rsidRPr="00D80009">
        <w:t xml:space="preserve">mber, and monitoring studs have been placed on either side of the crack; the baseline reading taken on 8 November was 3.21 mm, with a second reading due on 12 November. If widening is recorded, temporary closure of the entrance will be required. The estimated investigation and remediation cost ranges from CNY 220,000 to CNY 480,000 depending on the outcome of the structural assessment. The matter has been escalated to the project </w:t>
      </w:r>
      <w:proofErr w:type="gramStart"/>
      <w:r w:rsidRPr="00D80009">
        <w:t>director</w:t>
      </w:r>
      <w:proofErr w:type="gramEnd"/>
      <w:r w:rsidRPr="00D80009">
        <w:t xml:space="preserve"> and an emergency board meeting is scheduled for 11 November at 09:00 </w:t>
      </w:r>
      <w:r w:rsidRPr="00D80009">
        <w:t>CST. The total estimated value at risk across all open defect items is CNY 1,285,000.</w:t>
      </w:r>
    </w:p>
    <w:p w14:paraId="0E59B021" w14:textId="77777777" w:rsidR="0013499B" w:rsidRPr="00D80009" w:rsidRDefault="00D80009">
      <w:r w:rsidRPr="00D80009">
        <w:t xml:space="preserve">In summary, the four spaces requiring urgent attention are the </w:t>
      </w:r>
      <w:r w:rsidRPr="00D80009">
        <w:t>Small Dining Room</w:t>
      </w:r>
      <w:r w:rsidRPr="00D80009">
        <w:t xml:space="preserve">, the </w:t>
      </w:r>
      <w:r w:rsidRPr="00D80009">
        <w:t>Kitchen</w:t>
      </w:r>
      <w:r w:rsidRPr="00D80009">
        <w:t xml:space="preserve">, the </w:t>
      </w:r>
      <w:r w:rsidRPr="00D80009">
        <w:t>Salon</w:t>
      </w:r>
      <w:r w:rsidRPr="00D80009">
        <w:t xml:space="preserve">, and the </w:t>
      </w:r>
      <w:r w:rsidRPr="00D80009">
        <w:t>Main Entrance</w:t>
      </w:r>
      <w:r w:rsidRPr="00D80009">
        <w:t>. The project team is requested to treat these as the highest priority for the period leading up to the next inspection visit, scheduled for 2–6 December 2024. All other areas are progressing within acceptable tolerances and do not require escalation at this stage.</w:t>
      </w:r>
    </w:p>
    <w:sectPr w:rsidR="0013499B" w:rsidRPr="00D80009">
      <w:headerReference w:type="default" r:id="rId7"/>
      <w:footerReference w:type="default" r:id="rId8"/>
      <w:pgSz w:w="11906" w:h="16838"/>
      <w:pgMar w:top="11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9B028" w14:textId="77777777" w:rsidR="00D80009" w:rsidRDefault="00D80009">
      <w:r>
        <w:separator/>
      </w:r>
    </w:p>
  </w:endnote>
  <w:endnote w:type="continuationSeparator" w:id="0">
    <w:p w14:paraId="0E59B02A" w14:textId="77777777" w:rsidR="00D80009" w:rsidRDefault="00D80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9B023" w14:textId="77777777" w:rsidR="0013499B" w:rsidRDefault="00D80009">
    <w:pPr>
      <w:pBdr>
        <w:top w:val="single" w:sz="4" w:space="1" w:color="2E5FA3"/>
      </w:pBdr>
      <w:spacing w:before="80"/>
    </w:pPr>
    <w:r>
      <w:rPr>
        <w:color w:val="999999"/>
        <w:sz w:val="17"/>
        <w:szCs w:val="17"/>
      </w:rPr>
      <w:t xml:space="preserve">Thornfield &amp; </w:t>
    </w:r>
    <w:proofErr w:type="gramStart"/>
    <w:r>
      <w:rPr>
        <w:color w:val="999999"/>
        <w:sz w:val="17"/>
        <w:szCs w:val="17"/>
      </w:rPr>
      <w:t>Associates  |</w:t>
    </w:r>
    <w:proofErr w:type="gramEnd"/>
    <w:r>
      <w:rPr>
        <w:color w:val="999999"/>
        <w:sz w:val="17"/>
        <w:szCs w:val="17"/>
      </w:rPr>
      <w:t xml:space="preserve">  Resident Engineer: D. </w:t>
    </w:r>
    <w:proofErr w:type="gramStart"/>
    <w:r>
      <w:rPr>
        <w:color w:val="999999"/>
        <w:sz w:val="17"/>
        <w:szCs w:val="17"/>
      </w:rPr>
      <w:t>Marcussen  |</w:t>
    </w:r>
    <w:proofErr w:type="gramEnd"/>
    <w:r>
      <w:rPr>
        <w:color w:val="999999"/>
        <w:sz w:val="17"/>
        <w:szCs w:val="17"/>
      </w:rPr>
      <w:t xml:space="preserve">  For internal distribution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9B024" w14:textId="77777777" w:rsidR="00D80009" w:rsidRDefault="00D80009">
      <w:r>
        <w:separator/>
      </w:r>
    </w:p>
  </w:footnote>
  <w:footnote w:type="continuationSeparator" w:id="0">
    <w:p w14:paraId="0E59B026" w14:textId="77777777" w:rsidR="00D80009" w:rsidRDefault="00D800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9B022" w14:textId="77777777" w:rsidR="0013499B" w:rsidRDefault="00D80009">
    <w:pPr>
      <w:pBdr>
        <w:bottom w:val="single" w:sz="4" w:space="1" w:color="2E5FA3"/>
      </w:pBdr>
      <w:spacing w:after="80"/>
    </w:pPr>
    <w:proofErr w:type="gramStart"/>
    <w:r>
      <w:rPr>
        <w:color w:val="777777"/>
        <w:sz w:val="17"/>
        <w:szCs w:val="17"/>
      </w:rPr>
      <w:t>CONFIDENTIAL  —</w:t>
    </w:r>
    <w:proofErr w:type="gramEnd"/>
    <w:r>
      <w:rPr>
        <w:color w:val="777777"/>
        <w:sz w:val="17"/>
        <w:szCs w:val="17"/>
      </w:rPr>
      <w:t xml:space="preserve">  Huanglong Palace </w:t>
    </w:r>
    <w:proofErr w:type="gramStart"/>
    <w:r>
      <w:rPr>
        <w:color w:val="777777"/>
        <w:sz w:val="17"/>
        <w:szCs w:val="17"/>
      </w:rPr>
      <w:t>Hotel  —</w:t>
    </w:r>
    <w:proofErr w:type="gramEnd"/>
    <w:r>
      <w:rPr>
        <w:color w:val="777777"/>
        <w:sz w:val="17"/>
        <w:szCs w:val="17"/>
      </w:rPr>
      <w:t xml:space="preserve">  Site Inspection </w:t>
    </w:r>
    <w:proofErr w:type="gramStart"/>
    <w:r>
      <w:rPr>
        <w:color w:val="777777"/>
        <w:sz w:val="17"/>
        <w:szCs w:val="17"/>
      </w:rPr>
      <w:t>Report  |</w:t>
    </w:r>
    <w:proofErr w:type="gramEnd"/>
    <w:r>
      <w:rPr>
        <w:color w:val="777777"/>
        <w:sz w:val="17"/>
        <w:szCs w:val="17"/>
      </w:rPr>
      <w:t xml:space="preserve">  HPR-2024-</w:t>
    </w:r>
    <w:proofErr w:type="gramStart"/>
    <w:r>
      <w:rPr>
        <w:color w:val="777777"/>
        <w:sz w:val="17"/>
        <w:szCs w:val="17"/>
      </w:rPr>
      <w:t>031  |</w:t>
    </w:r>
    <w:proofErr w:type="gramEnd"/>
    <w:r>
      <w:rPr>
        <w:color w:val="777777"/>
        <w:sz w:val="17"/>
        <w:szCs w:val="17"/>
      </w:rPr>
      <w:t xml:space="preserve">  14 November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52EDA"/>
    <w:multiLevelType w:val="hybridMultilevel"/>
    <w:tmpl w:val="A1723318"/>
    <w:lvl w:ilvl="0" w:tplc="8CA04D94">
      <w:start w:val="1"/>
      <w:numFmt w:val="bullet"/>
      <w:lvlText w:val="●"/>
      <w:lvlJc w:val="left"/>
      <w:pPr>
        <w:ind w:left="720" w:hanging="360"/>
      </w:pPr>
    </w:lvl>
    <w:lvl w:ilvl="1" w:tplc="7C5C67DA">
      <w:start w:val="1"/>
      <w:numFmt w:val="bullet"/>
      <w:lvlText w:val="○"/>
      <w:lvlJc w:val="left"/>
      <w:pPr>
        <w:ind w:left="1440" w:hanging="360"/>
      </w:pPr>
    </w:lvl>
    <w:lvl w:ilvl="2" w:tplc="9328F828">
      <w:start w:val="1"/>
      <w:numFmt w:val="bullet"/>
      <w:lvlText w:val="■"/>
      <w:lvlJc w:val="left"/>
      <w:pPr>
        <w:ind w:left="2160" w:hanging="360"/>
      </w:pPr>
    </w:lvl>
    <w:lvl w:ilvl="3" w:tplc="B66A84E8">
      <w:start w:val="1"/>
      <w:numFmt w:val="bullet"/>
      <w:lvlText w:val="●"/>
      <w:lvlJc w:val="left"/>
      <w:pPr>
        <w:ind w:left="2880" w:hanging="360"/>
      </w:pPr>
    </w:lvl>
    <w:lvl w:ilvl="4" w:tplc="4E440BE2">
      <w:start w:val="1"/>
      <w:numFmt w:val="bullet"/>
      <w:lvlText w:val="○"/>
      <w:lvlJc w:val="left"/>
      <w:pPr>
        <w:ind w:left="3600" w:hanging="360"/>
      </w:pPr>
    </w:lvl>
    <w:lvl w:ilvl="5" w:tplc="51FCADAE">
      <w:start w:val="1"/>
      <w:numFmt w:val="bullet"/>
      <w:lvlText w:val="■"/>
      <w:lvlJc w:val="left"/>
      <w:pPr>
        <w:ind w:left="4320" w:hanging="360"/>
      </w:pPr>
    </w:lvl>
    <w:lvl w:ilvl="6" w:tplc="5F0A5EE2">
      <w:start w:val="1"/>
      <w:numFmt w:val="bullet"/>
      <w:lvlText w:val="●"/>
      <w:lvlJc w:val="left"/>
      <w:pPr>
        <w:ind w:left="5040" w:hanging="360"/>
      </w:pPr>
    </w:lvl>
    <w:lvl w:ilvl="7" w:tplc="97A402B6">
      <w:start w:val="1"/>
      <w:numFmt w:val="bullet"/>
      <w:lvlText w:val="●"/>
      <w:lvlJc w:val="left"/>
      <w:pPr>
        <w:ind w:left="5760" w:hanging="360"/>
      </w:pPr>
    </w:lvl>
    <w:lvl w:ilvl="8" w:tplc="8084E686">
      <w:start w:val="1"/>
      <w:numFmt w:val="bullet"/>
      <w:lvlText w:val="●"/>
      <w:lvlJc w:val="left"/>
      <w:pPr>
        <w:ind w:left="6480" w:hanging="360"/>
      </w:pPr>
    </w:lvl>
  </w:abstractNum>
  <w:num w:numId="1" w16cid:durableId="19725876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99B"/>
    <w:rsid w:val="0013499B"/>
    <w:rsid w:val="00D80009"/>
    <w:rsid w:val="00F21893"/>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9B019"/>
  <w15:docId w15:val="{3C1390B0-5B01-4C08-A6BB-32758A17D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K" w:eastAsia="en-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200" w:after="120"/>
      <w:outlineLvl w:val="0"/>
    </w:pPr>
    <w:rPr>
      <w:b/>
      <w:bCs/>
      <w:color w:val="1F3864"/>
      <w:sz w:val="28"/>
      <w:szCs w:val="28"/>
    </w:rPr>
  </w:style>
  <w:style w:type="paragraph" w:styleId="Overskrift2">
    <w:name w:val="heading 2"/>
    <w:uiPriority w:val="9"/>
    <w:semiHidden/>
    <w:unhideWhenUsed/>
    <w:qFormat/>
    <w:pPr>
      <w:outlineLvl w:val="1"/>
    </w:pPr>
    <w:rPr>
      <w:color w:val="2E74B5"/>
      <w:sz w:val="26"/>
      <w:szCs w:val="26"/>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uiPriority w:val="10"/>
    <w:qFormat/>
    <w:rPr>
      <w:sz w:val="56"/>
      <w:szCs w:val="56"/>
    </w:rPr>
  </w:style>
  <w:style w:type="paragraph" w:customStyle="1" w:styleId="Strk1">
    <w:name w:val="Stærk1"/>
    <w:qFormat/>
    <w:rPr>
      <w:b/>
      <w:bCs/>
    </w:rPr>
  </w:style>
  <w:style w:type="paragraph" w:styleId="Listeafsnit">
    <w:name w:val="List Paragraph"/>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link w:val="FodnotetekstTegn"/>
    <w:uiPriority w:val="99"/>
    <w:semiHidden/>
    <w:unhideWhenUsed/>
    <w:rPr>
      <w:sz w:val="20"/>
      <w:szCs w:val="20"/>
    </w:rPr>
  </w:style>
  <w:style w:type="character" w:customStyle="1" w:styleId="FodnotetekstTegn">
    <w:name w:val="Fodnotetekst Tegn"/>
    <w:link w:val="Fodnotetekst"/>
    <w:uiPriority w:val="99"/>
    <w:semiHidden/>
    <w:unhideWhenUsed/>
    <w:rPr>
      <w:sz w:val="20"/>
      <w:szCs w:val="20"/>
    </w:rPr>
  </w:style>
  <w:style w:type="character" w:styleId="Slutnotehenvisning">
    <w:name w:val="endnote reference"/>
    <w:uiPriority w:val="99"/>
    <w:semiHidden/>
    <w:unhideWhenUsed/>
    <w:rPr>
      <w:vertAlign w:val="superscript"/>
    </w:rPr>
  </w:style>
  <w:style w:type="paragraph" w:styleId="Slutnotetekst">
    <w:name w:val="endnote text"/>
    <w:link w:val="SlutnotetekstTegn"/>
    <w:uiPriority w:val="99"/>
    <w:semiHidden/>
    <w:unhideWhenUsed/>
    <w:rPr>
      <w:sz w:val="20"/>
      <w:szCs w:val="20"/>
    </w:rPr>
  </w:style>
  <w:style w:type="character" w:customStyle="1" w:styleId="SlutnotetekstTegn">
    <w:name w:val="Slutnotetekst Tegn"/>
    <w:link w:val="Slu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1015</Words>
  <Characters>5787</Characters>
  <Application>Microsoft Office Word</Application>
  <DocSecurity>0</DocSecurity>
  <Lines>48</Lines>
  <Paragraphs>13</Paragraphs>
  <ScaleCrop>false</ScaleCrop>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Dogan Can Karadas</cp:lastModifiedBy>
  <cp:revision>2</cp:revision>
  <dcterms:created xsi:type="dcterms:W3CDTF">2026-04-15T08:30:00Z</dcterms:created>
  <dcterms:modified xsi:type="dcterms:W3CDTF">2026-04-15T08:33:00Z</dcterms:modified>
</cp:coreProperties>
</file>