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A2E3B"/>
          <w:sz w:val="34"/>
          <w:szCs w:val="34"/>
        </w:rPr>
        <w:t xml:space="preserve">An Analysis of Global and Regional Mainstreaminess</w:t>
      </w:r>
    </w:p>
    <w:p>
      <w:pPr>
        <w:spacing w:after="200" w:before="0"/>
        <w:jc w:val="center"/>
      </w:pPr>
      <w:r>
        <w:rPr>
          <w:rFonts w:ascii="Arial" w:cs="Arial" w:eastAsia="Arial" w:hAnsi="Arial"/>
          <w:b/>
          <w:bCs/>
          <w:color w:val="1A2E3B"/>
          <w:sz w:val="34"/>
          <w:szCs w:val="34"/>
        </w:rPr>
        <w:t xml:space="preserve">for Personalized Music Recommender Systems</w:t>
      </w:r>
    </w:p>
    <w:p>
      <w:pPr>
        <w:spacing w:after="80" w:before="160"/>
        <w:jc w:val="center"/>
      </w:pPr>
      <w:r>
        <w:rPr>
          <w:rFonts w:ascii="Arial" w:cs="Arial" w:eastAsia="Arial" w:hAnsi="Arial"/>
          <w:i/>
          <w:iCs/>
          <w:color w:val="0D9488"/>
          <w:sz w:val="24"/>
          <w:szCs w:val="24"/>
        </w:rPr>
        <w:t xml:space="preserve">Schedl &amp; Bauer (2018) - Study Review &amp; Python Implementation</w:t>
      </w:r>
    </w:p>
    <w:p>
      <w:pPr>
        <w:spacing w:after="80" w:before="120"/>
        <w:jc w:val="center"/>
      </w:pPr>
      <w:r>
        <w:rPr>
          <w:rFonts w:ascii="Arial" w:cs="Arial" w:eastAsia="Arial" w:hAnsi="Arial"/>
          <w:b/>
          <w:bCs/>
          <w:color w:val="0D9488"/>
          <w:sz w:val="26"/>
          <w:szCs w:val="26"/>
        </w:rPr>
        <w:t xml:space="preserve">Report 1 - Academic Paper</w:t>
      </w:r>
    </w:p>
    <w:p>
      <w:pPr>
        <w:spacing w:after="40" w:before="80"/>
        <w:jc w:val="center"/>
      </w:pPr>
      <w:r>
        <w:rPr>
          <w:rFonts w:ascii="Arial" w:cs="Arial" w:eastAsia="Arial" w:hAnsi="Arial"/>
          <w:color w:val="555555"/>
          <w:sz w:val="22"/>
          <w:szCs w:val="22"/>
        </w:rPr>
        <w:t xml:space="preserve">Recommender Systems (COME424/1)</w:t>
      </w:r>
    </w:p>
    <w:p>
      <w:pPr>
        <w:spacing w:after="40" w:before="40"/>
        <w:jc w:val="center"/>
      </w:pPr>
      <w:r>
        <w:rPr>
          <w:rFonts w:ascii="Arial" w:cs="Arial" w:eastAsia="Arial" w:hAnsi="Arial"/>
          <w:color w:val="555555"/>
          <w:sz w:val="22"/>
          <w:szCs w:val="22"/>
        </w:rPr>
        <w:t xml:space="preserve">Dr. Ogr. Uyesi Gamze Uslu</w:t>
      </w:r>
    </w:p>
    <w:p>
      <w:pPr>
        <w:spacing w:after="480" w:before="40"/>
        <w:jc w:val="center"/>
      </w:pPr>
      <w:r>
        <w:rPr>
          <w:rFonts w:ascii="Arial" w:cs="Arial" w:eastAsia="Arial" w:hAnsi="Arial"/>
          <w:color w:val="555555"/>
          <w:sz w:val="22"/>
          <w:szCs w:val="22"/>
        </w:rPr>
        <w:t xml:space="preserve">Uskudar University  -  Department of Computer Engineering  -  2026</w:t>
      </w:r>
    </w:p>
    <w:tbl>
      <w:tblPr>
        <w:tblW w:type="dxa" w:w="4320"/>
        <w:jc w:val="center"/>
        <w:tblBorders>
          <w:top w:val="single" w:color="auto" w:sz="4"/>
          <w:left w:val="single" w:color="auto" w:sz="4"/>
          <w:bottom w:val="single" w:color="auto" w:sz="4"/>
          <w:right w:val="single" w:color="auto" w:sz="4"/>
          <w:insideH w:val="single" w:color="auto" w:sz="4"/>
          <w:insideV w:val="single" w:color="auto" w:sz="4"/>
        </w:tblBorders>
      </w:tblPr>
      <w:tblGrid>
        <w:gridCol w:w="2880"/>
        <w:gridCol w:w="1440"/>
      </w:tblGrid>
      <w:tr>
        <w:tc>
          <w:tcPr>
            <w:tcW w:type="dxa" w:w="2880"/>
            <w:tcBorders>
              <w:top w:val="single" w:color="CCCCCC" w:sz="4"/>
              <w:left w:val="single" w:color="CCCCCC" w:sz="4"/>
              <w:bottom w:val="single" w:color="CCCCCC" w:sz="4"/>
              <w:right w:val="single" w:color="CCCCCC" w:sz="4"/>
            </w:tcBorders>
            <w:shd w:fill="0D9488"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1440"/>
            <w:tcBorders>
              <w:top w:val="single" w:color="CCCCCC" w:sz="4"/>
              <w:left w:val="single" w:color="CCCCCC" w:sz="4"/>
              <w:bottom w:val="single" w:color="CCCCCC" w:sz="4"/>
              <w:right w:val="single" w:color="CCCCCC" w:sz="4"/>
            </w:tcBorders>
            <w:shd w:fill="0D9488" w:val="clear"/>
            <w:tcMar>
              <w:top w:type="dxa" w:w="80"/>
              <w:left w:type="dxa" w:w="120"/>
              <w:bottom w:type="dxa" w:w="80"/>
              <w:right w:type="dxa" w:w="120"/>
            </w:tcMar>
          </w:tcPr>
          <w:p>
            <w:r>
              <w:rPr>
                <w:rFonts w:ascii="Arial" w:cs="Arial" w:eastAsia="Arial" w:hAnsi="Arial"/>
                <w:b/>
                <w:bCs/>
                <w:color w:val="FFFFFF"/>
                <w:sz w:val="18"/>
                <w:szCs w:val="18"/>
              </w:rPr>
              <w:t xml:space="preserve">Student ID</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2E3B"/>
                <w:sz w:val="18"/>
                <w:szCs w:val="18"/>
              </w:rPr>
              <w:t xml:space="preserve">Dogukan Aydin</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2E3B"/>
                <w:sz w:val="18"/>
                <w:szCs w:val="18"/>
              </w:rPr>
              <w:t xml:space="preserve">240200019</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2E3B"/>
                <w:sz w:val="18"/>
                <w:szCs w:val="18"/>
              </w:rPr>
              <w:t xml:space="preserve">Elif Dalmis</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2E3B"/>
                <w:sz w:val="18"/>
                <w:szCs w:val="18"/>
              </w:rPr>
              <w:t xml:space="preserve">230201082</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2E3B"/>
                <w:sz w:val="18"/>
                <w:szCs w:val="18"/>
              </w:rPr>
              <w:t xml:space="preserve">Yaman Balci</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2E3B"/>
                <w:sz w:val="18"/>
                <w:szCs w:val="18"/>
              </w:rPr>
              <w:t xml:space="preserve">220201081</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2E3B"/>
                <w:sz w:val="18"/>
                <w:szCs w:val="18"/>
              </w:rPr>
              <w:t xml:space="preserve">Salih Cetin</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2E3B"/>
                <w:sz w:val="18"/>
                <w:szCs w:val="18"/>
              </w:rPr>
              <w:t xml:space="preserve">220201060</w:t>
            </w:r>
          </w:p>
        </w:tc>
      </w:tr>
      <w:tr>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2E3B"/>
                <w:sz w:val="18"/>
                <w:szCs w:val="18"/>
              </w:rPr>
              <w:t xml:space="preserve">Alperen Keskin</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2E3B"/>
                <w:sz w:val="18"/>
                <w:szCs w:val="18"/>
              </w:rPr>
              <w:t xml:space="preserve">230201094</w:t>
            </w:r>
          </w:p>
        </w:tc>
      </w:tr>
    </w:tbl>
    <w:p>
      <w:r>
        <w:br w:type="page"/>
      </w:r>
    </w:p>
    <w:p>
      <w:pPr>
        <w:pBdr>
          <w:bottom w:val="single" w:color="0D9488" w:sz="6" w:space="4"/>
        </w:pBdr>
        <w:spacing w:after="160" w:before="480"/>
      </w:pPr>
      <w:r>
        <w:rPr>
          <w:rFonts w:ascii="Arial" w:cs="Arial" w:eastAsia="Arial" w:hAnsi="Arial"/>
          <w:b/>
          <w:bCs/>
          <w:color w:val="1A2E3B"/>
          <w:sz w:val="30"/>
          <w:szCs w:val="30"/>
        </w:rPr>
        <w:t xml:space="preserve">Abstract</w:t>
      </w:r>
    </w:p>
    <w:p>
      <w:pPr>
        <w:spacing w:after="160" w:before="0"/>
      </w:pPr>
      <w:r>
        <w:rPr>
          <w:rFonts w:ascii="Arial" w:cs="Arial" w:eastAsia="Arial" w:hAnsi="Arial"/>
          <w:color w:val="1A2E3B"/>
          <w:sz w:val="20"/>
          <w:szCs w:val="20"/>
        </w:rPr>
        <w:t xml:space="preserve">This report presents a study review and Python implementation of the mainstreaminess framework proposed by Schedl &amp; Bauer (2018). Mainstreaminess quantifies the degree to which a user's music listening preferences align with those of the broader population, measured at both global and country-specific levels. We implement all 11 mainstreaminess measures across three methodological families - Fraction-based (F), KL-Divergence (D), and Kendall tau rank correlation (C) - using the real Last.fm 360K dataset (489 users, 81 artists, 12 countries). Building on the paper's analytical framework, we introduce a recommendation system that maps each user's mainstreaminess level (Low/Mid/High) to a personalised recommendation strategy (local/mixed/global). The proposed method is evaluated against three baselines - Popularity, User-KNN (k=10), and SVD (20 factors) - using Novelty and Personalization metrics. Results show that the proposed method achieves Novelty=1.000 and Personalization=0.335 on real Last.fm data, demonstrating the value of cultural context in music recommendation.</w:t>
      </w:r>
    </w:p>
    <w:p>
      <w:r>
        <w:br w:type="page"/>
      </w:r>
    </w:p>
    <w:p>
      <w:pPr>
        <w:pBdr>
          <w:bottom w:val="single" w:color="0D9488" w:sz="6" w:space="4"/>
        </w:pBdr>
        <w:spacing w:after="160" w:before="480"/>
      </w:pPr>
      <w:r>
        <w:rPr>
          <w:rFonts w:ascii="Arial" w:cs="Arial" w:eastAsia="Arial" w:hAnsi="Arial"/>
          <w:b/>
          <w:bCs/>
          <w:color w:val="1A2E3B"/>
          <w:sz w:val="30"/>
          <w:szCs w:val="30"/>
        </w:rPr>
        <w:t xml:space="preserve">1. Introduction</w:t>
      </w:r>
    </w:p>
    <w:p>
      <w:pPr>
        <w:spacing w:after="160" w:before="0"/>
      </w:pPr>
      <w:r>
        <w:rPr>
          <w:rFonts w:ascii="Arial" w:cs="Arial" w:eastAsia="Arial" w:hAnsi="Arial"/>
          <w:color w:val="1A2E3B"/>
          <w:sz w:val="20"/>
          <w:szCs w:val="20"/>
        </w:rPr>
        <w:t xml:space="preserve">Music recommendation systems have become a critical component of modern streaming platforms, yet most systems rely on global popularity signals that fail to capture the cultural diversity of user preferences. A listener in Finland may consider Nightwish or CMX mainstream within their cultural context, while these artists are virtually unknown in the global top charts. Similarly, a Turkish user's mainstream experience is shaped by Duman and Grup Yorum rather than the globally dominant Radiohead or Metallica.</w:t>
      </w:r>
    </w:p>
    <w:p>
      <w:pPr>
        <w:spacing w:after="160" w:before="0"/>
      </w:pPr>
      <w:r>
        <w:rPr>
          <w:rFonts w:ascii="Arial" w:cs="Arial" w:eastAsia="Arial" w:hAnsi="Arial"/>
          <w:color w:val="1A2E3B"/>
          <w:sz w:val="20"/>
          <w:szCs w:val="20"/>
        </w:rPr>
        <w:t xml:space="preserve">Schedl &amp; Bauer (2018) address this limitation by introducing the concept of mainstreaminess - a formal measure of how closely a user's listening behaviour aligns with the broader population, computed at both global and country-specific levels. The paper proposes 11 distinct measures across three methodological families and evaluates them on the large-scale LFM-1b dataset. A key contribution is the AF-ILF weighting scheme, adapted from the TF-IDF information retrieval framework, which penalises globally ubiquitous artists and allows country-specific mainstream artists to emerge.</w:t>
      </w:r>
    </w:p>
    <w:p>
      <w:pPr>
        <w:spacing w:after="160" w:before="0"/>
      </w:pPr>
      <w:r>
        <w:rPr>
          <w:rFonts w:ascii="Arial" w:cs="Arial" w:eastAsia="Arial" w:hAnsi="Arial"/>
          <w:color w:val="1A2E3B"/>
          <w:sz w:val="20"/>
          <w:szCs w:val="20"/>
        </w:rPr>
        <w:t xml:space="preserve">In this project, we replicate the paper's analytical framework using the real Last.fm 360K dataset and extend it with a complete recommendation system and quantitative evaluation. Four recommendation methods are implemented and compared: a Popularity Baseline, User-KNN collaborative filtering, SVD matrix factorisation, and the proposed Mainstreaminess-based approach. We evaluate all methods using Novelty (fraction of unheard recommendations) and Personalization (mean pairwise Jaccard distance), providing the quantitative comparison that the original paper does not include.</w:t>
      </w:r>
    </w:p>
    <w:p>
      <w:pPr>
        <w:spacing w:after="160" w:before="0"/>
      </w:pPr>
      <w:r>
        <w:rPr>
          <w:rFonts w:ascii="Arial" w:cs="Arial" w:eastAsia="Arial" w:hAnsi="Arial"/>
          <w:color w:val="1A2E3B"/>
          <w:sz w:val="20"/>
          <w:szCs w:val="20"/>
        </w:rPr>
        <w:t xml:space="preserve">The remainder of this report is structured as follows: Section 2 reviews related work; Section 3 describes the proposed approach; Section 4 covers the experimental setup; Section 5 presents and analyses the results; Section 6 concludes.</w:t>
      </w:r>
    </w:p>
    <w:p>
      <w:r>
        <w:br w:type="page"/>
      </w:r>
    </w:p>
    <w:p>
      <w:pPr>
        <w:pBdr>
          <w:bottom w:val="single" w:color="0D9488" w:sz="6" w:space="4"/>
        </w:pBdr>
        <w:spacing w:after="160" w:before="480"/>
      </w:pPr>
      <w:r>
        <w:rPr>
          <w:rFonts w:ascii="Arial" w:cs="Arial" w:eastAsia="Arial" w:hAnsi="Arial"/>
          <w:b/>
          <w:bCs/>
          <w:color w:val="1A2E3B"/>
          <w:sz w:val="30"/>
          <w:szCs w:val="30"/>
        </w:rPr>
        <w:t xml:space="preserve">2. Related Work</w:t>
      </w:r>
    </w:p>
    <w:p>
      <w:pPr>
        <w:spacing w:after="120" w:before="320"/>
      </w:pPr>
      <w:r>
        <w:rPr>
          <w:rFonts w:ascii="Arial" w:cs="Arial" w:eastAsia="Arial" w:hAnsi="Arial"/>
          <w:b/>
          <w:bCs/>
          <w:color w:val="0D9488"/>
          <w:sz w:val="24"/>
          <w:szCs w:val="24"/>
        </w:rPr>
        <w:t xml:space="preserve">2.1 Mainstreaminess in Music Recommendation</w:t>
      </w:r>
    </w:p>
    <w:p>
      <w:pPr>
        <w:spacing w:after="160" w:before="0"/>
      </w:pPr>
      <w:r>
        <w:rPr>
          <w:rFonts w:ascii="Arial" w:cs="Arial" w:eastAsia="Arial" w:hAnsi="Arial"/>
          <w:color w:val="1A2E3B"/>
          <w:sz w:val="20"/>
          <w:szCs w:val="20"/>
        </w:rPr>
        <w:t xml:space="preserve">The concept of mainstreaminess in music recommendation was first formally introduced by Schedl &amp; Bauer (2017a) and expanded in subsequent work (Schedl &amp; Bauer 2017b; Bauer &amp; Schedl 2019). The framework defines mainstreaminess through comparison of a user's preference profile against a reference population profile at global or country level. Earlier work by Vigliensoni &amp; Fujinaga (2016) showed that demographic and contextual features can improve recommendation quality, motivating the country-specific dimension of the Schedl &amp; Bauer approach.</w:t>
      </w:r>
    </w:p>
    <w:p>
      <w:pPr>
        <w:spacing w:after="120" w:before="320"/>
      </w:pPr>
      <w:r>
        <w:rPr>
          <w:rFonts w:ascii="Arial" w:cs="Arial" w:eastAsia="Arial" w:hAnsi="Arial"/>
          <w:b/>
          <w:bCs/>
          <w:color w:val="0D9488"/>
          <w:sz w:val="24"/>
          <w:szCs w:val="24"/>
        </w:rPr>
        <w:t xml:space="preserve">2.2 AF-ILF Weighting</w:t>
      </w:r>
    </w:p>
    <w:p>
      <w:pPr>
        <w:spacing w:after="160" w:before="0"/>
      </w:pPr>
      <w:r>
        <w:rPr>
          <w:rFonts w:ascii="Arial" w:cs="Arial" w:eastAsia="Arial" w:hAnsi="Arial"/>
          <w:color w:val="1A2E3B"/>
          <w:sz w:val="20"/>
          <w:szCs w:val="20"/>
        </w:rPr>
        <w:t xml:space="preserve">The AF-ILF weighting scheme is directly inspired by TF-IDF (Salton &amp; McGill, 1983), a foundational technique in information retrieval. In the music domain, Artist Frequency (AF) plays the role of Term Frequency, and Inverse Listener Frequency (ILF) plays the role of Inverse Document Frequency. The ILF term penalises artists who are listened to by a large fraction of the global user base, amplifying the signal of artists that are popular locally but not globally. This is mathematically equivalent to the IDF penalty applied to common words in document retrieval.</w:t>
      </w:r>
    </w:p>
    <w:p>
      <w:pPr>
        <w:spacing w:after="120" w:before="320"/>
      </w:pPr>
      <w:r>
        <w:rPr>
          <w:rFonts w:ascii="Arial" w:cs="Arial" w:eastAsia="Arial" w:hAnsi="Arial"/>
          <w:b/>
          <w:bCs/>
          <w:color w:val="0D9488"/>
          <w:sz w:val="24"/>
          <w:szCs w:val="24"/>
        </w:rPr>
        <w:t xml:space="preserve">2.3 Collaborative Filtering Baselines</w:t>
      </w:r>
    </w:p>
    <w:p>
      <w:pPr>
        <w:spacing w:after="160" w:before="0"/>
      </w:pPr>
      <w:r>
        <w:rPr>
          <w:rFonts w:ascii="Arial" w:cs="Arial" w:eastAsia="Arial" w:hAnsi="Arial"/>
          <w:color w:val="1A2E3B"/>
          <w:sz w:val="20"/>
          <w:szCs w:val="20"/>
        </w:rPr>
        <w:t xml:space="preserve">User-based K-Nearest Neighbours (KNN) collaborative filtering (Resnick et al., 1994) recommends items by aggregating the preferences of similar users. SVD-based matrix factorisation (Koren et al., 2009) decomposes the user-item interaction matrix into latent factors, enabling generalisation beyond observed interactions. Both methods serve as standard baselines in recommender systems research and are included in our evaluation to contextualise the performance of the mainstreaminess-based approach.</w:t>
      </w:r>
    </w:p>
    <w:p>
      <w:pPr>
        <w:spacing w:after="120" w:before="320"/>
      </w:pPr>
      <w:r>
        <w:rPr>
          <w:rFonts w:ascii="Arial" w:cs="Arial" w:eastAsia="Arial" w:hAnsi="Arial"/>
          <w:b/>
          <w:bCs/>
          <w:color w:val="0D9488"/>
          <w:sz w:val="24"/>
          <w:szCs w:val="24"/>
        </w:rPr>
        <w:t xml:space="preserve">2.4 Evaluation Metrics</w:t>
      </w:r>
    </w:p>
    <w:p>
      <w:pPr>
        <w:spacing w:after="160" w:before="0"/>
      </w:pPr>
      <w:r>
        <w:rPr>
          <w:rFonts w:ascii="Arial" w:cs="Arial" w:eastAsia="Arial" w:hAnsi="Arial"/>
          <w:color w:val="1A2E3B"/>
          <w:sz w:val="20"/>
          <w:szCs w:val="20"/>
        </w:rPr>
        <w:t xml:space="preserve">Novelty - the fraction of recommended items the user has not previously consumed - is a standard beyond-accuracy metric (Celma, 2010). Personalization, measured as mean pairwise Jaccard distance between users' recommendation lists, quantifies recommendation diversity across the user population. Both metrics complement accuracy-based measures by evaluating the practical utility of a recommendation system for discovery and individual relevance.</w:t>
      </w:r>
    </w:p>
    <w:p>
      <w:r>
        <w:br w:type="page"/>
      </w:r>
    </w:p>
    <w:p>
      <w:pPr>
        <w:pBdr>
          <w:bottom w:val="single" w:color="0D9488" w:sz="6" w:space="4"/>
        </w:pBdr>
        <w:spacing w:after="160" w:before="480"/>
      </w:pPr>
      <w:r>
        <w:rPr>
          <w:rFonts w:ascii="Arial" w:cs="Arial" w:eastAsia="Arial" w:hAnsi="Arial"/>
          <w:b/>
          <w:bCs/>
          <w:color w:val="1A2E3B"/>
          <w:sz w:val="30"/>
          <w:szCs w:val="30"/>
        </w:rPr>
        <w:t xml:space="preserve">3. Proposed Approach</w:t>
      </w:r>
    </w:p>
    <w:p>
      <w:pPr>
        <w:spacing w:after="120" w:before="320"/>
      </w:pPr>
      <w:r>
        <w:rPr>
          <w:rFonts w:ascii="Arial" w:cs="Arial" w:eastAsia="Arial" w:hAnsi="Arial"/>
          <w:b/>
          <w:bCs/>
          <w:color w:val="0D9488"/>
          <w:sz w:val="24"/>
          <w:szCs w:val="24"/>
        </w:rPr>
        <w:t xml:space="preserve">3.1 Mainstreaminess Measures</w:t>
      </w:r>
    </w:p>
    <w:p>
      <w:pPr>
        <w:spacing w:after="160" w:before="0"/>
      </w:pPr>
      <w:r>
        <w:rPr>
          <w:rFonts w:ascii="Arial" w:cs="Arial" w:eastAsia="Arial" w:hAnsi="Arial"/>
          <w:color w:val="1A2E3B"/>
          <w:sz w:val="20"/>
          <w:szCs w:val="20"/>
        </w:rPr>
        <w:t xml:space="preserve">We implement all 11 mainstreaminess measures from Schedl &amp; Bauer (2018), organised into three families: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3384"/>
        <w:gridCol w:w="3384"/>
      </w:tblGrid>
      <w:tr>
        <w:tc>
          <w:tcPr>
            <w:tcW w:type="dxa" w:w="480"/>
            <w:tcBorders>
              <w:top w:val="single" w:color="CCCCCC" w:sz="4"/>
              <w:left w:val="single" w:color="CCCCCC" w:sz="4"/>
              <w:bottom w:val="single" w:color="CCCCCC" w:sz="4"/>
              <w:right w:val="single" w:color="CCCCCC" w:sz="4"/>
            </w:tcBorders>
            <w:shd w:fill="0D9488"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400"/>
            <w:tcBorders>
              <w:top w:val="single" w:color="CCCCCC" w:sz="4"/>
              <w:left w:val="single" w:color="CCCCCC" w:sz="4"/>
              <w:bottom w:val="single" w:color="CCCCCC" w:sz="4"/>
              <w:right w:val="single" w:color="CCCCCC" w:sz="4"/>
            </w:tcBorders>
            <w:shd w:fill="0D9488" w:val="clear"/>
            <w:tcMar>
              <w:top w:type="dxa" w:w="80"/>
              <w:left w:type="dxa" w:w="120"/>
              <w:bottom w:type="dxa" w:w="80"/>
              <w:right w:type="dxa" w:w="120"/>
            </w:tcMar>
          </w:tcPr>
          <w:p>
            <w:r>
              <w:rPr>
                <w:rFonts w:ascii="Arial" w:cs="Arial" w:eastAsia="Arial" w:hAnsi="Arial"/>
                <w:b/>
                <w:bCs/>
                <w:color w:val="FFFFFF"/>
                <w:sz w:val="18"/>
                <w:szCs w:val="18"/>
              </w:rPr>
              <w:t xml:space="preserve">Measure</w:t>
            </w:r>
          </w:p>
        </w:tc>
        <w:tc>
          <w:tcPr>
            <w:tcW w:type="dxa" w:w="3384"/>
            <w:tcBorders>
              <w:top w:val="single" w:color="CCCCCC" w:sz="4"/>
              <w:left w:val="single" w:color="CCCCCC" w:sz="4"/>
              <w:bottom w:val="single" w:color="CCCCCC" w:sz="4"/>
              <w:right w:val="single" w:color="CCCCCC" w:sz="4"/>
            </w:tcBorders>
            <w:shd w:fill="0D9488" w:val="clear"/>
            <w:tcMar>
              <w:top w:type="dxa" w:w="80"/>
              <w:left w:type="dxa" w:w="120"/>
              <w:bottom w:type="dxa" w:w="80"/>
              <w:right w:type="dxa" w:w="120"/>
            </w:tcMar>
          </w:tcPr>
          <w:p>
            <w:r>
              <w:rPr>
                <w:rFonts w:ascii="Arial" w:cs="Arial" w:eastAsia="Arial" w:hAnsi="Arial"/>
                <w:b/>
                <w:bCs/>
                <w:color w:val="FFFFFF"/>
                <w:sz w:val="18"/>
                <w:szCs w:val="18"/>
              </w:rPr>
              <w:t xml:space="preserve">Formula / Method</w:t>
            </w:r>
          </w:p>
        </w:tc>
        <w:tc>
          <w:tcPr>
            <w:tcW w:type="dxa" w:w="3384"/>
            <w:tcBorders>
              <w:top w:val="single" w:color="CCCCCC" w:sz="4"/>
              <w:left w:val="single" w:color="CCCCCC" w:sz="4"/>
              <w:bottom w:val="single" w:color="CCCCCC" w:sz="4"/>
              <w:right w:val="single" w:color="CCCCCC" w:sz="4"/>
            </w:tcBorders>
            <w:shd w:fill="0D9488" w:val="clear"/>
            <w:tcMar>
              <w:top w:type="dxa" w:w="80"/>
              <w:left w:type="dxa" w:w="120"/>
              <w:bottom w:type="dxa" w:w="80"/>
              <w:right w:type="dxa" w:w="120"/>
            </w:tcMar>
          </w:tcPr>
          <w:p>
            <w:r>
              <w:rPr>
                <w:rFonts w:ascii="Arial" w:cs="Arial" w:eastAsia="Arial" w:hAnsi="Arial"/>
                <w:b/>
                <w:bCs/>
                <w:color w:val="FFFFFF"/>
                <w:sz w:val="18"/>
                <w:szCs w:val="18"/>
              </w:rPr>
              <w:t xml:space="preserve">Scope</w:t>
            </w:r>
          </w:p>
        </w:tc>
      </w:tr>
      <w:tr>
        <w:tc>
          <w:tcPr>
            <w:tcW w:type="dxa" w:w="480"/>
            <w:tcBorders>
              <w:top w:val="single" w:color="CCCCCC" w:sz="4"/>
              <w:left w:val="single" w:color="CCCCCC" w:sz="4"/>
              <w:bottom w:val="single" w:color="CCCCCC" w:sz="4"/>
              <w:right w:val="single" w:color="CCCCCC" w:sz="4"/>
            </w:tcBorders>
            <w:shd w:fill="F0FDFA" w:val="clear"/>
            <w:tcMar>
              <w:top w:type="dxa" w:w="80"/>
              <w:left w:type="dxa" w:w="120"/>
              <w:bottom w:type="dxa" w:w="80"/>
              <w:right w:type="dxa" w:w="120"/>
            </w:tcMar>
          </w:tcPr>
          <w:p>
            <w:r>
              <w:rPr>
                <w:rFonts w:ascii="Arial" w:cs="Arial" w:eastAsia="Arial" w:hAnsi="Arial"/>
                <w:b w:val="false"/>
                <w:bCs w:val="false"/>
                <w:color w:val="1A2E3B"/>
                <w:sz w:val="18"/>
                <w:szCs w:val="18"/>
              </w:rPr>
              <w:t xml:space="preserve">1</w:t>
            </w:r>
          </w:p>
        </w:tc>
        <w:tc>
          <w:tcPr>
            <w:tcW w:type="dxa" w:w="2400"/>
            <w:tcBorders>
              <w:top w:val="single" w:color="CCCCCC" w:sz="4"/>
              <w:left w:val="single" w:color="CCCCCC" w:sz="4"/>
              <w:bottom w:val="single" w:color="CCCCCC" w:sz="4"/>
              <w:right w:val="single" w:color="CCCCCC" w:sz="4"/>
            </w:tcBorders>
            <w:shd w:fill="F0FDFA" w:val="clear"/>
            <w:tcMar>
              <w:top w:type="dxa" w:w="80"/>
              <w:left w:type="dxa" w:w="120"/>
              <w:bottom w:type="dxa" w:w="80"/>
              <w:right w:type="dxa" w:w="120"/>
            </w:tcMar>
          </w:tcPr>
          <w:p>
            <w:r>
              <w:rPr>
                <w:rFonts w:ascii="Arial" w:cs="Arial" w:eastAsia="Arial" w:hAnsi="Arial"/>
                <w:b/>
                <w:bCs/>
                <w:color w:val="1A2E3B"/>
                <w:sz w:val="18"/>
                <w:szCs w:val="18"/>
              </w:rPr>
              <w:t xml:space="preserve">Fg:AF,u:AF</w:t>
            </w:r>
          </w:p>
        </w:tc>
        <w:tc>
          <w:tcPr>
            <w:tcW w:type="dxa" w:w="3384"/>
            <w:tcBorders>
              <w:top w:val="single" w:color="CCCCCC" w:sz="4"/>
              <w:left w:val="single" w:color="CCCCCC" w:sz="4"/>
              <w:bottom w:val="single" w:color="CCCCCC" w:sz="4"/>
              <w:right w:val="single" w:color="CCCCCC" w:sz="4"/>
            </w:tcBorders>
            <w:shd w:fill="F0FDFA" w:val="clear"/>
            <w:tcMar>
              <w:top w:type="dxa" w:w="80"/>
              <w:left w:type="dxa" w:w="120"/>
              <w:bottom w:type="dxa" w:w="80"/>
              <w:right w:type="dxa" w:w="120"/>
            </w:tcMar>
          </w:tcPr>
          <w:p>
            <w:r>
              <w:rPr>
                <w:rFonts w:ascii="Arial" w:cs="Arial" w:eastAsia="Arial" w:hAnsi="Arial"/>
                <w:b w:val="false"/>
                <w:bCs w:val="false"/>
                <w:color w:val="1A2E3B"/>
                <w:sz w:val="18"/>
                <w:szCs w:val="18"/>
              </w:rPr>
              <w:t xml:space="preserve">Fraction, global AF vs user AF</w:t>
            </w:r>
          </w:p>
        </w:tc>
        <w:tc>
          <w:tcPr>
            <w:tcW w:type="dxa" w:w="3384"/>
            <w:tcBorders>
              <w:top w:val="single" w:color="CCCCCC" w:sz="4"/>
              <w:left w:val="single" w:color="CCCCCC" w:sz="4"/>
              <w:bottom w:val="single" w:color="CCCCCC" w:sz="4"/>
              <w:right w:val="single" w:color="CCCCCC" w:sz="4"/>
            </w:tcBorders>
            <w:shd w:fill="F0FDFA" w:val="clear"/>
            <w:tcMar>
              <w:top w:type="dxa" w:w="80"/>
              <w:left w:type="dxa" w:w="120"/>
              <w:bottom w:type="dxa" w:w="80"/>
              <w:right w:type="dxa" w:w="120"/>
            </w:tcMar>
          </w:tcPr>
          <w:p>
            <w:r>
              <w:rPr>
                <w:rFonts w:ascii="Arial" w:cs="Arial" w:eastAsia="Arial" w:hAnsi="Arial"/>
                <w:b w:val="false"/>
                <w:bCs w:val="false"/>
                <w:color w:val="1A2E3B"/>
                <w:sz w:val="18"/>
                <w:szCs w:val="18"/>
              </w:rPr>
              <w:t xml:space="preserve">Global</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2E3B"/>
                <w:sz w:val="18"/>
                <w:szCs w:val="18"/>
              </w:rPr>
              <w:t xml:space="preserve">2</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2E3B"/>
                <w:sz w:val="18"/>
                <w:szCs w:val="18"/>
              </w:rPr>
              <w:t xml:space="preserve">Fg:AF,u:AF-ILF</w:t>
            </w:r>
          </w:p>
        </w:tc>
        <w:tc>
          <w:tcPr>
            <w:tcW w:type="dxa" w:w="33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2E3B"/>
                <w:sz w:val="18"/>
                <w:szCs w:val="18"/>
              </w:rPr>
              <w:t xml:space="preserve">Fraction, global AF vs user AF-ILF</w:t>
            </w:r>
          </w:p>
        </w:tc>
        <w:tc>
          <w:tcPr>
            <w:tcW w:type="dxa" w:w="33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2E3B"/>
                <w:sz w:val="18"/>
                <w:szCs w:val="18"/>
              </w:rPr>
              <w:t xml:space="preserve">Global</w:t>
            </w:r>
          </w:p>
        </w:tc>
      </w:tr>
      <w:tr>
        <w:tc>
          <w:tcPr>
            <w:tcW w:type="dxa" w:w="480"/>
            <w:tcBorders>
              <w:top w:val="single" w:color="CCCCCC" w:sz="4"/>
              <w:left w:val="single" w:color="CCCCCC" w:sz="4"/>
              <w:bottom w:val="single" w:color="CCCCCC" w:sz="4"/>
              <w:right w:val="single" w:color="CCCCCC" w:sz="4"/>
            </w:tcBorders>
            <w:shd w:fill="F0FDFA" w:val="clear"/>
            <w:tcMar>
              <w:top w:type="dxa" w:w="80"/>
              <w:left w:type="dxa" w:w="120"/>
              <w:bottom w:type="dxa" w:w="80"/>
              <w:right w:type="dxa" w:w="120"/>
            </w:tcMar>
          </w:tcPr>
          <w:p>
            <w:r>
              <w:rPr>
                <w:rFonts w:ascii="Arial" w:cs="Arial" w:eastAsia="Arial" w:hAnsi="Arial"/>
                <w:b w:val="false"/>
                <w:bCs w:val="false"/>
                <w:color w:val="1A2E3B"/>
                <w:sz w:val="18"/>
                <w:szCs w:val="18"/>
              </w:rPr>
              <w:t xml:space="preserve">3</w:t>
            </w:r>
          </w:p>
        </w:tc>
        <w:tc>
          <w:tcPr>
            <w:tcW w:type="dxa" w:w="2400"/>
            <w:tcBorders>
              <w:top w:val="single" w:color="CCCCCC" w:sz="4"/>
              <w:left w:val="single" w:color="CCCCCC" w:sz="4"/>
              <w:bottom w:val="single" w:color="CCCCCC" w:sz="4"/>
              <w:right w:val="single" w:color="CCCCCC" w:sz="4"/>
            </w:tcBorders>
            <w:shd w:fill="F0FDFA" w:val="clear"/>
            <w:tcMar>
              <w:top w:type="dxa" w:w="80"/>
              <w:left w:type="dxa" w:w="120"/>
              <w:bottom w:type="dxa" w:w="80"/>
              <w:right w:type="dxa" w:w="120"/>
            </w:tcMar>
          </w:tcPr>
          <w:p>
            <w:r>
              <w:rPr>
                <w:rFonts w:ascii="Arial" w:cs="Arial" w:eastAsia="Arial" w:hAnsi="Arial"/>
                <w:b/>
                <w:bCs/>
                <w:color w:val="1A2E3B"/>
                <w:sz w:val="18"/>
                <w:szCs w:val="18"/>
              </w:rPr>
              <w:t xml:space="preserve">Fg:AF-ILF,u:AF-ILF</w:t>
            </w:r>
          </w:p>
        </w:tc>
        <w:tc>
          <w:tcPr>
            <w:tcW w:type="dxa" w:w="3384"/>
            <w:tcBorders>
              <w:top w:val="single" w:color="CCCCCC" w:sz="4"/>
              <w:left w:val="single" w:color="CCCCCC" w:sz="4"/>
              <w:bottom w:val="single" w:color="CCCCCC" w:sz="4"/>
              <w:right w:val="single" w:color="CCCCCC" w:sz="4"/>
            </w:tcBorders>
            <w:shd w:fill="F0FDFA" w:val="clear"/>
            <w:tcMar>
              <w:top w:type="dxa" w:w="80"/>
              <w:left w:type="dxa" w:w="120"/>
              <w:bottom w:type="dxa" w:w="80"/>
              <w:right w:type="dxa" w:w="120"/>
            </w:tcMar>
          </w:tcPr>
          <w:p>
            <w:r>
              <w:rPr>
                <w:rFonts w:ascii="Arial" w:cs="Arial" w:eastAsia="Arial" w:hAnsi="Arial"/>
                <w:b w:val="false"/>
                <w:bCs w:val="false"/>
                <w:color w:val="1A2E3B"/>
                <w:sz w:val="18"/>
                <w:szCs w:val="18"/>
              </w:rPr>
              <w:t xml:space="preserve">Fraction, global AF-ILF vs user AF-ILF</w:t>
            </w:r>
          </w:p>
        </w:tc>
        <w:tc>
          <w:tcPr>
            <w:tcW w:type="dxa" w:w="3384"/>
            <w:tcBorders>
              <w:top w:val="single" w:color="CCCCCC" w:sz="4"/>
              <w:left w:val="single" w:color="CCCCCC" w:sz="4"/>
              <w:bottom w:val="single" w:color="CCCCCC" w:sz="4"/>
              <w:right w:val="single" w:color="CCCCCC" w:sz="4"/>
            </w:tcBorders>
            <w:shd w:fill="F0FDFA" w:val="clear"/>
            <w:tcMar>
              <w:top w:type="dxa" w:w="80"/>
              <w:left w:type="dxa" w:w="120"/>
              <w:bottom w:type="dxa" w:w="80"/>
              <w:right w:type="dxa" w:w="120"/>
            </w:tcMar>
          </w:tcPr>
          <w:p>
            <w:r>
              <w:rPr>
                <w:rFonts w:ascii="Arial" w:cs="Arial" w:eastAsia="Arial" w:hAnsi="Arial"/>
                <w:b w:val="false"/>
                <w:bCs w:val="false"/>
                <w:color w:val="1A2E3B"/>
                <w:sz w:val="18"/>
                <w:szCs w:val="18"/>
              </w:rPr>
              <w:t xml:space="preserve">Global</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2E3B"/>
                <w:sz w:val="18"/>
                <w:szCs w:val="18"/>
              </w:rPr>
              <w:t xml:space="preserve">4</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2E3B"/>
                <w:sz w:val="18"/>
                <w:szCs w:val="18"/>
              </w:rPr>
              <w:t xml:space="preserve">Fc:AF,u:AF</w:t>
            </w:r>
          </w:p>
        </w:tc>
        <w:tc>
          <w:tcPr>
            <w:tcW w:type="dxa" w:w="33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2E3B"/>
                <w:sz w:val="18"/>
                <w:szCs w:val="18"/>
              </w:rPr>
              <w:t xml:space="preserve">Fraction, country AF vs user AF</w:t>
            </w:r>
          </w:p>
        </w:tc>
        <w:tc>
          <w:tcPr>
            <w:tcW w:type="dxa" w:w="33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2E3B"/>
                <w:sz w:val="18"/>
                <w:szCs w:val="18"/>
              </w:rPr>
              <w:t xml:space="preserve">Country</w:t>
            </w:r>
          </w:p>
        </w:tc>
      </w:tr>
      <w:tr>
        <w:tc>
          <w:tcPr>
            <w:tcW w:type="dxa" w:w="480"/>
            <w:tcBorders>
              <w:top w:val="single" w:color="CCCCCC" w:sz="4"/>
              <w:left w:val="single" w:color="CCCCCC" w:sz="4"/>
              <w:bottom w:val="single" w:color="CCCCCC" w:sz="4"/>
              <w:right w:val="single" w:color="CCCCCC" w:sz="4"/>
            </w:tcBorders>
            <w:shd w:fill="F0FDFA" w:val="clear"/>
            <w:tcMar>
              <w:top w:type="dxa" w:w="80"/>
              <w:left w:type="dxa" w:w="120"/>
              <w:bottom w:type="dxa" w:w="80"/>
              <w:right w:type="dxa" w:w="120"/>
            </w:tcMar>
          </w:tcPr>
          <w:p>
            <w:r>
              <w:rPr>
                <w:rFonts w:ascii="Arial" w:cs="Arial" w:eastAsia="Arial" w:hAnsi="Arial"/>
                <w:b w:val="false"/>
                <w:bCs w:val="false"/>
                <w:color w:val="1A2E3B"/>
                <w:sz w:val="18"/>
                <w:szCs w:val="18"/>
              </w:rPr>
              <w:t xml:space="preserve">5</w:t>
            </w:r>
          </w:p>
        </w:tc>
        <w:tc>
          <w:tcPr>
            <w:tcW w:type="dxa" w:w="2400"/>
            <w:tcBorders>
              <w:top w:val="single" w:color="CCCCCC" w:sz="4"/>
              <w:left w:val="single" w:color="CCCCCC" w:sz="4"/>
              <w:bottom w:val="single" w:color="CCCCCC" w:sz="4"/>
              <w:right w:val="single" w:color="CCCCCC" w:sz="4"/>
            </w:tcBorders>
            <w:shd w:fill="F0FDFA" w:val="clear"/>
            <w:tcMar>
              <w:top w:type="dxa" w:w="80"/>
              <w:left w:type="dxa" w:w="120"/>
              <w:bottom w:type="dxa" w:w="80"/>
              <w:right w:type="dxa" w:w="120"/>
            </w:tcMar>
          </w:tcPr>
          <w:p>
            <w:r>
              <w:rPr>
                <w:rFonts w:ascii="Arial" w:cs="Arial" w:eastAsia="Arial" w:hAnsi="Arial"/>
                <w:b/>
                <w:bCs/>
                <w:color w:val="1A2E3B"/>
                <w:sz w:val="18"/>
                <w:szCs w:val="18"/>
              </w:rPr>
              <w:t xml:space="preserve">Fc:AF-ILF,u:AF-ILF</w:t>
            </w:r>
          </w:p>
        </w:tc>
        <w:tc>
          <w:tcPr>
            <w:tcW w:type="dxa" w:w="3384"/>
            <w:tcBorders>
              <w:top w:val="single" w:color="CCCCCC" w:sz="4"/>
              <w:left w:val="single" w:color="CCCCCC" w:sz="4"/>
              <w:bottom w:val="single" w:color="CCCCCC" w:sz="4"/>
              <w:right w:val="single" w:color="CCCCCC" w:sz="4"/>
            </w:tcBorders>
            <w:shd w:fill="F0FDFA" w:val="clear"/>
            <w:tcMar>
              <w:top w:type="dxa" w:w="80"/>
              <w:left w:type="dxa" w:w="120"/>
              <w:bottom w:type="dxa" w:w="80"/>
              <w:right w:type="dxa" w:w="120"/>
            </w:tcMar>
          </w:tcPr>
          <w:p>
            <w:r>
              <w:rPr>
                <w:rFonts w:ascii="Arial" w:cs="Arial" w:eastAsia="Arial" w:hAnsi="Arial"/>
                <w:b w:val="false"/>
                <w:bCs w:val="false"/>
                <w:color w:val="1A2E3B"/>
                <w:sz w:val="18"/>
                <w:szCs w:val="18"/>
              </w:rPr>
              <w:t xml:space="preserve">Fraction, country AF-ILF vs user AF-ILF</w:t>
            </w:r>
          </w:p>
        </w:tc>
        <w:tc>
          <w:tcPr>
            <w:tcW w:type="dxa" w:w="3384"/>
            <w:tcBorders>
              <w:top w:val="single" w:color="CCCCCC" w:sz="4"/>
              <w:left w:val="single" w:color="CCCCCC" w:sz="4"/>
              <w:bottom w:val="single" w:color="CCCCCC" w:sz="4"/>
              <w:right w:val="single" w:color="CCCCCC" w:sz="4"/>
            </w:tcBorders>
            <w:shd w:fill="F0FDFA" w:val="clear"/>
            <w:tcMar>
              <w:top w:type="dxa" w:w="80"/>
              <w:left w:type="dxa" w:w="120"/>
              <w:bottom w:type="dxa" w:w="80"/>
              <w:right w:type="dxa" w:w="120"/>
            </w:tcMar>
          </w:tcPr>
          <w:p>
            <w:r>
              <w:rPr>
                <w:rFonts w:ascii="Arial" w:cs="Arial" w:eastAsia="Arial" w:hAnsi="Arial"/>
                <w:b w:val="false"/>
                <w:bCs w:val="false"/>
                <w:color w:val="1A2E3B"/>
                <w:sz w:val="18"/>
                <w:szCs w:val="18"/>
              </w:rPr>
              <w:t xml:space="preserve">Country</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2E3B"/>
                <w:sz w:val="18"/>
                <w:szCs w:val="18"/>
              </w:rPr>
              <w:t xml:space="preserve">6</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2E3B"/>
                <w:sz w:val="18"/>
                <w:szCs w:val="18"/>
              </w:rPr>
              <w:t xml:space="preserve">Dg:AF,u:AF</w:t>
            </w:r>
          </w:p>
        </w:tc>
        <w:tc>
          <w:tcPr>
            <w:tcW w:type="dxa" w:w="33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2E3B"/>
                <w:sz w:val="18"/>
                <w:szCs w:val="18"/>
              </w:rPr>
              <w:t xml:space="preserve">Sym. KL Divergence, global AF</w:t>
            </w:r>
          </w:p>
        </w:tc>
        <w:tc>
          <w:tcPr>
            <w:tcW w:type="dxa" w:w="33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2E3B"/>
                <w:sz w:val="18"/>
                <w:szCs w:val="18"/>
              </w:rPr>
              <w:t xml:space="preserve">Global</w:t>
            </w:r>
          </w:p>
        </w:tc>
      </w:tr>
      <w:tr>
        <w:tc>
          <w:tcPr>
            <w:tcW w:type="dxa" w:w="480"/>
            <w:tcBorders>
              <w:top w:val="single" w:color="CCCCCC" w:sz="4"/>
              <w:left w:val="single" w:color="CCCCCC" w:sz="4"/>
              <w:bottom w:val="single" w:color="CCCCCC" w:sz="4"/>
              <w:right w:val="single" w:color="CCCCCC" w:sz="4"/>
            </w:tcBorders>
            <w:shd w:fill="F0FDFA" w:val="clear"/>
            <w:tcMar>
              <w:top w:type="dxa" w:w="80"/>
              <w:left w:type="dxa" w:w="120"/>
              <w:bottom w:type="dxa" w:w="80"/>
              <w:right w:type="dxa" w:w="120"/>
            </w:tcMar>
          </w:tcPr>
          <w:p>
            <w:r>
              <w:rPr>
                <w:rFonts w:ascii="Arial" w:cs="Arial" w:eastAsia="Arial" w:hAnsi="Arial"/>
                <w:b w:val="false"/>
                <w:bCs w:val="false"/>
                <w:color w:val="1A2E3B"/>
                <w:sz w:val="18"/>
                <w:szCs w:val="18"/>
              </w:rPr>
              <w:t xml:space="preserve">7</w:t>
            </w:r>
          </w:p>
        </w:tc>
        <w:tc>
          <w:tcPr>
            <w:tcW w:type="dxa" w:w="2400"/>
            <w:tcBorders>
              <w:top w:val="single" w:color="CCCCCC" w:sz="4"/>
              <w:left w:val="single" w:color="CCCCCC" w:sz="4"/>
              <w:bottom w:val="single" w:color="CCCCCC" w:sz="4"/>
              <w:right w:val="single" w:color="CCCCCC" w:sz="4"/>
            </w:tcBorders>
            <w:shd w:fill="F0FDFA" w:val="clear"/>
            <w:tcMar>
              <w:top w:type="dxa" w:w="80"/>
              <w:left w:type="dxa" w:w="120"/>
              <w:bottom w:type="dxa" w:w="80"/>
              <w:right w:type="dxa" w:w="120"/>
            </w:tcMar>
          </w:tcPr>
          <w:p>
            <w:r>
              <w:rPr>
                <w:rFonts w:ascii="Arial" w:cs="Arial" w:eastAsia="Arial" w:hAnsi="Arial"/>
                <w:b/>
                <w:bCs/>
                <w:color w:val="1A2E3B"/>
                <w:sz w:val="18"/>
                <w:szCs w:val="18"/>
              </w:rPr>
              <w:t xml:space="preserve">Dc:AF,u:AF</w:t>
            </w:r>
          </w:p>
        </w:tc>
        <w:tc>
          <w:tcPr>
            <w:tcW w:type="dxa" w:w="3384"/>
            <w:tcBorders>
              <w:top w:val="single" w:color="CCCCCC" w:sz="4"/>
              <w:left w:val="single" w:color="CCCCCC" w:sz="4"/>
              <w:bottom w:val="single" w:color="CCCCCC" w:sz="4"/>
              <w:right w:val="single" w:color="CCCCCC" w:sz="4"/>
            </w:tcBorders>
            <w:shd w:fill="F0FDFA" w:val="clear"/>
            <w:tcMar>
              <w:top w:type="dxa" w:w="80"/>
              <w:left w:type="dxa" w:w="120"/>
              <w:bottom w:type="dxa" w:w="80"/>
              <w:right w:type="dxa" w:w="120"/>
            </w:tcMar>
          </w:tcPr>
          <w:p>
            <w:r>
              <w:rPr>
                <w:rFonts w:ascii="Arial" w:cs="Arial" w:eastAsia="Arial" w:hAnsi="Arial"/>
                <w:b w:val="false"/>
                <w:bCs w:val="false"/>
                <w:color w:val="1A2E3B"/>
                <w:sz w:val="18"/>
                <w:szCs w:val="18"/>
              </w:rPr>
              <w:t xml:space="preserve">Sym. KL Divergence, country AF</w:t>
            </w:r>
          </w:p>
        </w:tc>
        <w:tc>
          <w:tcPr>
            <w:tcW w:type="dxa" w:w="3384"/>
            <w:tcBorders>
              <w:top w:val="single" w:color="CCCCCC" w:sz="4"/>
              <w:left w:val="single" w:color="CCCCCC" w:sz="4"/>
              <w:bottom w:val="single" w:color="CCCCCC" w:sz="4"/>
              <w:right w:val="single" w:color="CCCCCC" w:sz="4"/>
            </w:tcBorders>
            <w:shd w:fill="F0FDFA" w:val="clear"/>
            <w:tcMar>
              <w:top w:type="dxa" w:w="80"/>
              <w:left w:type="dxa" w:w="120"/>
              <w:bottom w:type="dxa" w:w="80"/>
              <w:right w:type="dxa" w:w="120"/>
            </w:tcMar>
          </w:tcPr>
          <w:p>
            <w:r>
              <w:rPr>
                <w:rFonts w:ascii="Arial" w:cs="Arial" w:eastAsia="Arial" w:hAnsi="Arial"/>
                <w:b w:val="false"/>
                <w:bCs w:val="false"/>
                <w:color w:val="1A2E3B"/>
                <w:sz w:val="18"/>
                <w:szCs w:val="18"/>
              </w:rPr>
              <w:t xml:space="preserve">Country</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2E3B"/>
                <w:sz w:val="18"/>
                <w:szCs w:val="18"/>
              </w:rPr>
              <w:t xml:space="preserve">8</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2E3B"/>
                <w:sz w:val="18"/>
                <w:szCs w:val="18"/>
              </w:rPr>
              <w:t xml:space="preserve">Dc:AF-ILF,u:AF-ILF</w:t>
            </w:r>
          </w:p>
        </w:tc>
        <w:tc>
          <w:tcPr>
            <w:tcW w:type="dxa" w:w="33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2E3B"/>
                <w:sz w:val="18"/>
                <w:szCs w:val="18"/>
              </w:rPr>
              <w:t xml:space="preserve">Sym. KL Divergence, country AF-ILF</w:t>
            </w:r>
          </w:p>
        </w:tc>
        <w:tc>
          <w:tcPr>
            <w:tcW w:type="dxa" w:w="33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2E3B"/>
                <w:sz w:val="18"/>
                <w:szCs w:val="18"/>
              </w:rPr>
              <w:t xml:space="preserve">Country</w:t>
            </w:r>
          </w:p>
        </w:tc>
      </w:tr>
      <w:tr>
        <w:tc>
          <w:tcPr>
            <w:tcW w:type="dxa" w:w="480"/>
            <w:tcBorders>
              <w:top w:val="single" w:color="CCCCCC" w:sz="4"/>
              <w:left w:val="single" w:color="CCCCCC" w:sz="4"/>
              <w:bottom w:val="single" w:color="CCCCCC" w:sz="4"/>
              <w:right w:val="single" w:color="CCCCCC" w:sz="4"/>
            </w:tcBorders>
            <w:shd w:fill="F0FDFA" w:val="clear"/>
            <w:tcMar>
              <w:top w:type="dxa" w:w="80"/>
              <w:left w:type="dxa" w:w="120"/>
              <w:bottom w:type="dxa" w:w="80"/>
              <w:right w:type="dxa" w:w="120"/>
            </w:tcMar>
          </w:tcPr>
          <w:p>
            <w:r>
              <w:rPr>
                <w:rFonts w:ascii="Arial" w:cs="Arial" w:eastAsia="Arial" w:hAnsi="Arial"/>
                <w:b w:val="false"/>
                <w:bCs w:val="false"/>
                <w:color w:val="1A2E3B"/>
                <w:sz w:val="18"/>
                <w:szCs w:val="18"/>
              </w:rPr>
              <w:t xml:space="preserve">9</w:t>
            </w:r>
          </w:p>
        </w:tc>
        <w:tc>
          <w:tcPr>
            <w:tcW w:type="dxa" w:w="2400"/>
            <w:tcBorders>
              <w:top w:val="single" w:color="CCCCCC" w:sz="4"/>
              <w:left w:val="single" w:color="CCCCCC" w:sz="4"/>
              <w:bottom w:val="single" w:color="CCCCCC" w:sz="4"/>
              <w:right w:val="single" w:color="CCCCCC" w:sz="4"/>
            </w:tcBorders>
            <w:shd w:fill="F0FDFA" w:val="clear"/>
            <w:tcMar>
              <w:top w:type="dxa" w:w="80"/>
              <w:left w:type="dxa" w:w="120"/>
              <w:bottom w:type="dxa" w:w="80"/>
              <w:right w:type="dxa" w:w="120"/>
            </w:tcMar>
          </w:tcPr>
          <w:p>
            <w:r>
              <w:rPr>
                <w:rFonts w:ascii="Arial" w:cs="Arial" w:eastAsia="Arial" w:hAnsi="Arial"/>
                <w:b/>
                <w:bCs/>
                <w:color w:val="1A2E3B"/>
                <w:sz w:val="18"/>
                <w:szCs w:val="18"/>
              </w:rPr>
              <w:t xml:space="preserve">Cg:AF,u:AF</w:t>
            </w:r>
          </w:p>
        </w:tc>
        <w:tc>
          <w:tcPr>
            <w:tcW w:type="dxa" w:w="3384"/>
            <w:tcBorders>
              <w:top w:val="single" w:color="CCCCCC" w:sz="4"/>
              <w:left w:val="single" w:color="CCCCCC" w:sz="4"/>
              <w:bottom w:val="single" w:color="CCCCCC" w:sz="4"/>
              <w:right w:val="single" w:color="CCCCCC" w:sz="4"/>
            </w:tcBorders>
            <w:shd w:fill="F0FDFA" w:val="clear"/>
            <w:tcMar>
              <w:top w:type="dxa" w:w="80"/>
              <w:left w:type="dxa" w:w="120"/>
              <w:bottom w:type="dxa" w:w="80"/>
              <w:right w:type="dxa" w:w="120"/>
            </w:tcMar>
          </w:tcPr>
          <w:p>
            <w:r>
              <w:rPr>
                <w:rFonts w:ascii="Arial" w:cs="Arial" w:eastAsia="Arial" w:hAnsi="Arial"/>
                <w:b w:val="false"/>
                <w:bCs w:val="false"/>
                <w:color w:val="1A2E3B"/>
                <w:sz w:val="18"/>
                <w:szCs w:val="18"/>
              </w:rPr>
              <w:t xml:space="preserve">Kendall tau, global AF</w:t>
            </w:r>
          </w:p>
        </w:tc>
        <w:tc>
          <w:tcPr>
            <w:tcW w:type="dxa" w:w="3384"/>
            <w:tcBorders>
              <w:top w:val="single" w:color="CCCCCC" w:sz="4"/>
              <w:left w:val="single" w:color="CCCCCC" w:sz="4"/>
              <w:bottom w:val="single" w:color="CCCCCC" w:sz="4"/>
              <w:right w:val="single" w:color="CCCCCC" w:sz="4"/>
            </w:tcBorders>
            <w:shd w:fill="F0FDFA" w:val="clear"/>
            <w:tcMar>
              <w:top w:type="dxa" w:w="80"/>
              <w:left w:type="dxa" w:w="120"/>
              <w:bottom w:type="dxa" w:w="80"/>
              <w:right w:type="dxa" w:w="120"/>
            </w:tcMar>
          </w:tcPr>
          <w:p>
            <w:r>
              <w:rPr>
                <w:rFonts w:ascii="Arial" w:cs="Arial" w:eastAsia="Arial" w:hAnsi="Arial"/>
                <w:b w:val="false"/>
                <w:bCs w:val="false"/>
                <w:color w:val="1A2E3B"/>
                <w:sz w:val="18"/>
                <w:szCs w:val="18"/>
              </w:rPr>
              <w:t xml:space="preserve">Global</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2E3B"/>
                <w:sz w:val="18"/>
                <w:szCs w:val="18"/>
              </w:rPr>
              <w:t xml:space="preserve">10</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2E3B"/>
                <w:sz w:val="18"/>
                <w:szCs w:val="18"/>
              </w:rPr>
              <w:t xml:space="preserve">Cc:AF,u:AF</w:t>
            </w:r>
          </w:p>
        </w:tc>
        <w:tc>
          <w:tcPr>
            <w:tcW w:type="dxa" w:w="33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2E3B"/>
                <w:sz w:val="18"/>
                <w:szCs w:val="18"/>
              </w:rPr>
              <w:t xml:space="preserve">Kendall tau, country AF (best performer)</w:t>
            </w:r>
          </w:p>
        </w:tc>
        <w:tc>
          <w:tcPr>
            <w:tcW w:type="dxa" w:w="338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2E3B"/>
                <w:sz w:val="18"/>
                <w:szCs w:val="18"/>
              </w:rPr>
              <w:t xml:space="preserve">Country</w:t>
            </w:r>
          </w:p>
        </w:tc>
      </w:tr>
      <w:tr>
        <w:tc>
          <w:tcPr>
            <w:tcW w:type="dxa" w:w="480"/>
            <w:tcBorders>
              <w:top w:val="single" w:color="CCCCCC" w:sz="4"/>
              <w:left w:val="single" w:color="CCCCCC" w:sz="4"/>
              <w:bottom w:val="single" w:color="CCCCCC" w:sz="4"/>
              <w:right w:val="single" w:color="CCCCCC" w:sz="4"/>
            </w:tcBorders>
            <w:shd w:fill="F0FDFA" w:val="clear"/>
            <w:tcMar>
              <w:top w:type="dxa" w:w="80"/>
              <w:left w:type="dxa" w:w="120"/>
              <w:bottom w:type="dxa" w:w="80"/>
              <w:right w:type="dxa" w:w="120"/>
            </w:tcMar>
          </w:tcPr>
          <w:p>
            <w:r>
              <w:rPr>
                <w:rFonts w:ascii="Arial" w:cs="Arial" w:eastAsia="Arial" w:hAnsi="Arial"/>
                <w:b w:val="false"/>
                <w:bCs w:val="false"/>
                <w:color w:val="1A2E3B"/>
                <w:sz w:val="18"/>
                <w:szCs w:val="18"/>
              </w:rPr>
              <w:t xml:space="preserve">11</w:t>
            </w:r>
          </w:p>
        </w:tc>
        <w:tc>
          <w:tcPr>
            <w:tcW w:type="dxa" w:w="2400"/>
            <w:tcBorders>
              <w:top w:val="single" w:color="CCCCCC" w:sz="4"/>
              <w:left w:val="single" w:color="CCCCCC" w:sz="4"/>
              <w:bottom w:val="single" w:color="CCCCCC" w:sz="4"/>
              <w:right w:val="single" w:color="CCCCCC" w:sz="4"/>
            </w:tcBorders>
            <w:shd w:fill="F0FDFA" w:val="clear"/>
            <w:tcMar>
              <w:top w:type="dxa" w:w="80"/>
              <w:left w:type="dxa" w:w="120"/>
              <w:bottom w:type="dxa" w:w="80"/>
              <w:right w:type="dxa" w:w="120"/>
            </w:tcMar>
          </w:tcPr>
          <w:p>
            <w:r>
              <w:rPr>
                <w:rFonts w:ascii="Arial" w:cs="Arial" w:eastAsia="Arial" w:hAnsi="Arial"/>
                <w:b/>
                <w:bCs/>
                <w:color w:val="1A2E3B"/>
                <w:sz w:val="18"/>
                <w:szCs w:val="18"/>
              </w:rPr>
              <w:t xml:space="preserve">Cc:AF-ILF,u:AF-ILF</w:t>
            </w:r>
          </w:p>
        </w:tc>
        <w:tc>
          <w:tcPr>
            <w:tcW w:type="dxa" w:w="3384"/>
            <w:tcBorders>
              <w:top w:val="single" w:color="CCCCCC" w:sz="4"/>
              <w:left w:val="single" w:color="CCCCCC" w:sz="4"/>
              <w:bottom w:val="single" w:color="CCCCCC" w:sz="4"/>
              <w:right w:val="single" w:color="CCCCCC" w:sz="4"/>
            </w:tcBorders>
            <w:shd w:fill="F0FDFA" w:val="clear"/>
            <w:tcMar>
              <w:top w:type="dxa" w:w="80"/>
              <w:left w:type="dxa" w:w="120"/>
              <w:bottom w:type="dxa" w:w="80"/>
              <w:right w:type="dxa" w:w="120"/>
            </w:tcMar>
          </w:tcPr>
          <w:p>
            <w:r>
              <w:rPr>
                <w:rFonts w:ascii="Arial" w:cs="Arial" w:eastAsia="Arial" w:hAnsi="Arial"/>
                <w:b w:val="false"/>
                <w:bCs w:val="false"/>
                <w:color w:val="1A2E3B"/>
                <w:sz w:val="18"/>
                <w:szCs w:val="18"/>
              </w:rPr>
              <w:t xml:space="preserve">Kendall tau, country AF-ILF</w:t>
            </w:r>
          </w:p>
        </w:tc>
        <w:tc>
          <w:tcPr>
            <w:tcW w:type="dxa" w:w="3384"/>
            <w:tcBorders>
              <w:top w:val="single" w:color="CCCCCC" w:sz="4"/>
              <w:left w:val="single" w:color="CCCCCC" w:sz="4"/>
              <w:bottom w:val="single" w:color="CCCCCC" w:sz="4"/>
              <w:right w:val="single" w:color="CCCCCC" w:sz="4"/>
            </w:tcBorders>
            <w:shd w:fill="F0FDFA" w:val="clear"/>
            <w:tcMar>
              <w:top w:type="dxa" w:w="80"/>
              <w:left w:type="dxa" w:w="120"/>
              <w:bottom w:type="dxa" w:w="80"/>
              <w:right w:type="dxa" w:w="120"/>
            </w:tcMar>
          </w:tcPr>
          <w:p>
            <w:r>
              <w:rPr>
                <w:rFonts w:ascii="Arial" w:cs="Arial" w:eastAsia="Arial" w:hAnsi="Arial"/>
                <w:b w:val="false"/>
                <w:bCs w:val="false"/>
                <w:color w:val="1A2E3B"/>
                <w:sz w:val="18"/>
                <w:szCs w:val="18"/>
              </w:rPr>
              <w:t xml:space="preserve">Country</w:t>
            </w:r>
          </w:p>
        </w:tc>
      </w:tr>
    </w:tbl>
    <w:p>
      <w:pPr>
        <w:spacing w:after="200" w:before="80"/>
      </w:pPr>
      <w:r>
        <w:rPr>
          <w:rFonts w:ascii="Arial" w:cs="Arial" w:eastAsia="Arial" w:hAnsi="Arial"/>
          <w:i/>
          <w:iCs/>
          <w:color w:val="555555"/>
          <w:sz w:val="18"/>
          <w:szCs w:val="18"/>
        </w:rPr>
        <w:t xml:space="preserve">Table 1. The 11 mainstreaminess measures implemented in this project.</w:t>
      </w:r>
    </w:p>
    <w:p>
      <w:pPr>
        <w:spacing w:after="120" w:before="320"/>
      </w:pPr>
      <w:r>
        <w:rPr>
          <w:rFonts w:ascii="Arial" w:cs="Arial" w:eastAsia="Arial" w:hAnsi="Arial"/>
          <w:b/>
          <w:bCs/>
          <w:color w:val="0D9488"/>
          <w:sz w:val="24"/>
          <w:szCs w:val="24"/>
        </w:rPr>
        <w:t xml:space="preserve">3.2 AF-ILF Formula</w:t>
      </w:r>
    </w:p>
    <w:p>
      <w:pPr>
        <w:spacing w:after="160" w:before="0"/>
      </w:pPr>
      <w:r>
        <w:rPr>
          <w:rFonts w:ascii="Arial" w:cs="Arial" w:eastAsia="Arial" w:hAnsi="Arial"/>
          <w:color w:val="1A2E3B"/>
          <w:sz w:val="20"/>
          <w:szCs w:val="20"/>
        </w:rPr>
        <w:t xml:space="preserve">The core weighting formula (Paper Equation 1) is:</w:t>
      </w:r>
    </w:p>
    <w:p>
      <w:pPr>
        <w:pBdr>
          <w:left w:val="single" w:color="0D9488" w:sz="6"/>
        </w:pBdr>
        <w:shd w:fill="F5F5F5" w:val="clear"/>
        <w:spacing w:after="120" w:before="120"/>
        <w:jc w:val="center"/>
      </w:pPr>
      <w:r>
        <w:rPr>
          <w:rFonts w:ascii="Courier New" w:cs="Courier New" w:eastAsia="Courier New" w:hAnsi="Courier New"/>
          <w:b/>
          <w:bCs/>
          <w:color w:val="1A2E3B"/>
          <w:sz w:val="20"/>
          <w:szCs w:val="20"/>
        </w:rPr>
        <w:t xml:space="preserve">AF-ILF(a, U1, U2) = log(1 + AF(a, U1)) x log(1 + |U2| / LF(a, U2))</w:t>
      </w:r>
    </w:p>
    <w:p>
      <w:pPr>
        <w:spacing w:after="200" w:before="0"/>
      </w:pPr>
      <w:r>
        <w:rPr>
          <w:rFonts w:ascii="Arial" w:cs="Arial" w:eastAsia="Arial" w:hAnsi="Arial"/>
          <w:color w:val="1A2E3B"/>
          <w:sz w:val="20"/>
          <w:szCs w:val="20"/>
        </w:rPr>
        <w:t xml:space="preserve">where AF(a,U1) is the total playcount of artist a among users U1, LF(a,U2) is the number of distinct listeners in U2, and |U2| is the size of U2. The ILF term is set to zero when LF=0. This formula penalises globally ubiquitous artists and amplifies locally significant ones.</w:t>
      </w:r>
    </w:p>
    <w:p>
      <w:pPr>
        <w:spacing w:after="120" w:before="320"/>
      </w:pPr>
      <w:r>
        <w:rPr>
          <w:rFonts w:ascii="Arial" w:cs="Arial" w:eastAsia="Arial" w:hAnsi="Arial"/>
          <w:b/>
          <w:bCs/>
          <w:color w:val="0D9488"/>
          <w:sz w:val="24"/>
          <w:szCs w:val="24"/>
        </w:rPr>
        <w:t xml:space="preserve">3.3 Recommendation Strategy</w:t>
      </w:r>
    </w:p>
    <w:p>
      <w:pPr>
        <w:spacing w:after="160" w:before="0"/>
      </w:pPr>
      <w:r>
        <w:rPr>
          <w:rFonts w:ascii="Arial" w:cs="Arial" w:eastAsia="Arial" w:hAnsi="Arial"/>
          <w:color w:val="1A2E3B"/>
          <w:sz w:val="20"/>
          <w:szCs w:val="20"/>
        </w:rPr>
        <w:t xml:space="preserve">Each user is classified into one of three mainstreaminess levels using tertile thresholds on their Cc:AF,u:AF score: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3600"/>
      </w:tblGrid>
      <w:tr>
        <w:tc>
          <w:tcPr>
            <w:tcW w:type="dxa" w:w="1440"/>
            <w:tcBorders>
              <w:top w:val="single" w:color="CCCCCC" w:sz="4"/>
              <w:left w:val="single" w:color="CCCCCC" w:sz="4"/>
              <w:bottom w:val="single" w:color="CCCCCC" w:sz="4"/>
              <w:right w:val="single" w:color="CCCCCC" w:sz="4"/>
            </w:tcBorders>
            <w:shd w:fill="0D9488" w:val="clear"/>
            <w:tcMar>
              <w:top w:type="dxa" w:w="80"/>
              <w:left w:type="dxa" w:w="120"/>
              <w:bottom w:type="dxa" w:w="80"/>
              <w:right w:type="dxa" w:w="120"/>
            </w:tcMar>
          </w:tcPr>
          <w:p>
            <w:r>
              <w:rPr>
                <w:rFonts w:ascii="Arial" w:cs="Arial" w:eastAsia="Arial" w:hAnsi="Arial"/>
                <w:b/>
                <w:bCs/>
                <w:color w:val="FFFFFF"/>
                <w:sz w:val="18"/>
                <w:szCs w:val="18"/>
              </w:rPr>
              <w:t xml:space="preserve">Level</w:t>
            </w:r>
          </w:p>
        </w:tc>
        <w:tc>
          <w:tcPr>
            <w:tcW w:type="dxa" w:w="2160"/>
            <w:tcBorders>
              <w:top w:val="single" w:color="CCCCCC" w:sz="4"/>
              <w:left w:val="single" w:color="CCCCCC" w:sz="4"/>
              <w:bottom w:val="single" w:color="CCCCCC" w:sz="4"/>
              <w:right w:val="single" w:color="CCCCCC" w:sz="4"/>
            </w:tcBorders>
            <w:shd w:fill="0D9488" w:val="clear"/>
            <w:tcMar>
              <w:top w:type="dxa" w:w="80"/>
              <w:left w:type="dxa" w:w="120"/>
              <w:bottom w:type="dxa" w:w="80"/>
              <w:right w:type="dxa" w:w="120"/>
            </w:tcMar>
          </w:tcPr>
          <w:p>
            <w:r>
              <w:rPr>
                <w:rFonts w:ascii="Arial" w:cs="Arial" w:eastAsia="Arial" w:hAnsi="Arial"/>
                <w:b/>
                <w:bCs/>
                <w:color w:val="FFFFFF"/>
                <w:sz w:val="18"/>
                <w:szCs w:val="18"/>
              </w:rPr>
              <w:t xml:space="preserve">Threshold</w:t>
            </w:r>
          </w:p>
        </w:tc>
        <w:tc>
          <w:tcPr>
            <w:tcW w:type="dxa" w:w="3600"/>
            <w:tcBorders>
              <w:top w:val="single" w:color="CCCCCC" w:sz="4"/>
              <w:left w:val="single" w:color="CCCCCC" w:sz="4"/>
              <w:bottom w:val="single" w:color="CCCCCC" w:sz="4"/>
              <w:right w:val="single" w:color="CCCCCC" w:sz="4"/>
            </w:tcBorders>
            <w:shd w:fill="0D9488" w:val="clear"/>
            <w:tcMar>
              <w:top w:type="dxa" w:w="80"/>
              <w:left w:type="dxa" w:w="120"/>
              <w:bottom w:type="dxa" w:w="80"/>
              <w:right w:type="dxa" w:w="120"/>
            </w:tcMar>
          </w:tcPr>
          <w:p>
            <w:r>
              <w:rPr>
                <w:rFonts w:ascii="Arial" w:cs="Arial" w:eastAsia="Arial" w:hAnsi="Arial"/>
                <w:b/>
                <w:bCs/>
                <w:color w:val="FFFFFF"/>
                <w:sz w:val="18"/>
                <w:szCs w:val="18"/>
              </w:rPr>
              <w:t xml:space="preserve">Recommendation Strategy</w:t>
            </w:r>
          </w:p>
        </w:tc>
      </w:tr>
      <w:tr>
        <w:tc>
          <w:tcPr>
            <w:tcW w:type="dxa" w:w="1440"/>
            <w:tcBorders>
              <w:top w:val="single" w:color="CCCCCC" w:sz="4"/>
              <w:left w:val="single" w:color="CCCCCC" w:sz="4"/>
              <w:bottom w:val="single" w:color="CCCCCC" w:sz="4"/>
              <w:right w:val="single" w:color="CCCCCC" w:sz="4"/>
            </w:tcBorders>
            <w:shd w:fill="F0FDFA" w:val="clear"/>
            <w:tcMar>
              <w:top w:type="dxa" w:w="80"/>
              <w:left w:type="dxa" w:w="120"/>
              <w:bottom w:type="dxa" w:w="80"/>
              <w:right w:type="dxa" w:w="120"/>
            </w:tcMar>
          </w:tcPr>
          <w:p>
            <w:r>
              <w:rPr>
                <w:rFonts w:ascii="Arial" w:cs="Arial" w:eastAsia="Arial" w:hAnsi="Arial"/>
                <w:b/>
                <w:bCs/>
                <w:color w:val="1A2E3B"/>
                <w:sz w:val="18"/>
                <w:szCs w:val="18"/>
              </w:rPr>
              <w:t xml:space="preserve">High</w:t>
            </w:r>
          </w:p>
        </w:tc>
        <w:tc>
          <w:tcPr>
            <w:tcW w:type="dxa" w:w="2160"/>
            <w:tcBorders>
              <w:top w:val="single" w:color="CCCCCC" w:sz="4"/>
              <w:left w:val="single" w:color="CCCCCC" w:sz="4"/>
              <w:bottom w:val="single" w:color="CCCCCC" w:sz="4"/>
              <w:right w:val="single" w:color="CCCCCC" w:sz="4"/>
            </w:tcBorders>
            <w:shd w:fill="F0FDFA" w:val="clear"/>
            <w:tcMar>
              <w:top w:type="dxa" w:w="80"/>
              <w:left w:type="dxa" w:w="120"/>
              <w:bottom w:type="dxa" w:w="80"/>
              <w:right w:type="dxa" w:w="120"/>
            </w:tcMar>
          </w:tcPr>
          <w:p>
            <w:r>
              <w:rPr>
                <w:rFonts w:ascii="Arial" w:cs="Arial" w:eastAsia="Arial" w:hAnsi="Arial"/>
                <w:b w:val="false"/>
                <w:bCs w:val="false"/>
                <w:color w:val="1A2E3B"/>
                <w:sz w:val="18"/>
                <w:szCs w:val="18"/>
              </w:rPr>
              <w:t xml:space="preserve">Top 33% (Cc &gt;= 66th pct.)</w:t>
            </w:r>
          </w:p>
        </w:tc>
        <w:tc>
          <w:tcPr>
            <w:tcW w:type="dxa" w:w="3600"/>
            <w:tcBorders>
              <w:top w:val="single" w:color="CCCCCC" w:sz="4"/>
              <w:left w:val="single" w:color="CCCCCC" w:sz="4"/>
              <w:bottom w:val="single" w:color="CCCCCC" w:sz="4"/>
              <w:right w:val="single" w:color="CCCCCC" w:sz="4"/>
            </w:tcBorders>
            <w:shd w:fill="F0FDFA" w:val="clear"/>
            <w:tcMar>
              <w:top w:type="dxa" w:w="80"/>
              <w:left w:type="dxa" w:w="120"/>
              <w:bottom w:type="dxa" w:w="80"/>
              <w:right w:type="dxa" w:w="120"/>
            </w:tcMar>
          </w:tcPr>
          <w:p>
            <w:r>
              <w:rPr>
                <w:rFonts w:ascii="Arial" w:cs="Arial" w:eastAsia="Arial" w:hAnsi="Arial"/>
                <w:b w:val="false"/>
                <w:bCs w:val="false"/>
                <w:color w:val="1A2E3B"/>
                <w:sz w:val="18"/>
                <w:szCs w:val="18"/>
              </w:rPr>
              <w:t xml:space="preserve">Global: top artists by raw AF across all users</w:t>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2E3B"/>
                <w:sz w:val="18"/>
                <w:szCs w:val="18"/>
              </w:rPr>
              <w:t xml:space="preserve">Mid</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2E3B"/>
                <w:sz w:val="18"/>
                <w:szCs w:val="18"/>
              </w:rPr>
              <w:t xml:space="preserve">Middle 33%</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2E3B"/>
                <w:sz w:val="18"/>
                <w:szCs w:val="18"/>
              </w:rPr>
              <w:t xml:space="preserve">Mixed: blend of global AF and country AF-ILF</w:t>
            </w:r>
          </w:p>
        </w:tc>
      </w:tr>
      <w:tr>
        <w:tc>
          <w:tcPr>
            <w:tcW w:type="dxa" w:w="1440"/>
            <w:tcBorders>
              <w:top w:val="single" w:color="CCCCCC" w:sz="4"/>
              <w:left w:val="single" w:color="CCCCCC" w:sz="4"/>
              <w:bottom w:val="single" w:color="CCCCCC" w:sz="4"/>
              <w:right w:val="single" w:color="CCCCCC" w:sz="4"/>
            </w:tcBorders>
            <w:shd w:fill="F0FDFA" w:val="clear"/>
            <w:tcMar>
              <w:top w:type="dxa" w:w="80"/>
              <w:left w:type="dxa" w:w="120"/>
              <w:bottom w:type="dxa" w:w="80"/>
              <w:right w:type="dxa" w:w="120"/>
            </w:tcMar>
          </w:tcPr>
          <w:p>
            <w:r>
              <w:rPr>
                <w:rFonts w:ascii="Arial" w:cs="Arial" w:eastAsia="Arial" w:hAnsi="Arial"/>
                <w:b/>
                <w:bCs/>
                <w:color w:val="1A2E3B"/>
                <w:sz w:val="18"/>
                <w:szCs w:val="18"/>
              </w:rPr>
              <w:t xml:space="preserve">Low</w:t>
            </w:r>
          </w:p>
        </w:tc>
        <w:tc>
          <w:tcPr>
            <w:tcW w:type="dxa" w:w="2160"/>
            <w:tcBorders>
              <w:top w:val="single" w:color="CCCCCC" w:sz="4"/>
              <w:left w:val="single" w:color="CCCCCC" w:sz="4"/>
              <w:bottom w:val="single" w:color="CCCCCC" w:sz="4"/>
              <w:right w:val="single" w:color="CCCCCC" w:sz="4"/>
            </w:tcBorders>
            <w:shd w:fill="F0FDFA" w:val="clear"/>
            <w:tcMar>
              <w:top w:type="dxa" w:w="80"/>
              <w:left w:type="dxa" w:w="120"/>
              <w:bottom w:type="dxa" w:w="80"/>
              <w:right w:type="dxa" w:w="120"/>
            </w:tcMar>
          </w:tcPr>
          <w:p>
            <w:r>
              <w:rPr>
                <w:rFonts w:ascii="Arial" w:cs="Arial" w:eastAsia="Arial" w:hAnsi="Arial"/>
                <w:b w:val="false"/>
                <w:bCs w:val="false"/>
                <w:color w:val="1A2E3B"/>
                <w:sz w:val="18"/>
                <w:szCs w:val="18"/>
              </w:rPr>
              <w:t xml:space="preserve">Bottom 33% (Cc &lt; 33rd pct.)</w:t>
            </w:r>
          </w:p>
        </w:tc>
        <w:tc>
          <w:tcPr>
            <w:tcW w:type="dxa" w:w="3600"/>
            <w:tcBorders>
              <w:top w:val="single" w:color="CCCCCC" w:sz="4"/>
              <w:left w:val="single" w:color="CCCCCC" w:sz="4"/>
              <w:bottom w:val="single" w:color="CCCCCC" w:sz="4"/>
              <w:right w:val="single" w:color="CCCCCC" w:sz="4"/>
            </w:tcBorders>
            <w:shd w:fill="F0FDFA" w:val="clear"/>
            <w:tcMar>
              <w:top w:type="dxa" w:w="80"/>
              <w:left w:type="dxa" w:w="120"/>
              <w:bottom w:type="dxa" w:w="80"/>
              <w:right w:type="dxa" w:w="120"/>
            </w:tcMar>
          </w:tcPr>
          <w:p>
            <w:r>
              <w:rPr>
                <w:rFonts w:ascii="Arial" w:cs="Arial" w:eastAsia="Arial" w:hAnsi="Arial"/>
                <w:b w:val="false"/>
                <w:bCs w:val="false"/>
                <w:color w:val="1A2E3B"/>
                <w:sz w:val="18"/>
                <w:szCs w:val="18"/>
              </w:rPr>
              <w:t xml:space="preserve">Local: top artists by country AF-ILF (culturally specific)</w:t>
            </w:r>
          </w:p>
        </w:tc>
      </w:tr>
    </w:tbl>
    <w:p>
      <w:pPr>
        <w:spacing w:after="200" w:before="80"/>
      </w:pPr>
      <w:r>
        <w:rPr>
          <w:rFonts w:ascii="Arial" w:cs="Arial" w:eastAsia="Arial" w:hAnsi="Arial"/>
          <w:i/>
          <w:iCs/>
          <w:color w:val="555555"/>
          <w:sz w:val="18"/>
          <w:szCs w:val="18"/>
        </w:rPr>
        <w:t xml:space="preserve">Table 2. Mainstreaminess level to recommendation strategy mapping.</w:t>
      </w:r>
    </w:p>
    <w:p>
      <w:pPr>
        <w:spacing w:after="160" w:before="0"/>
      </w:pPr>
      <w:r>
        <w:rPr>
          <w:rFonts w:ascii="Arial" w:cs="Arial" w:eastAsia="Arial" w:hAnsi="Arial"/>
          <w:color w:val="1A2E3B"/>
          <w:sz w:val="20"/>
          <w:szCs w:val="20"/>
        </w:rPr>
        <w:t xml:space="preserve">A candidate pool of n=15 artists is retrieved per strategy. Already-heard artists (playcount &gt; 0) are filtered out before returning the top 5 recommendations. If fewer than 5 unheard candidates exist, the full (unfiltered) candidate list is used as a fallback.</w:t>
      </w:r>
    </w:p>
    <w:p>
      <w:r>
        <w:br w:type="page"/>
      </w:r>
    </w:p>
    <w:p>
      <w:pPr>
        <w:pBdr>
          <w:bottom w:val="single" w:color="0D9488" w:sz="6" w:space="4"/>
        </w:pBdr>
        <w:spacing w:after="160" w:before="480"/>
      </w:pPr>
      <w:r>
        <w:rPr>
          <w:rFonts w:ascii="Arial" w:cs="Arial" w:eastAsia="Arial" w:hAnsi="Arial"/>
          <w:b/>
          <w:bCs/>
          <w:color w:val="1A2E3B"/>
          <w:sz w:val="30"/>
          <w:szCs w:val="30"/>
        </w:rPr>
        <w:t xml:space="preserve">4. Experimental Setup</w:t>
      </w:r>
    </w:p>
    <w:p>
      <w:pPr>
        <w:spacing w:after="120" w:before="320"/>
      </w:pPr>
      <w:r>
        <w:rPr>
          <w:rFonts w:ascii="Arial" w:cs="Arial" w:eastAsia="Arial" w:hAnsi="Arial"/>
          <w:b/>
          <w:bCs/>
          <w:color w:val="0D9488"/>
          <w:sz w:val="24"/>
          <w:szCs w:val="24"/>
        </w:rPr>
        <w:t xml:space="preserve">4.1 Dataset</w:t>
      </w:r>
    </w:p>
    <w:p>
      <w:pPr>
        <w:spacing w:after="160" w:before="0"/>
      </w:pPr>
      <w:r>
        <w:rPr>
          <w:rFonts w:ascii="Arial" w:cs="Arial" w:eastAsia="Arial" w:hAnsi="Arial"/>
          <w:color w:val="1A2E3B"/>
          <w:sz w:val="20"/>
          <w:szCs w:val="20"/>
        </w:rPr>
        <w:t xml:space="preserve">We use dataset_lfm.xlsx, derived from the publicly available Last.fm 360K dataset (Celma, 2010). The dataset contains 489 users across 12 countries and 81 artists. Each entry records the total playcount of a given artist for a given user. Users without country information were excluded during preprocessing.</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tblGrid>
      <w:tr>
        <w:tc>
          <w:tcPr>
            <w:tcW w:type="dxa" w:w="2160"/>
            <w:tcBorders>
              <w:top w:val="single" w:color="CCCCCC" w:sz="4"/>
              <w:left w:val="single" w:color="CCCCCC" w:sz="4"/>
              <w:bottom w:val="single" w:color="CCCCCC" w:sz="4"/>
              <w:right w:val="single" w:color="CCCCCC" w:sz="4"/>
            </w:tcBorders>
            <w:shd w:fill="0D9488"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4320"/>
            <w:tcBorders>
              <w:top w:val="single" w:color="CCCCCC" w:sz="4"/>
              <w:left w:val="single" w:color="CCCCCC" w:sz="4"/>
              <w:bottom w:val="single" w:color="CCCCCC" w:sz="4"/>
              <w:right w:val="single" w:color="CCCCCC" w:sz="4"/>
            </w:tcBorders>
            <w:shd w:fill="0D9488"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160"/>
            <w:tcBorders>
              <w:top w:val="single" w:color="CCCCCC" w:sz="4"/>
              <w:left w:val="single" w:color="CCCCCC" w:sz="4"/>
              <w:bottom w:val="single" w:color="CCCCCC" w:sz="4"/>
              <w:right w:val="single" w:color="CCCCCC" w:sz="4"/>
            </w:tcBorders>
            <w:shd w:fill="F0FDFA" w:val="clear"/>
            <w:tcMar>
              <w:top w:type="dxa" w:w="80"/>
              <w:left w:type="dxa" w:w="120"/>
              <w:bottom w:type="dxa" w:w="80"/>
              <w:right w:type="dxa" w:w="120"/>
            </w:tcMar>
          </w:tcPr>
          <w:p>
            <w:r>
              <w:rPr>
                <w:rFonts w:ascii="Arial" w:cs="Arial" w:eastAsia="Arial" w:hAnsi="Arial"/>
                <w:b/>
                <w:bCs/>
                <w:color w:val="1A2E3B"/>
                <w:sz w:val="18"/>
                <w:szCs w:val="18"/>
              </w:rPr>
              <w:t xml:space="preserve">Users</w:t>
            </w:r>
          </w:p>
        </w:tc>
        <w:tc>
          <w:tcPr>
            <w:tcW w:type="dxa" w:w="4320"/>
            <w:tcBorders>
              <w:top w:val="single" w:color="CCCCCC" w:sz="4"/>
              <w:left w:val="single" w:color="CCCCCC" w:sz="4"/>
              <w:bottom w:val="single" w:color="CCCCCC" w:sz="4"/>
              <w:right w:val="single" w:color="CCCCCC" w:sz="4"/>
            </w:tcBorders>
            <w:shd w:fill="F0FDFA" w:val="clear"/>
            <w:tcMar>
              <w:top w:type="dxa" w:w="80"/>
              <w:left w:type="dxa" w:w="120"/>
              <w:bottom w:type="dxa" w:w="80"/>
              <w:right w:type="dxa" w:w="120"/>
            </w:tcMar>
          </w:tcPr>
          <w:p>
            <w:r>
              <w:rPr>
                <w:rFonts w:ascii="Arial" w:cs="Arial" w:eastAsia="Arial" w:hAnsi="Arial"/>
                <w:b w:val="false"/>
                <w:bCs w:val="false"/>
                <w:color w:val="1A2E3B"/>
                <w:sz w:val="18"/>
                <w:szCs w:val="18"/>
              </w:rPr>
              <w:t xml:space="preserve">489 (from Last.fm 360K dataset)</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2E3B"/>
                <w:sz w:val="18"/>
                <w:szCs w:val="18"/>
              </w:rPr>
              <w:t xml:space="preserve">Artists</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2E3B"/>
                <w:sz w:val="18"/>
                <w:szCs w:val="18"/>
              </w:rPr>
              <w:t xml:space="preserve">81 (filtered to frequent artists)</w:t>
            </w:r>
          </w:p>
        </w:tc>
      </w:tr>
      <w:tr>
        <w:tc>
          <w:tcPr>
            <w:tcW w:type="dxa" w:w="2160"/>
            <w:tcBorders>
              <w:top w:val="single" w:color="CCCCCC" w:sz="4"/>
              <w:left w:val="single" w:color="CCCCCC" w:sz="4"/>
              <w:bottom w:val="single" w:color="CCCCCC" w:sz="4"/>
              <w:right w:val="single" w:color="CCCCCC" w:sz="4"/>
            </w:tcBorders>
            <w:shd w:fill="F0FDFA" w:val="clear"/>
            <w:tcMar>
              <w:top w:type="dxa" w:w="80"/>
              <w:left w:type="dxa" w:w="120"/>
              <w:bottom w:type="dxa" w:w="80"/>
              <w:right w:type="dxa" w:w="120"/>
            </w:tcMar>
          </w:tcPr>
          <w:p>
            <w:r>
              <w:rPr>
                <w:rFonts w:ascii="Arial" w:cs="Arial" w:eastAsia="Arial" w:hAnsi="Arial"/>
                <w:b/>
                <w:bCs/>
                <w:color w:val="1A2E3B"/>
                <w:sz w:val="18"/>
                <w:szCs w:val="18"/>
              </w:rPr>
              <w:t xml:space="preserve">Countries</w:t>
            </w:r>
          </w:p>
        </w:tc>
        <w:tc>
          <w:tcPr>
            <w:tcW w:type="dxa" w:w="4320"/>
            <w:tcBorders>
              <w:top w:val="single" w:color="CCCCCC" w:sz="4"/>
              <w:left w:val="single" w:color="CCCCCC" w:sz="4"/>
              <w:bottom w:val="single" w:color="CCCCCC" w:sz="4"/>
              <w:right w:val="single" w:color="CCCCCC" w:sz="4"/>
            </w:tcBorders>
            <w:shd w:fill="F0FDFA" w:val="clear"/>
            <w:tcMar>
              <w:top w:type="dxa" w:w="80"/>
              <w:left w:type="dxa" w:w="120"/>
              <w:bottom w:type="dxa" w:w="80"/>
              <w:right w:type="dxa" w:w="120"/>
            </w:tcMar>
          </w:tcPr>
          <w:p>
            <w:r>
              <w:rPr>
                <w:rFonts w:ascii="Arial" w:cs="Arial" w:eastAsia="Arial" w:hAnsi="Arial"/>
                <w:b w:val="false"/>
                <w:bCs w:val="false"/>
                <w:color w:val="1A2E3B"/>
                <w:sz w:val="18"/>
                <w:szCs w:val="18"/>
              </w:rPr>
              <w:t xml:space="preserve">12 (DE, FI, GB, JP, PL, RU, SE, TR, UA, US, BR, MX)</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2E3B"/>
                <w:sz w:val="18"/>
                <w:szCs w:val="18"/>
              </w:rPr>
              <w:t xml:space="preserve">Data type</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2E3B"/>
                <w:sz w:val="18"/>
                <w:szCs w:val="18"/>
              </w:rPr>
              <w:t xml:space="preserve">User-Artist Playcount Matrix (UAM)</w:t>
            </w:r>
          </w:p>
        </w:tc>
      </w:tr>
      <w:tr>
        <w:tc>
          <w:tcPr>
            <w:tcW w:type="dxa" w:w="2160"/>
            <w:tcBorders>
              <w:top w:val="single" w:color="CCCCCC" w:sz="4"/>
              <w:left w:val="single" w:color="CCCCCC" w:sz="4"/>
              <w:bottom w:val="single" w:color="CCCCCC" w:sz="4"/>
              <w:right w:val="single" w:color="CCCCCC" w:sz="4"/>
            </w:tcBorders>
            <w:shd w:fill="F0FDFA" w:val="clear"/>
            <w:tcMar>
              <w:top w:type="dxa" w:w="80"/>
              <w:left w:type="dxa" w:w="120"/>
              <w:bottom w:type="dxa" w:w="80"/>
              <w:right w:type="dxa" w:w="120"/>
            </w:tcMar>
          </w:tcPr>
          <w:p>
            <w:r>
              <w:rPr>
                <w:rFonts w:ascii="Arial" w:cs="Arial" w:eastAsia="Arial" w:hAnsi="Arial"/>
                <w:b/>
                <w:bCs/>
                <w:color w:val="1A2E3B"/>
                <w:sz w:val="18"/>
                <w:szCs w:val="18"/>
              </w:rPr>
              <w:t xml:space="preserve">Distribution</w:t>
            </w:r>
          </w:p>
        </w:tc>
        <w:tc>
          <w:tcPr>
            <w:tcW w:type="dxa" w:w="4320"/>
            <w:tcBorders>
              <w:top w:val="single" w:color="CCCCCC" w:sz="4"/>
              <w:left w:val="single" w:color="CCCCCC" w:sz="4"/>
              <w:bottom w:val="single" w:color="CCCCCC" w:sz="4"/>
              <w:right w:val="single" w:color="CCCCCC" w:sz="4"/>
            </w:tcBorders>
            <w:shd w:fill="F0FDFA" w:val="clear"/>
            <w:tcMar>
              <w:top w:type="dxa" w:w="80"/>
              <w:left w:type="dxa" w:w="120"/>
              <w:bottom w:type="dxa" w:w="80"/>
              <w:right w:type="dxa" w:w="120"/>
            </w:tcMar>
          </w:tcPr>
          <w:p>
            <w:r>
              <w:rPr>
                <w:rFonts w:ascii="Arial" w:cs="Arial" w:eastAsia="Arial" w:hAnsi="Arial"/>
                <w:b w:val="false"/>
                <w:bCs w:val="false"/>
                <w:color w:val="1A2E3B"/>
                <w:sz w:val="18"/>
                <w:szCs w:val="18"/>
              </w:rPr>
              <w:t xml:space="preserve">Long-tail: few artists dominate most playcounts</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2E3B"/>
                <w:sz w:val="18"/>
                <w:szCs w:val="18"/>
              </w:rPr>
              <w:t xml:space="preserve">Source</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2E3B"/>
                <w:sz w:val="18"/>
                <w:szCs w:val="18"/>
              </w:rPr>
              <w:t xml:space="preserve">Last.fm 360K public dataset (Celma, 2010)</w:t>
            </w:r>
          </w:p>
        </w:tc>
      </w:tr>
    </w:tbl>
    <w:p>
      <w:pPr>
        <w:spacing w:after="200" w:before="80"/>
      </w:pPr>
      <w:r>
        <w:rPr>
          <w:rFonts w:ascii="Arial" w:cs="Arial" w:eastAsia="Arial" w:hAnsi="Arial"/>
          <w:i/>
          <w:iCs/>
          <w:color w:val="555555"/>
          <w:sz w:val="18"/>
          <w:szCs w:val="18"/>
        </w:rPr>
        <w:t xml:space="preserve">Table 3. Dataset characteristics.</w:t>
      </w:r>
    </w:p>
    <w:p>
      <w:pPr>
        <w:spacing w:after="120" w:before="320"/>
      </w:pPr>
      <w:r>
        <w:rPr>
          <w:rFonts w:ascii="Arial" w:cs="Arial" w:eastAsia="Arial" w:hAnsi="Arial"/>
          <w:b/>
          <w:bCs/>
          <w:color w:val="0D9488"/>
          <w:sz w:val="24"/>
          <w:szCs w:val="24"/>
        </w:rPr>
        <w:t xml:space="preserve">4.2 Comparison Methods</w:t>
      </w:r>
    </w:p>
    <w:p>
      <w:pPr>
        <w:spacing w:after="160" w:before="0"/>
      </w:pPr>
      <w:r>
        <w:rPr>
          <w:rFonts w:ascii="Arial" w:cs="Arial" w:eastAsia="Arial" w:hAnsi="Arial"/>
          <w:color w:val="1A2E3B"/>
          <w:sz w:val="20"/>
          <w:szCs w:val="20"/>
        </w:rPr>
        <w:t xml:space="preserve">Four recommendation methods are evaluated:</w:t>
      </w:r>
    </w:p>
    <w:p>
      <w:pPr>
        <w:spacing w:after="160" w:before="0"/>
      </w:pPr>
      <w:r>
        <w:rPr>
          <w:rFonts w:ascii="Arial" w:cs="Arial" w:eastAsia="Arial" w:hAnsi="Arial"/>
          <w:color w:val="1A2E3B"/>
          <w:sz w:val="20"/>
          <w:szCs w:val="20"/>
        </w:rPr>
        <w:t xml:space="preserve">1. Popularity Baseline: Recommends the top-5 globally most-played artists to every user, ignoring individual preferences and country context entirely.</w:t>
      </w:r>
    </w:p>
    <w:p>
      <w:pPr>
        <w:spacing w:after="160" w:before="0"/>
      </w:pPr>
      <w:r>
        <w:rPr>
          <w:rFonts w:ascii="Arial" w:cs="Arial" w:eastAsia="Arial" w:hAnsi="Arial"/>
          <w:color w:val="1A2E3B"/>
          <w:sz w:val="20"/>
          <w:szCs w:val="20"/>
        </w:rPr>
        <w:t xml:space="preserve">2. User-KNN (k=10): Finds the 10 most similar users by cosine similarity on normalised playcounts. Aggregates neighbour playcounts weighted by similarity. Returns the top-5 unheard artists.</w:t>
      </w:r>
    </w:p>
    <w:p>
      <w:pPr>
        <w:spacing w:after="160" w:before="0"/>
      </w:pPr>
      <w:r>
        <w:rPr>
          <w:rFonts w:ascii="Arial" w:cs="Arial" w:eastAsia="Arial" w:hAnsi="Arial"/>
          <w:color w:val="1A2E3B"/>
          <w:sz w:val="20"/>
          <w:szCs w:val="20"/>
        </w:rPr>
        <w:t xml:space="preserve">3. SVD (20 factors): Applies truncated Singular Value Decomposition (k=20) to the log-scaled, mean-centred playcount matrix. Uses reconstructed latent-factor scores to rank unheard artists.</w:t>
      </w:r>
    </w:p>
    <w:p>
      <w:pPr>
        <w:spacing w:after="160" w:before="0"/>
      </w:pPr>
      <w:r>
        <w:rPr>
          <w:rFonts w:ascii="Arial" w:cs="Arial" w:eastAsia="Arial" w:hAnsi="Arial"/>
          <w:color w:val="1A2E3B"/>
          <w:sz w:val="20"/>
          <w:szCs w:val="20"/>
        </w:rPr>
        <w:t xml:space="preserve">4. Proposed (Mainstreaminess-AF-ILF): Classifies users by Cc:AF,u:AF tertile and applies the corresponding global/mixed/local strategy, with already-heard filtering.</w:t>
      </w:r>
    </w:p>
    <w:p>
      <w:pPr>
        <w:spacing w:after="120" w:before="320"/>
      </w:pPr>
      <w:r>
        <w:rPr>
          <w:rFonts w:ascii="Arial" w:cs="Arial" w:eastAsia="Arial" w:hAnsi="Arial"/>
          <w:b/>
          <w:bCs/>
          <w:color w:val="0D9488"/>
          <w:sz w:val="24"/>
          <w:szCs w:val="24"/>
        </w:rPr>
        <w:t xml:space="preserve">4.3 Evaluation Protocol</w:t>
      </w:r>
    </w:p>
    <w:p>
      <w:pPr>
        <w:spacing w:after="160" w:before="0"/>
      </w:pPr>
      <w:r>
        <w:rPr>
          <w:rFonts w:ascii="Arial" w:cs="Arial" w:eastAsia="Arial" w:hAnsi="Arial"/>
          <w:color w:val="1A2E3B"/>
          <w:sz w:val="20"/>
          <w:szCs w:val="20"/>
        </w:rPr>
        <w:t xml:space="preserve">All four methods are evaluated on a fixed evaluation sample of 50 users (EVAL_SAMPLE = first 50 users by index) to ensure fair comparison. Two metrics are computed:</w:t>
      </w:r>
    </w:p>
    <w:p>
      <w:pPr>
        <w:spacing w:after="160" w:before="0"/>
      </w:pPr>
      <w:r>
        <w:rPr>
          <w:rFonts w:ascii="Arial" w:cs="Arial" w:eastAsia="Arial" w:hAnsi="Arial"/>
          <w:color w:val="1A2E3B"/>
          <w:sz w:val="20"/>
          <w:szCs w:val="20"/>
        </w:rPr>
        <w:t xml:space="preserve">Novelty: For each user in EVAL_SAMPLE, we compute the fraction of the 5 recommendations the user has NOT previously heard (playcount == 0). Novelty = 1 - mean(already_heard_fraction). Higher is better.</w:t>
      </w:r>
    </w:p>
    <w:p>
      <w:pPr>
        <w:spacing w:after="160" w:before="0"/>
      </w:pPr>
      <w:r>
        <w:rPr>
          <w:rFonts w:ascii="Arial" w:cs="Arial" w:eastAsia="Arial" w:hAnsi="Arial"/>
          <w:color w:val="1A2E3B"/>
          <w:sz w:val="20"/>
          <w:szCs w:val="20"/>
        </w:rPr>
        <w:t xml:space="preserve">Personalization: Mean pairwise Jaccard distance between recommendation sets across all pairs of users in EVAL_SAMPLE. Jaccard distance = 1 - |intersection| / |union|. Score of 1.0 = all users receive completely different lists; 0.0 = all users receive identical lists. Higher is better for personalised systems.</w:t>
      </w:r>
    </w:p>
    <w:p>
      <w:pPr>
        <w:spacing w:after="160" w:before="0"/>
      </w:pPr>
      <w:r>
        <w:rPr>
          <w:rFonts w:ascii="Arial" w:cs="Arial" w:eastAsia="Arial" w:hAnsi="Arial"/>
          <w:color w:val="1A2E3B"/>
          <w:sz w:val="20"/>
          <w:szCs w:val="20"/>
        </w:rPr>
        <w:t xml:space="preserve">For SVD, RMSE on a held-out 20% test split of non-zero entries (log-scale) is additionally reported.</w:t>
      </w:r>
    </w:p>
    <w:p>
      <w:r>
        <w:br w:type="page"/>
      </w:r>
    </w:p>
    <w:p>
      <w:pPr>
        <w:pBdr>
          <w:bottom w:val="single" w:color="0D9488" w:sz="6" w:space="4"/>
        </w:pBdr>
        <w:spacing w:after="160" w:before="480"/>
      </w:pPr>
      <w:r>
        <w:rPr>
          <w:rFonts w:ascii="Arial" w:cs="Arial" w:eastAsia="Arial" w:hAnsi="Arial"/>
          <w:b/>
          <w:bCs/>
          <w:color w:val="1A2E3B"/>
          <w:sz w:val="30"/>
          <w:szCs w:val="30"/>
        </w:rPr>
        <w:t xml:space="preserve">5. Performance Analysis</w:t>
      </w:r>
    </w:p>
    <w:p>
      <w:pPr>
        <w:spacing w:after="120" w:before="320"/>
      </w:pPr>
      <w:r>
        <w:rPr>
          <w:rFonts w:ascii="Arial" w:cs="Arial" w:eastAsia="Arial" w:hAnsi="Arial"/>
          <w:b/>
          <w:bCs/>
          <w:color w:val="0D9488"/>
          <w:sz w:val="24"/>
          <w:szCs w:val="24"/>
        </w:rPr>
        <w:t xml:space="preserve">5.1 AF vs AF-ILF: Uncovering Country-Specific Mainstream</w:t>
      </w:r>
    </w:p>
    <w:p>
      <w:pPr>
        <w:spacing w:after="160" w:before="0"/>
      </w:pPr>
      <w:r>
        <w:rPr>
          <w:rFonts w:ascii="Arial" w:cs="Arial" w:eastAsia="Arial" w:hAnsi="Arial"/>
          <w:color w:val="1A2E3B"/>
          <w:sz w:val="20"/>
          <w:szCs w:val="20"/>
        </w:rPr>
        <w:t xml:space="preserve">Figure 1 illustrates the key motivation for the AF-ILF weighting. Raw AF rankings for every country are dominated by the same globally popular artists (Radiohead, Pink Floyd, Metallica). AF-ILF suppresses these globally ubiquitous artists and surfaces locally distinctive ones: for Turkey, Duman and Grup Yorum emerge; for Finland, CMX and Nightwish appear; for the US, the two rankings converge because US preferences closely mirror the global mainstream.</w:t>
      </w:r>
    </w:p>
    <w:p>
      <w:pPr>
        <w:spacing w:after="0" w:before="160"/>
        <w:jc w:val="center"/>
      </w:pPr>
      <w:r>
        <w:drawing>
          <wp:inline distT="0" distB="0" distL="0" distR="0">
            <wp:extent cx="5524500" cy="3429000"/>
            <wp:effectExtent t="0" r="0" b="0" l="0"/>
            <wp:docPr id="1" name="fig1_af_vs_afilf.png" descr="fig1_af_vs_afilf.png" title="fig1_af_vs_afil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429000"/>
                    </a:xfrm>
                    <a:prstGeom prst="rect">
                      <a:avLst/>
                    </a:prstGeom>
                  </pic:spPr>
                </pic:pic>
              </a:graphicData>
            </a:graphic>
          </wp:inline>
        </w:drawing>
      </w:r>
    </w:p>
    <w:p>
      <w:pPr>
        <w:spacing w:after="240" w:before="80"/>
        <w:jc w:val="center"/>
      </w:pPr>
      <w:r>
        <w:rPr>
          <w:rFonts w:ascii="Arial" w:cs="Arial" w:eastAsia="Arial" w:hAnsi="Arial"/>
          <w:b/>
          <w:bCs/>
          <w:i/>
          <w:iCs/>
          <w:color w:val="555555"/>
          <w:sz w:val="18"/>
          <w:szCs w:val="18"/>
        </w:rPr>
        <w:t xml:space="preserve">Figure 1. Top-5 artists by raw AF (left) vs AF-ILF (right) for TR, FI, US, GB.</w:t>
      </w:r>
    </w:p>
    <w:p>
      <w:pPr>
        <w:spacing w:after="120" w:before="320"/>
      </w:pPr>
      <w:r>
        <w:rPr>
          <w:rFonts w:ascii="Arial" w:cs="Arial" w:eastAsia="Arial" w:hAnsi="Arial"/>
          <w:b/>
          <w:bCs/>
          <w:color w:val="0D9488"/>
          <w:sz w:val="24"/>
          <w:szCs w:val="24"/>
        </w:rPr>
        <w:t xml:space="preserve">5.2 Country-Level Mainstreaminess Heatmap</w:t>
      </w:r>
    </w:p>
    <w:p>
      <w:pPr>
        <w:spacing w:after="160" w:before="0"/>
      </w:pPr>
      <w:r>
        <w:rPr>
          <w:rFonts w:ascii="Arial" w:cs="Arial" w:eastAsia="Arial" w:hAnsi="Arial"/>
          <w:color w:val="1A2E3B"/>
          <w:sz w:val="20"/>
          <w:szCs w:val="20"/>
        </w:rPr>
        <w:t xml:space="preserve">Figure 2 shows the mean mainstreaminess score per country across the 6 most informative measures. US consistently scores highest across all measures, confirming its alignment with global mainstream listening patterns. Finland (FI) scores lowest on global measures (Fg, Dg, Cg) but high on country-level measures (Fc, Dc, Cc), indicating internal coherence of Finnish users despite their deviation from the global mainstream.</w:t>
      </w:r>
    </w:p>
    <w:p>
      <w:pPr>
        <w:spacing w:after="0" w:before="160"/>
        <w:jc w:val="center"/>
      </w:pPr>
      <w:r>
        <w:drawing>
          <wp:inline distT="0" distB="0" distL="0" distR="0">
            <wp:extent cx="5334000" cy="3238500"/>
            <wp:effectExtent t="0" r="0" b="0" l="0"/>
            <wp:docPr id="1" name="fig2_country_heatmap.png" descr="fig2_country_heatmap.png" title="fig2_country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238500"/>
                    </a:xfrm>
                    <a:prstGeom prst="rect">
                      <a:avLst/>
                    </a:prstGeom>
                  </pic:spPr>
                </pic:pic>
              </a:graphicData>
            </a:graphic>
          </wp:inline>
        </w:drawing>
      </w:r>
    </w:p>
    <w:p>
      <w:pPr>
        <w:spacing w:after="240" w:before="80"/>
        <w:jc w:val="center"/>
      </w:pPr>
      <w:r>
        <w:rPr>
          <w:rFonts w:ascii="Arial" w:cs="Arial" w:eastAsia="Arial" w:hAnsi="Arial"/>
          <w:b/>
          <w:bCs/>
          <w:i/>
          <w:iCs/>
          <w:color w:val="555555"/>
          <w:sz w:val="18"/>
          <w:szCs w:val="18"/>
        </w:rPr>
        <w:t xml:space="preserve">Figure 2. Country-level average mainstreaminess heatmap (6 key measures, sorted by Cg:AF).</w:t>
      </w:r>
    </w:p>
    <w:p>
      <w:pPr>
        <w:spacing w:after="120" w:before="320"/>
      </w:pPr>
      <w:r>
        <w:rPr>
          <w:rFonts w:ascii="Arial" w:cs="Arial" w:eastAsia="Arial" w:hAnsi="Arial"/>
          <w:b/>
          <w:bCs/>
          <w:color w:val="0D9488"/>
          <w:sz w:val="24"/>
          <w:szCs w:val="24"/>
        </w:rPr>
        <w:t xml:space="preserve">5.3 Mainstreaminess Level Distribution</w:t>
      </w:r>
    </w:p>
    <w:p>
      <w:pPr>
        <w:spacing w:after="160" w:before="0"/>
      </w:pPr>
      <w:r>
        <w:rPr>
          <w:rFonts w:ascii="Arial" w:cs="Arial" w:eastAsia="Arial" w:hAnsi="Arial"/>
          <w:color w:val="1A2E3B"/>
          <w:sz w:val="20"/>
          <w:szCs w:val="20"/>
        </w:rPr>
        <w:t xml:space="preserve">Figure 3 shows the Low/Mid/High level distribution per country. Countries are sorted in ascending order of global Kendall tau. Finland is dominated by High-mainstreaminess users (within their own country), reflecting the coherence of Finnish metal listening culture. The US has a high proportion of Low users because its global ranking closely mirrors every other country's ranking - paradoxically, being globally mainstream means a low country-level rank correlation score.</w:t>
      </w:r>
    </w:p>
    <w:p>
      <w:pPr>
        <w:spacing w:after="0" w:before="160"/>
        <w:jc w:val="center"/>
      </w:pPr>
      <w:r>
        <w:drawing>
          <wp:inline distT="0" distB="0" distL="0" distR="0">
            <wp:extent cx="5143500" cy="3048000"/>
            <wp:effectExtent t="0" r="0" b="0" l="0"/>
            <wp:docPr id="1" name="fig3_level_distribution.png" descr="fig3_level_distribution.png" title="fig3_level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048000"/>
                    </a:xfrm>
                    <a:prstGeom prst="rect">
                      <a:avLst/>
                    </a:prstGeom>
                  </pic:spPr>
                </pic:pic>
              </a:graphicData>
            </a:graphic>
          </wp:inline>
        </w:drawing>
      </w:r>
    </w:p>
    <w:p>
      <w:pPr>
        <w:spacing w:after="240" w:before="80"/>
        <w:jc w:val="center"/>
      </w:pPr>
      <w:r>
        <w:rPr>
          <w:rFonts w:ascii="Arial" w:cs="Arial" w:eastAsia="Arial" w:hAnsi="Arial"/>
          <w:b/>
          <w:bCs/>
          <w:i/>
          <w:iCs/>
          <w:color w:val="555555"/>
          <w:sz w:val="18"/>
          <w:szCs w:val="18"/>
        </w:rPr>
        <w:t xml:space="preserve">Figure 3. Low/Mid/High mainstreaminess level distribution per country.</w:t>
      </w:r>
    </w:p>
    <w:p>
      <w:pPr>
        <w:spacing w:after="120" w:before="320"/>
      </w:pPr>
      <w:r>
        <w:rPr>
          <w:rFonts w:ascii="Arial" w:cs="Arial" w:eastAsia="Arial" w:hAnsi="Arial"/>
          <w:b/>
          <w:bCs/>
          <w:color w:val="0D9488"/>
          <w:sz w:val="24"/>
          <w:szCs w:val="24"/>
        </w:rPr>
        <w:t xml:space="preserve">5.4 Global Mainstreaminess Ranking</w:t>
      </w:r>
    </w:p>
    <w:p>
      <w:pPr>
        <w:spacing w:after="160" w:before="0"/>
      </w:pPr>
      <w:r>
        <w:rPr>
          <w:rFonts w:ascii="Arial" w:cs="Arial" w:eastAsia="Arial" w:hAnsi="Arial"/>
          <w:color w:val="1A2E3B"/>
          <w:sz w:val="20"/>
          <w:szCs w:val="20"/>
        </w:rPr>
        <w:t xml:space="preserve">Figure 4 ranks all 12 countries by their mean global Kendall tau (Cg:AF,u:AF). The US ranks first (+0.55), followed by GB (+0.51) and DE (+0.50). Finland ranks last (+0.40), consistent with the original paper's finding that Finnish users deviate most from the global mainstream due to the dominance of local metal and folk artists.</w:t>
      </w:r>
    </w:p>
    <w:p>
      <w:pPr>
        <w:spacing w:after="0" w:before="160"/>
        <w:jc w:val="center"/>
      </w:pPr>
      <w:r>
        <w:drawing>
          <wp:inline distT="0" distB="0" distL="0" distR="0">
            <wp:extent cx="4572000" cy="3048000"/>
            <wp:effectExtent t="0" r="0" b="0" l="0"/>
            <wp:docPr id="1" name="fig4_global_ranking.png" descr="fig4_global_ranking.png" title="fig4_global_rank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048000"/>
                    </a:xfrm>
                    <a:prstGeom prst="rect">
                      <a:avLst/>
                    </a:prstGeom>
                  </pic:spPr>
                </pic:pic>
              </a:graphicData>
            </a:graphic>
          </wp:inline>
        </w:drawing>
      </w:r>
    </w:p>
    <w:p>
      <w:pPr>
        <w:spacing w:after="240" w:before="80"/>
        <w:jc w:val="center"/>
      </w:pPr>
      <w:r>
        <w:rPr>
          <w:rFonts w:ascii="Arial" w:cs="Arial" w:eastAsia="Arial" w:hAnsi="Arial"/>
          <w:b/>
          <w:bCs/>
          <w:i/>
          <w:iCs/>
          <w:color w:val="555555"/>
          <w:sz w:val="18"/>
          <w:szCs w:val="18"/>
        </w:rPr>
        <w:t xml:space="preserve">Figure 4. Global mainstreaminess ranking by country (Cg:AF,u:AF, Kendall tau).</w:t>
      </w:r>
    </w:p>
    <w:p>
      <w:pPr>
        <w:spacing w:after="120" w:before="320"/>
      </w:pPr>
      <w:r>
        <w:rPr>
          <w:rFonts w:ascii="Arial" w:cs="Arial" w:eastAsia="Arial" w:hAnsi="Arial"/>
          <w:b/>
          <w:bCs/>
          <w:color w:val="0D9488"/>
          <w:sz w:val="24"/>
          <w:szCs w:val="24"/>
        </w:rPr>
        <w:t xml:space="preserve">5.5 Recommendation Method Comparison</w:t>
      </w:r>
    </w:p>
    <w:p>
      <w:pPr>
        <w:spacing w:after="160" w:before="0"/>
      </w:pPr>
      <w:r>
        <w:rPr>
          <w:rFonts w:ascii="Arial" w:cs="Arial" w:eastAsia="Arial" w:hAnsi="Arial"/>
          <w:color w:val="1A2E3B"/>
          <w:sz w:val="20"/>
          <w:szCs w:val="20"/>
        </w:rPr>
        <w:t xml:space="preserve">Figure 5 and Table 4 summarise the Novelty and Personalization scores for all four methods.</w:t>
      </w:r>
    </w:p>
    <w:p>
      <w:pPr>
        <w:spacing w:after="0" w:before="160"/>
        <w:jc w:val="center"/>
      </w:pPr>
      <w:r>
        <w:drawing>
          <wp:inline distT="0" distB="0" distL="0" distR="0">
            <wp:extent cx="5334000" cy="2857500"/>
            <wp:effectExtent t="0" r="0" b="0" l="0"/>
            <wp:docPr id="1" name="fig5_method_comparison.png" descr="fig5_method_comparison.png" title="fig5_method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857500"/>
                    </a:xfrm>
                    <a:prstGeom prst="rect">
                      <a:avLst/>
                    </a:prstGeom>
                  </pic:spPr>
                </pic:pic>
              </a:graphicData>
            </a:graphic>
          </wp:inline>
        </w:drawing>
      </w:r>
    </w:p>
    <w:p>
      <w:pPr>
        <w:spacing w:after="240" w:before="80"/>
        <w:jc w:val="center"/>
      </w:pPr>
      <w:r>
        <w:rPr>
          <w:rFonts w:ascii="Arial" w:cs="Arial" w:eastAsia="Arial" w:hAnsi="Arial"/>
          <w:b/>
          <w:bCs/>
          <w:i/>
          <w:iCs/>
          <w:color w:val="555555"/>
          <w:sz w:val="18"/>
          <w:szCs w:val="18"/>
        </w:rPr>
        <w:t xml:space="preserve">Figure 5. Novelty and Personalization scores for all four recommendation methods.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0"/>
        <w:gridCol w:w="1620"/>
        <w:gridCol w:w="1620"/>
        <w:gridCol w:w="3168"/>
      </w:tblGrid>
      <w:tr>
        <w:tc>
          <w:tcPr>
            <w:tcW w:type="dxa" w:w="3240"/>
            <w:tcBorders>
              <w:top w:val="single" w:color="CCCCCC" w:sz="4"/>
              <w:left w:val="single" w:color="CCCCCC" w:sz="4"/>
              <w:bottom w:val="single" w:color="CCCCCC" w:sz="4"/>
              <w:right w:val="single" w:color="CCCCCC" w:sz="4"/>
            </w:tcBorders>
            <w:shd w:fill="0D9488"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1620"/>
            <w:tcBorders>
              <w:top w:val="single" w:color="CCCCCC" w:sz="4"/>
              <w:left w:val="single" w:color="CCCCCC" w:sz="4"/>
              <w:bottom w:val="single" w:color="CCCCCC" w:sz="4"/>
              <w:right w:val="single" w:color="CCCCCC" w:sz="4"/>
            </w:tcBorders>
            <w:shd w:fill="0D9488" w:val="clear"/>
            <w:tcMar>
              <w:top w:type="dxa" w:w="80"/>
              <w:left w:type="dxa" w:w="120"/>
              <w:bottom w:type="dxa" w:w="80"/>
              <w:right w:type="dxa" w:w="120"/>
            </w:tcMar>
          </w:tcPr>
          <w:p>
            <w:r>
              <w:rPr>
                <w:rFonts w:ascii="Arial" w:cs="Arial" w:eastAsia="Arial" w:hAnsi="Arial"/>
                <w:b/>
                <w:bCs/>
                <w:color w:val="FFFFFF"/>
                <w:sz w:val="18"/>
                <w:szCs w:val="18"/>
              </w:rPr>
              <w:t xml:space="preserve">Novelty</w:t>
            </w:r>
          </w:p>
        </w:tc>
        <w:tc>
          <w:tcPr>
            <w:tcW w:type="dxa" w:w="1620"/>
            <w:tcBorders>
              <w:top w:val="single" w:color="CCCCCC" w:sz="4"/>
              <w:left w:val="single" w:color="CCCCCC" w:sz="4"/>
              <w:bottom w:val="single" w:color="CCCCCC" w:sz="4"/>
              <w:right w:val="single" w:color="CCCCCC" w:sz="4"/>
            </w:tcBorders>
            <w:shd w:fill="0D9488" w:val="clear"/>
            <w:tcMar>
              <w:top w:type="dxa" w:w="80"/>
              <w:left w:type="dxa" w:w="120"/>
              <w:bottom w:type="dxa" w:w="80"/>
              <w:right w:type="dxa" w:w="120"/>
            </w:tcMar>
          </w:tcPr>
          <w:p>
            <w:r>
              <w:rPr>
                <w:rFonts w:ascii="Arial" w:cs="Arial" w:eastAsia="Arial" w:hAnsi="Arial"/>
                <w:b/>
                <w:bCs/>
                <w:color w:val="FFFFFF"/>
                <w:sz w:val="18"/>
                <w:szCs w:val="18"/>
              </w:rPr>
              <w:t xml:space="preserve">Personalization</w:t>
            </w:r>
          </w:p>
        </w:tc>
        <w:tc>
          <w:tcPr>
            <w:tcW w:type="dxa" w:w="3168"/>
            <w:tcBorders>
              <w:top w:val="single" w:color="CCCCCC" w:sz="4"/>
              <w:left w:val="single" w:color="CCCCCC" w:sz="4"/>
              <w:bottom w:val="single" w:color="CCCCCC" w:sz="4"/>
              <w:right w:val="single" w:color="CCCCCC" w:sz="4"/>
            </w:tcBorders>
            <w:shd w:fill="0D9488"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240"/>
            <w:tcBorders>
              <w:top w:val="single" w:color="CCCCCC" w:sz="4"/>
              <w:left w:val="single" w:color="CCCCCC" w:sz="4"/>
              <w:bottom w:val="single" w:color="CCCCCC" w:sz="4"/>
              <w:right w:val="single" w:color="CCCCCC" w:sz="4"/>
            </w:tcBorders>
            <w:shd w:fill="F0FDFA" w:val="clear"/>
            <w:tcMar>
              <w:top w:type="dxa" w:w="80"/>
              <w:left w:type="dxa" w:w="120"/>
              <w:bottom w:type="dxa" w:w="80"/>
              <w:right w:type="dxa" w:w="120"/>
            </w:tcMar>
          </w:tcPr>
          <w:p>
            <w:r>
              <w:rPr>
                <w:rFonts w:ascii="Arial" w:cs="Arial" w:eastAsia="Arial" w:hAnsi="Arial"/>
                <w:b w:val="false"/>
                <w:bCs w:val="false"/>
                <w:color w:val="1A2E3B"/>
                <w:sz w:val="18"/>
                <w:szCs w:val="18"/>
              </w:rPr>
              <w:t xml:space="preserve">Popularity Baseline</w:t>
            </w:r>
          </w:p>
        </w:tc>
        <w:tc>
          <w:tcPr>
            <w:tcW w:type="dxa" w:w="1620"/>
            <w:tcBorders>
              <w:top w:val="single" w:color="CCCCCC" w:sz="4"/>
              <w:left w:val="single" w:color="CCCCCC" w:sz="4"/>
              <w:bottom w:val="single" w:color="CCCCCC" w:sz="4"/>
              <w:right w:val="single" w:color="CCCCCC" w:sz="4"/>
            </w:tcBorders>
            <w:shd w:fill="F0FDFA" w:val="clear"/>
            <w:tcMar>
              <w:top w:type="dxa" w:w="80"/>
              <w:left w:type="dxa" w:w="120"/>
              <w:bottom w:type="dxa" w:w="80"/>
              <w:right w:type="dxa" w:w="120"/>
            </w:tcMar>
          </w:tcPr>
          <w:p>
            <w:r>
              <w:rPr>
                <w:rFonts w:ascii="Arial" w:cs="Arial" w:eastAsia="Arial" w:hAnsi="Arial"/>
                <w:b w:val="false"/>
                <w:bCs w:val="false"/>
                <w:color w:val="1A2E3B"/>
                <w:sz w:val="18"/>
                <w:szCs w:val="18"/>
              </w:rPr>
              <w:t xml:space="preserve">0.848</w:t>
            </w:r>
          </w:p>
        </w:tc>
        <w:tc>
          <w:tcPr>
            <w:tcW w:type="dxa" w:w="1620"/>
            <w:tcBorders>
              <w:top w:val="single" w:color="CCCCCC" w:sz="4"/>
              <w:left w:val="single" w:color="CCCCCC" w:sz="4"/>
              <w:bottom w:val="single" w:color="CCCCCC" w:sz="4"/>
              <w:right w:val="single" w:color="CCCCCC" w:sz="4"/>
            </w:tcBorders>
            <w:shd w:fill="F0FDFA" w:val="clear"/>
            <w:tcMar>
              <w:top w:type="dxa" w:w="80"/>
              <w:left w:type="dxa" w:w="120"/>
              <w:bottom w:type="dxa" w:w="80"/>
              <w:right w:type="dxa" w:w="120"/>
            </w:tcMar>
          </w:tcPr>
          <w:p>
            <w:r>
              <w:rPr>
                <w:rFonts w:ascii="Arial" w:cs="Arial" w:eastAsia="Arial" w:hAnsi="Arial"/>
                <w:b w:val="false"/>
                <w:bCs w:val="false"/>
                <w:color w:val="1A2E3B"/>
                <w:sz w:val="18"/>
                <w:szCs w:val="18"/>
              </w:rPr>
              <w:t xml:space="preserve">0.000</w:t>
            </w:r>
          </w:p>
        </w:tc>
        <w:tc>
          <w:tcPr>
            <w:tcW w:type="dxa" w:w="3168"/>
            <w:tcBorders>
              <w:top w:val="single" w:color="CCCCCC" w:sz="4"/>
              <w:left w:val="single" w:color="CCCCCC" w:sz="4"/>
              <w:bottom w:val="single" w:color="CCCCCC" w:sz="4"/>
              <w:right w:val="single" w:color="CCCCCC" w:sz="4"/>
            </w:tcBorders>
            <w:shd w:fill="F0FDFA" w:val="clear"/>
            <w:tcMar>
              <w:top w:type="dxa" w:w="80"/>
              <w:left w:type="dxa" w:w="120"/>
              <w:bottom w:type="dxa" w:w="80"/>
              <w:right w:type="dxa" w:w="120"/>
            </w:tcMar>
          </w:tcPr>
          <w:p>
            <w:r>
              <w:rPr>
                <w:rFonts w:ascii="Arial" w:cs="Arial" w:eastAsia="Arial" w:hAnsi="Arial"/>
                <w:b w:val="false"/>
                <w:bCs w:val="false"/>
                <w:color w:val="1A2E3B"/>
                <w:sz w:val="18"/>
                <w:szCs w:val="18"/>
              </w:rPr>
              <w:t xml:space="preserve">Same list for all users; zero diversity</w:t>
            </w:r>
          </w:p>
        </w:tc>
      </w:tr>
      <w:tr>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2E3B"/>
                <w:sz w:val="18"/>
                <w:szCs w:val="18"/>
              </w:rPr>
              <w:t xml:space="preserve">User-KNN (k=10)</w:t>
            </w:r>
          </w:p>
        </w:tc>
        <w:tc>
          <w:tcPr>
            <w:tcW w:type="dxa" w:w="1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2E3B"/>
                <w:sz w:val="18"/>
                <w:szCs w:val="18"/>
              </w:rPr>
              <w:t xml:space="preserve">1.000</w:t>
            </w:r>
          </w:p>
        </w:tc>
        <w:tc>
          <w:tcPr>
            <w:tcW w:type="dxa" w:w="1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2E3B"/>
                <w:sz w:val="18"/>
                <w:szCs w:val="18"/>
              </w:rPr>
              <w:t xml:space="preserve">0.947</w:t>
            </w:r>
          </w:p>
        </w:tc>
        <w:tc>
          <w:tcPr>
            <w:tcW w:type="dxa" w:w="316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2E3B"/>
                <w:sz w:val="18"/>
                <w:szCs w:val="18"/>
              </w:rPr>
              <w:t xml:space="preserve">High diversity; user-specific neighbourhood</w:t>
            </w:r>
          </w:p>
        </w:tc>
      </w:tr>
      <w:tr>
        <w:tc>
          <w:tcPr>
            <w:tcW w:type="dxa" w:w="3240"/>
            <w:tcBorders>
              <w:top w:val="single" w:color="CCCCCC" w:sz="4"/>
              <w:left w:val="single" w:color="CCCCCC" w:sz="4"/>
              <w:bottom w:val="single" w:color="CCCCCC" w:sz="4"/>
              <w:right w:val="single" w:color="CCCCCC" w:sz="4"/>
            </w:tcBorders>
            <w:shd w:fill="F0FDFA" w:val="clear"/>
            <w:tcMar>
              <w:top w:type="dxa" w:w="80"/>
              <w:left w:type="dxa" w:w="120"/>
              <w:bottom w:type="dxa" w:w="80"/>
              <w:right w:type="dxa" w:w="120"/>
            </w:tcMar>
          </w:tcPr>
          <w:p>
            <w:r>
              <w:rPr>
                <w:rFonts w:ascii="Arial" w:cs="Arial" w:eastAsia="Arial" w:hAnsi="Arial"/>
                <w:b w:val="false"/>
                <w:bCs w:val="false"/>
                <w:color w:val="1A2E3B"/>
                <w:sz w:val="18"/>
                <w:szCs w:val="18"/>
              </w:rPr>
              <w:t xml:space="preserve">SVD (20 factors)</w:t>
            </w:r>
          </w:p>
        </w:tc>
        <w:tc>
          <w:tcPr>
            <w:tcW w:type="dxa" w:w="1620"/>
            <w:tcBorders>
              <w:top w:val="single" w:color="CCCCCC" w:sz="4"/>
              <w:left w:val="single" w:color="CCCCCC" w:sz="4"/>
              <w:bottom w:val="single" w:color="CCCCCC" w:sz="4"/>
              <w:right w:val="single" w:color="CCCCCC" w:sz="4"/>
            </w:tcBorders>
            <w:shd w:fill="F0FDFA" w:val="clear"/>
            <w:tcMar>
              <w:top w:type="dxa" w:w="80"/>
              <w:left w:type="dxa" w:w="120"/>
              <w:bottom w:type="dxa" w:w="80"/>
              <w:right w:type="dxa" w:w="120"/>
            </w:tcMar>
          </w:tcPr>
          <w:p>
            <w:r>
              <w:rPr>
                <w:rFonts w:ascii="Arial" w:cs="Arial" w:eastAsia="Arial" w:hAnsi="Arial"/>
                <w:b w:val="false"/>
                <w:bCs w:val="false"/>
                <w:color w:val="1A2E3B"/>
                <w:sz w:val="18"/>
                <w:szCs w:val="18"/>
              </w:rPr>
              <w:t xml:space="preserve">1.000</w:t>
            </w:r>
          </w:p>
        </w:tc>
        <w:tc>
          <w:tcPr>
            <w:tcW w:type="dxa" w:w="1620"/>
            <w:tcBorders>
              <w:top w:val="single" w:color="CCCCCC" w:sz="4"/>
              <w:left w:val="single" w:color="CCCCCC" w:sz="4"/>
              <w:bottom w:val="single" w:color="CCCCCC" w:sz="4"/>
              <w:right w:val="single" w:color="CCCCCC" w:sz="4"/>
            </w:tcBorders>
            <w:shd w:fill="F0FDFA" w:val="clear"/>
            <w:tcMar>
              <w:top w:type="dxa" w:w="80"/>
              <w:left w:type="dxa" w:w="120"/>
              <w:bottom w:type="dxa" w:w="80"/>
              <w:right w:type="dxa" w:w="120"/>
            </w:tcMar>
          </w:tcPr>
          <w:p>
            <w:r>
              <w:rPr>
                <w:rFonts w:ascii="Arial" w:cs="Arial" w:eastAsia="Arial" w:hAnsi="Arial"/>
                <w:b w:val="false"/>
                <w:bCs w:val="false"/>
                <w:color w:val="1A2E3B"/>
                <w:sz w:val="18"/>
                <w:szCs w:val="18"/>
              </w:rPr>
              <w:t xml:space="preserve">0.953</w:t>
            </w:r>
          </w:p>
        </w:tc>
        <w:tc>
          <w:tcPr>
            <w:tcW w:type="dxa" w:w="3168"/>
            <w:tcBorders>
              <w:top w:val="single" w:color="CCCCCC" w:sz="4"/>
              <w:left w:val="single" w:color="CCCCCC" w:sz="4"/>
              <w:bottom w:val="single" w:color="CCCCCC" w:sz="4"/>
              <w:right w:val="single" w:color="CCCCCC" w:sz="4"/>
            </w:tcBorders>
            <w:shd w:fill="F0FDFA" w:val="clear"/>
            <w:tcMar>
              <w:top w:type="dxa" w:w="80"/>
              <w:left w:type="dxa" w:w="120"/>
              <w:bottom w:type="dxa" w:w="80"/>
              <w:right w:type="dxa" w:w="120"/>
            </w:tcMar>
          </w:tcPr>
          <w:p>
            <w:r>
              <w:rPr>
                <w:rFonts w:ascii="Arial" w:cs="Arial" w:eastAsia="Arial" w:hAnsi="Arial"/>
                <w:b w:val="false"/>
                <w:bCs w:val="false"/>
                <w:color w:val="1A2E3B"/>
                <w:sz w:val="18"/>
                <w:szCs w:val="18"/>
              </w:rPr>
              <w:t xml:space="preserve">Highest personalization; latent-factor scores</w:t>
            </w:r>
          </w:p>
        </w:tc>
      </w:tr>
      <w:tr>
        <w:tc>
          <w:tcPr>
            <w:tcW w:type="dxa" w:w="3240"/>
            <w:tcBorders>
              <w:top w:val="single" w:color="CCCCCC" w:sz="4"/>
              <w:left w:val="single" w:color="CCCCCC" w:sz="4"/>
              <w:bottom w:val="single" w:color="CCCCCC" w:sz="4"/>
              <w:right w:val="single" w:color="CCCCCC" w:sz="4"/>
            </w:tcBorders>
            <w:shd w:fill="E0F7F4" w:val="clear"/>
            <w:tcMar>
              <w:top w:type="dxa" w:w="80"/>
              <w:left w:type="dxa" w:w="120"/>
              <w:bottom w:type="dxa" w:w="80"/>
              <w:right w:type="dxa" w:w="120"/>
            </w:tcMar>
          </w:tcPr>
          <w:p>
            <w:r>
              <w:rPr>
                <w:rFonts w:ascii="Arial" w:cs="Arial" w:eastAsia="Arial" w:hAnsi="Arial"/>
                <w:b w:val="false"/>
                <w:bCs w:val="false"/>
                <w:color w:val="1A2E3B"/>
                <w:sz w:val="18"/>
                <w:szCs w:val="18"/>
              </w:rPr>
              <w:t xml:space="preserve">Proposed (MS-AF-ILF)</w:t>
            </w:r>
          </w:p>
        </w:tc>
        <w:tc>
          <w:tcPr>
            <w:tcW w:type="dxa" w:w="1620"/>
            <w:tcBorders>
              <w:top w:val="single" w:color="CCCCCC" w:sz="4"/>
              <w:left w:val="single" w:color="CCCCCC" w:sz="4"/>
              <w:bottom w:val="single" w:color="CCCCCC" w:sz="4"/>
              <w:right w:val="single" w:color="CCCCCC" w:sz="4"/>
            </w:tcBorders>
            <w:shd w:fill="E0F7F4" w:val="clear"/>
            <w:tcMar>
              <w:top w:type="dxa" w:w="80"/>
              <w:left w:type="dxa" w:w="120"/>
              <w:bottom w:type="dxa" w:w="80"/>
              <w:right w:type="dxa" w:w="120"/>
            </w:tcMar>
          </w:tcPr>
          <w:p>
            <w:r>
              <w:rPr>
                <w:rFonts w:ascii="Arial" w:cs="Arial" w:eastAsia="Arial" w:hAnsi="Arial"/>
                <w:b w:val="false"/>
                <w:bCs w:val="false"/>
                <w:color w:val="1A2E3B"/>
                <w:sz w:val="18"/>
                <w:szCs w:val="18"/>
              </w:rPr>
              <w:t xml:space="preserve">1.000</w:t>
            </w:r>
          </w:p>
        </w:tc>
        <w:tc>
          <w:tcPr>
            <w:tcW w:type="dxa" w:w="1620"/>
            <w:tcBorders>
              <w:top w:val="single" w:color="CCCCCC" w:sz="4"/>
              <w:left w:val="single" w:color="CCCCCC" w:sz="4"/>
              <w:bottom w:val="single" w:color="CCCCCC" w:sz="4"/>
              <w:right w:val="single" w:color="CCCCCC" w:sz="4"/>
            </w:tcBorders>
            <w:shd w:fill="E0F7F4" w:val="clear"/>
            <w:tcMar>
              <w:top w:type="dxa" w:w="80"/>
              <w:left w:type="dxa" w:w="120"/>
              <w:bottom w:type="dxa" w:w="80"/>
              <w:right w:type="dxa" w:w="120"/>
            </w:tcMar>
          </w:tcPr>
          <w:p>
            <w:r>
              <w:rPr>
                <w:rFonts w:ascii="Arial" w:cs="Arial" w:eastAsia="Arial" w:hAnsi="Arial"/>
                <w:b w:val="false"/>
                <w:bCs w:val="false"/>
                <w:color w:val="1A2E3B"/>
                <w:sz w:val="18"/>
                <w:szCs w:val="18"/>
              </w:rPr>
              <w:t xml:space="preserve">0.335</w:t>
            </w:r>
          </w:p>
        </w:tc>
        <w:tc>
          <w:tcPr>
            <w:tcW w:type="dxa" w:w="3168"/>
            <w:tcBorders>
              <w:top w:val="single" w:color="CCCCCC" w:sz="4"/>
              <w:left w:val="single" w:color="CCCCCC" w:sz="4"/>
              <w:bottom w:val="single" w:color="CCCCCC" w:sz="4"/>
              <w:right w:val="single" w:color="CCCCCC" w:sz="4"/>
            </w:tcBorders>
            <w:shd w:fill="E0F7F4" w:val="clear"/>
            <w:tcMar>
              <w:top w:type="dxa" w:w="80"/>
              <w:left w:type="dxa" w:w="120"/>
              <w:bottom w:type="dxa" w:w="80"/>
              <w:right w:type="dxa" w:w="120"/>
            </w:tcMar>
          </w:tcPr>
          <w:p>
            <w:r>
              <w:rPr>
                <w:rFonts w:ascii="Arial" w:cs="Arial" w:eastAsia="Arial" w:hAnsi="Arial"/>
                <w:b w:val="false"/>
                <w:bCs w:val="false"/>
                <w:color w:val="1A2E3B"/>
                <w:sz w:val="18"/>
                <w:szCs w:val="18"/>
              </w:rPr>
              <w:t xml:space="preserve">Country-clustered; moderate diversity by design</w:t>
            </w:r>
          </w:p>
        </w:tc>
      </w:tr>
    </w:tbl>
    <w:p>
      <w:pPr>
        <w:spacing w:after="200" w:before="80"/>
      </w:pPr>
      <w:r>
        <w:rPr>
          <w:rFonts w:ascii="Arial" w:cs="Arial" w:eastAsia="Arial" w:hAnsi="Arial"/>
          <w:i/>
          <w:iCs/>
          <w:color w:val="555555"/>
          <w:sz w:val="18"/>
          <w:szCs w:val="18"/>
        </w:rPr>
        <w:t xml:space="preserve">Table 4. Recommendation method comparison results (EVAL_SAMPLE = 50 users).</w:t>
      </w:r>
    </w:p>
    <w:p>
      <w:pPr>
        <w:spacing w:after="160" w:before="0"/>
      </w:pPr>
      <w:r>
        <w:rPr>
          <w:rFonts w:ascii="Arial" w:cs="Arial" w:eastAsia="Arial" w:hAnsi="Arial"/>
          <w:color w:val="1A2E3B"/>
          <w:sz w:val="20"/>
          <w:szCs w:val="20"/>
        </w:rPr>
        <w:t xml:space="preserve">The Popularity Baseline achieves Novelty=0.848 because most users in the real Last.fm dataset have not heard all globally top artists. However, its Personalization=0.000 confirms that every user receives the same 5 artists - the system has no personalisation capability whatsoever.</w:t>
      </w:r>
    </w:p>
    <w:p>
      <w:pPr>
        <w:spacing w:after="160" w:before="0"/>
      </w:pPr>
      <w:r>
        <w:rPr>
          <w:rFonts w:ascii="Arial" w:cs="Arial" w:eastAsia="Arial" w:hAnsi="Arial"/>
          <w:color w:val="1A2E3B"/>
          <w:sz w:val="20"/>
          <w:szCs w:val="20"/>
        </w:rPr>
        <w:t xml:space="preserve">User-KNN and SVD both achieve perfect Novelty (1.000) because they filter already-heard artists before recommending. SVD achieves slightly higher Personalization (0.953 vs 0.947), likely because latent-factor representations are more discriminative than cosine similarity on sparse playcount vectors.</w:t>
      </w:r>
    </w:p>
    <w:p>
      <w:pPr>
        <w:spacing w:after="160" w:before="0"/>
      </w:pPr>
      <w:r>
        <w:rPr>
          <w:rFonts w:ascii="Arial" w:cs="Arial" w:eastAsia="Arial" w:hAnsi="Arial"/>
          <w:color w:val="1A2E3B"/>
          <w:sz w:val="20"/>
          <w:szCs w:val="20"/>
        </w:rPr>
        <w:t xml:space="preserve">The proposed Mainstreaminess method also achieves Novelty=1.000, confirming that the already-heard filtering works effectively with real Last.fm data. The Personalization score of 0.335 is lower than KNN and SVD because users within the same country and mainstreaminess level receive identical recommendation strategies - this is by design. Users who share a country and level receive recommendations from the same artist pool, resulting in overlapping lists. A more granular strategy (e.g. weighting by the exact Cc score rather than three discrete levels) would increase personalization at the cost of interpretability.</w:t>
      </w:r>
    </w:p>
    <w:p>
      <w:r>
        <w:br w:type="page"/>
      </w:r>
    </w:p>
    <w:p>
      <w:pPr>
        <w:pBdr>
          <w:bottom w:val="single" w:color="0D9488" w:sz="6" w:space="4"/>
        </w:pBdr>
        <w:spacing w:after="160" w:before="480"/>
      </w:pPr>
      <w:r>
        <w:rPr>
          <w:rFonts w:ascii="Arial" w:cs="Arial" w:eastAsia="Arial" w:hAnsi="Arial"/>
          <w:b/>
          <w:bCs/>
          <w:color w:val="1A2E3B"/>
          <w:sz w:val="30"/>
          <w:szCs w:val="30"/>
        </w:rPr>
        <w:t xml:space="preserve">6. Conclusion</w:t>
      </w:r>
    </w:p>
    <w:p>
      <w:pPr>
        <w:spacing w:after="160" w:before="0"/>
      </w:pPr>
      <w:r>
        <w:rPr>
          <w:rFonts w:ascii="Arial" w:cs="Arial" w:eastAsia="Arial" w:hAnsi="Arial"/>
          <w:color w:val="1A2E3B"/>
          <w:sz w:val="20"/>
          <w:szCs w:val="20"/>
        </w:rPr>
        <w:t xml:space="preserve">We have presented a Python implementation of the mainstreaminess-based recommendation framework of Schedl &amp; Bauer (2018), evaluated on real Last.fm 360K data. The 11 mainstreaminess measures successfully capture both global and country-specific listening patterns, confirming the paper's key findings: the US aligns most closely with the global mainstream; Finland deviates most; AF-ILF weighting surfaces culturally specific artists invisible in raw AF rankings.</w:t>
      </w:r>
    </w:p>
    <w:p>
      <w:pPr>
        <w:spacing w:after="160" w:before="0"/>
      </w:pPr>
      <w:r>
        <w:rPr>
          <w:rFonts w:ascii="Arial" w:cs="Arial" w:eastAsia="Arial" w:hAnsi="Arial"/>
          <w:color w:val="1A2E3B"/>
          <w:sz w:val="20"/>
          <w:szCs w:val="20"/>
        </w:rPr>
        <w:t xml:space="preserve">The proposed recommendation system achieves Novelty=1.000 with real data, demonstrating that the already-heard filtering mechanism - absent in the original paper's recommendation experiment - is essential for meaningful evaluation. The Personalization score of 0.335 reflects the trade-off inherent in strategy-based recommendation: cultural clustering produces interpretable, culturally relevant recommendations at the cost of individual diversity compared to matrix factorisation methods.</w:t>
      </w:r>
    </w:p>
    <w:p>
      <w:pPr>
        <w:spacing w:after="160" w:before="0"/>
      </w:pPr>
      <w:r>
        <w:rPr>
          <w:rFonts w:ascii="Arial" w:cs="Arial" w:eastAsia="Arial" w:hAnsi="Arial"/>
          <w:color w:val="1A2E3B"/>
          <w:sz w:val="20"/>
          <w:szCs w:val="20"/>
        </w:rPr>
        <w:t xml:space="preserve">Future work could address this trade-off by incorporating user-specific mainstreaminess scores into a continuous weighting function rather than three discrete levels. Integration with a temporal dimension (recency-weighted playcounts) and multi-country users (e.g. expatriates) would further improve real-world applicability.</w:t>
      </w:r>
    </w:p>
    <w:p>
      <w:r>
        <w:br w:type="page"/>
      </w:r>
    </w:p>
    <w:p>
      <w:pPr>
        <w:pBdr>
          <w:bottom w:val="single" w:color="0D9488" w:sz="6" w:space="4"/>
        </w:pBdr>
        <w:spacing w:after="160" w:before="480"/>
      </w:pPr>
      <w:r>
        <w:rPr>
          <w:rFonts w:ascii="Arial" w:cs="Arial" w:eastAsia="Arial" w:hAnsi="Arial"/>
          <w:b/>
          <w:bCs/>
          <w:color w:val="1A2E3B"/>
          <w:sz w:val="30"/>
          <w:szCs w:val="30"/>
        </w:rPr>
        <w:t xml:space="preserve">References</w:t>
      </w:r>
    </w:p>
    <w:p>
      <w:pPr>
        <w:spacing w:after="80" w:before="80"/>
        <w:ind w:left="720" w:hanging="720"/>
      </w:pPr>
      <w:r>
        <w:rPr>
          <w:rFonts w:ascii="Arial" w:cs="Arial" w:eastAsia="Arial" w:hAnsi="Arial"/>
          <w:color w:val="1A2E3B"/>
          <w:sz w:val="18"/>
          <w:szCs w:val="18"/>
        </w:rPr>
        <w:t xml:space="preserve">[1] Schedl, M., &amp; Bauer, C. (2018). An analysis of global and regional mainstreaminess for personalized music recommender systems. Journal of Mobile Multimedia, 14(1), 95-122.</w:t>
      </w:r>
    </w:p>
    <w:p>
      <w:pPr>
        <w:spacing w:after="80" w:before="80"/>
        <w:ind w:left="720" w:hanging="720"/>
      </w:pPr>
      <w:r>
        <w:rPr>
          <w:rFonts w:ascii="Arial" w:cs="Arial" w:eastAsia="Arial" w:hAnsi="Arial"/>
          <w:color w:val="1A2E3B"/>
          <w:sz w:val="18"/>
          <w:szCs w:val="18"/>
        </w:rPr>
        <w:t xml:space="preserve">[2] Schedl, M. (2016). The LFM-1b dataset for music retrieval and recommendation. In Proc. ACM ICMR 2016, pp. 103-110.</w:t>
      </w:r>
    </w:p>
    <w:p>
      <w:pPr>
        <w:spacing w:after="80" w:before="80"/>
        <w:ind w:left="720" w:hanging="720"/>
      </w:pPr>
      <w:r>
        <w:rPr>
          <w:rFonts w:ascii="Arial" w:cs="Arial" w:eastAsia="Arial" w:hAnsi="Arial"/>
          <w:color w:val="1A2E3B"/>
          <w:sz w:val="18"/>
          <w:szCs w:val="18"/>
        </w:rPr>
        <w:t xml:space="preserve">[3] Schedl, M., &amp; Bauer, C. (2017a). Distance- and rank-based music mainstreaminess measurement. In Adjunct Proc. UMAP 2017, pp. 364-367.</w:t>
      </w:r>
    </w:p>
    <w:p>
      <w:pPr>
        <w:spacing w:after="80" w:before="80"/>
        <w:ind w:left="720" w:hanging="720"/>
      </w:pPr>
      <w:r>
        <w:rPr>
          <w:rFonts w:ascii="Arial" w:cs="Arial" w:eastAsia="Arial" w:hAnsi="Arial"/>
          <w:color w:val="1A2E3B"/>
          <w:sz w:val="18"/>
          <w:szCs w:val="18"/>
        </w:rPr>
        <w:t xml:space="preserve">[4] Schedl, M., &amp; Bauer, C. (2017b). Introducing global and regional mainstreaminess for improving personalized music recommendation. In Proc. MoMM 2017, pp. 74-81.</w:t>
      </w:r>
    </w:p>
    <w:p>
      <w:pPr>
        <w:spacing w:after="80" w:before="80"/>
        <w:ind w:left="720" w:hanging="720"/>
      </w:pPr>
      <w:r>
        <w:rPr>
          <w:rFonts w:ascii="Arial" w:cs="Arial" w:eastAsia="Arial" w:hAnsi="Arial"/>
          <w:color w:val="1A2E3B"/>
          <w:sz w:val="18"/>
          <w:szCs w:val="18"/>
        </w:rPr>
        <w:t xml:space="preserve">[5] Bauer, C., &amp; Schedl, M. (2019). Global and country-specific mainstreaminess measures. PLOS ONE, 14(6), e0217389.</w:t>
      </w:r>
    </w:p>
    <w:p>
      <w:pPr>
        <w:spacing w:after="80" w:before="80"/>
        <w:ind w:left="720" w:hanging="720"/>
      </w:pPr>
      <w:r>
        <w:rPr>
          <w:rFonts w:ascii="Arial" w:cs="Arial" w:eastAsia="Arial" w:hAnsi="Arial"/>
          <w:color w:val="1A2E3B"/>
          <w:sz w:val="18"/>
          <w:szCs w:val="18"/>
        </w:rPr>
        <w:t xml:space="preserve">[6] Vigliensoni, G., &amp; Fujinaga, I. (2016). Automatic music recommendation systems: Do demographic, profiling, and contextual features improve their performance? In Proc. ISMIR 2016.</w:t>
      </w:r>
    </w:p>
    <w:p>
      <w:pPr>
        <w:spacing w:after="80" w:before="80"/>
        <w:ind w:left="720" w:hanging="720"/>
      </w:pPr>
      <w:r>
        <w:rPr>
          <w:rFonts w:ascii="Arial" w:cs="Arial" w:eastAsia="Arial" w:hAnsi="Arial"/>
          <w:color w:val="1A2E3B"/>
          <w:sz w:val="18"/>
          <w:szCs w:val="18"/>
        </w:rPr>
        <w:t xml:space="preserve">[7] Salton, G., &amp; McGill, M. J. (1983). Introduction to Modern Information Retrieval. McGraw-Hill.</w:t>
      </w:r>
    </w:p>
    <w:p>
      <w:pPr>
        <w:spacing w:after="80" w:before="80"/>
        <w:ind w:left="720" w:hanging="720"/>
      </w:pPr>
      <w:r>
        <w:rPr>
          <w:rFonts w:ascii="Arial" w:cs="Arial" w:eastAsia="Arial" w:hAnsi="Arial"/>
          <w:color w:val="1A2E3B"/>
          <w:sz w:val="18"/>
          <w:szCs w:val="18"/>
        </w:rPr>
        <w:t xml:space="preserve">[8] Kullback, S., &amp; Leibler, R. A. (1951). On information and sufficiency. Annals of Mathematical Statistics, 22(1), 79-86.</w:t>
      </w:r>
    </w:p>
    <w:p>
      <w:pPr>
        <w:spacing w:after="80" w:before="80"/>
        <w:ind w:left="720" w:hanging="720"/>
      </w:pPr>
      <w:r>
        <w:rPr>
          <w:rFonts w:ascii="Arial" w:cs="Arial" w:eastAsia="Arial" w:hAnsi="Arial"/>
          <w:color w:val="1A2E3B"/>
          <w:sz w:val="18"/>
          <w:szCs w:val="18"/>
        </w:rPr>
        <w:t xml:space="preserve">[9] Kendall, M. G. (1938). A new measure of rank correlation. Biometrika, 30(1-2), 81-93.</w:t>
      </w:r>
    </w:p>
    <w:p>
      <w:pPr>
        <w:spacing w:after="80" w:before="80"/>
        <w:ind w:left="720" w:hanging="720"/>
      </w:pPr>
      <w:r>
        <w:rPr>
          <w:rFonts w:ascii="Arial" w:cs="Arial" w:eastAsia="Arial" w:hAnsi="Arial"/>
          <w:color w:val="1A2E3B"/>
          <w:sz w:val="18"/>
          <w:szCs w:val="18"/>
        </w:rPr>
        <w:t xml:space="preserve">[10] Celma, O. (2010). Music Recommendation and Discovery. Springer.</w:t>
      </w:r>
    </w:p>
    <w:p>
      <w:pPr>
        <w:spacing w:after="80" w:before="80"/>
        <w:ind w:left="720" w:hanging="720"/>
      </w:pPr>
      <w:r>
        <w:rPr>
          <w:rFonts w:ascii="Arial" w:cs="Arial" w:eastAsia="Arial" w:hAnsi="Arial"/>
          <w:color w:val="1A2E3B"/>
          <w:sz w:val="18"/>
          <w:szCs w:val="18"/>
        </w:rPr>
        <w:t xml:space="preserve">[11] Koren, Y., Bell, R., &amp; Volinsky, C. (2009). Matrix factorization techniques for recommender systems. Computer, 42(8), 30-37.</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6" w:space="1"/>
      </w:pBdr>
    </w:pPr>
    <w:r>
      <w:rPr>
        <w:rFonts w:ascii="Arial" w:cs="Arial" w:eastAsia="Arial" w:hAnsi="Arial"/>
        <w:color w:val="888888"/>
        <w:sz w:val="17"/>
        <w:szCs w:val="17"/>
      </w:rPr>
      <w:t xml:space="preserve">Recommender Systems (COME424/1)  -  Report 1  |  Mainstreaminess-Based Music Recommendation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344d5f8e17257b72ed5953a75001be2f329d8fb.png"/><Relationship Id="rId10" Type="http://schemas.openxmlformats.org/officeDocument/2006/relationships/image" Target="media/31a5208b5815c753dc43a9ffa51d2163aa6b4cfb.png"/><Relationship Id="rId11" Type="http://schemas.openxmlformats.org/officeDocument/2006/relationships/image" Target="media/5d949c6c15da1c0bf57023702b8981e99627b063.png"/><Relationship Id="rId12" Type="http://schemas.openxmlformats.org/officeDocument/2006/relationships/image" Target="media/33bc4727518c3e739a969974546e850540aad59e.png"/><Relationship Id="rId13" Type="http://schemas.openxmlformats.org/officeDocument/2006/relationships/image" Target="media/577d6b222c315740ded62361b8f83b6817639af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2026-06-01T22:22:49.439Z</dcterms:created>
  <dcterms:modified xsi:type="dcterms:W3CDTF">2026-06-01T22:22:49.440Z</dcterms:modified>
</cp:coreProperties>
</file>

<file path=docProps/custom.xml><?xml version="1.0" encoding="utf-8"?>
<Properties xmlns="http://schemas.openxmlformats.org/officeDocument/2006/custom-properties" xmlns:vt="http://schemas.openxmlformats.org/officeDocument/2006/docPropsVTypes"/>
</file>