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2E3B"/>
          <w:sz w:val="32"/>
          <w:szCs w:val="32"/>
        </w:rPr>
        <w:t xml:space="preserve">An Analysis of Global and Regional Mainstreaminess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2E3B"/>
          <w:sz w:val="32"/>
          <w:szCs w:val="32"/>
        </w:rPr>
        <w:t xml:space="preserve">for Personalized Music Recommender Systems</w:t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Report 2 - Midterm vs Final: Summary of Improvements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Recommender Systems (COME424/1)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Dr. Ogr. Uyesi Gamze Uslu</w:t>
      </w:r>
    </w:p>
    <w:p>
      <w:pPr>
        <w:spacing w:after="48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Uskudar University  -  Department of Computer Engineering  -  2026</w:t>
      </w:r>
    </w:p>
    <w:tbl>
      <w:tblPr>
        <w:tblW w:type="dxa" w:w="43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</w:tblGrid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ID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Dogukan Aydin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240200019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Elif Dalmis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230201082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Yaman Balci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220201081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Salih Cetin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220201060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Alperen Keskin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230201094</w:t>
            </w:r>
          </w:p>
        </w:tc>
      </w:tr>
    </w:tbl>
    <w:p>
      <w:r>
        <w:br w:type="page"/>
      </w:r>
    </w:p>
    <w:p>
      <w:pPr>
        <w:pBdr>
          <w:bottom w:val="single" w:color="0D9488" w:sz="6" w:space="4"/>
        </w:pBdr>
        <w:spacing w:after="240" w:before="360"/>
      </w:pPr>
      <w:r>
        <w:rPr>
          <w:rFonts w:ascii="Arial" w:cs="Arial" w:eastAsia="Arial" w:hAnsi="Arial"/>
          <w:b/>
          <w:bCs/>
          <w:color w:val="1A2E3B"/>
          <w:sz w:val="28"/>
          <w:szCs w:val="28"/>
        </w:rPr>
        <w:t xml:space="preserve">Midterm vs Final -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Midterm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Dataset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AI-generated synthetic data (dataset_large.xlsx) - 500 users x 81 artists x 12 countries; structural properties mimic LFM-1b but values are artificially generated.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Real Last.fm 360K data (dataset_lfm.xlsx) - 489 users x 81 artists x 12 countries; actual user listening histories, consistent with the original paper.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Recommendation methods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Only the proposed mainstreaminess-based function (High/Mid/Low -&gt; global/mixed/local strategy).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Four methods compared: (1) Popularity Baseline, (2) User-KNN (k=10), (3) SVD (20 factors), (4) Proposed mainstreaminess method.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Evaluation metrics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No quantitative evaluation of recommendation quality.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Novelty (fraction of unheard recs) and Personalization (mean pairwise Jaccard distance) for all four methods on a fixed 50-user sample (EVAL_SAMPLE).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Already-heard filtering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Recommendations could include artists the user already knows.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Already-heard artists are filtered out before returning recommendations for all four methods, ensuring fair comparison.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Candidate pool size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n=5 candidates retrieved directly.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n=15 candidates retrieved, filtered for unheard artists, then top 5 selected. Ensures sufficient novel candidates after filtering.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Figures / visualizations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No matplotlib figures; text-only console output.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Five matplotlib figures saved as PNG: (1) AF vs AF-ILF top artists, (2) country heatmap, (3) Low/Mid/High distribution, (4) global ranking, (5) method comparison.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Results (key numbers)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Proposed: Novelty=0.100, Personalization=0.187 (synthetic data). KNN and SVD not implemented.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Popularity: 0.848/0.000 | KNN: 1.000/0.947 | SVD: 1.000/0.953 | Proposed: 1.000/0.335 (real LFM data).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Code robustness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Basic implementation; no error handling in evaluation loops.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E3B"/>
                <w:sz w:val="18"/>
                <w:szCs w:val="18"/>
              </w:rPr>
              <w:t xml:space="preserve">try/except guard in personalization_score() prevents single-user failures from crashing the full evaluation.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1A2E3B"/>
          <w:sz w:val="24"/>
          <w:szCs w:val="24"/>
        </w:rPr>
        <w:t xml:space="preserve">Summary</w:t>
      </w:r>
    </w:p>
    <w:p>
      <w:pPr>
        <w:spacing w:after="160" w:before="0"/>
      </w:pPr>
      <w:r>
        <w:rPr>
          <w:rFonts w:ascii="Arial" w:cs="Arial" w:eastAsia="Arial" w:hAnsi="Arial"/>
          <w:color w:val="1A2E3B"/>
          <w:sz w:val="20"/>
          <w:szCs w:val="20"/>
        </w:rPr>
        <w:t xml:space="preserve">The most significant improvement between the midterm and the final is the switch from AI-generated synthetic data to real Last.fm 360K listening histories. This change, combined with the already-heard filtering mechanism, produced substantially more meaningful evaluation results - particularly the Novelty metric rising from 0.100 to 1.000 for the proposed method. The addition of two standard baselines (User-KNN and SVD) provides a meaningful comparative context that the midterm lacked. Together these changes bring the implementation significantly closer to the experimental design described in Schedl &amp; Bauer (2018).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Recommender Systems (COME424/1)  -  Report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2026-06-01T22:17:19.626Z</dcterms:created>
  <dcterms:modified xsi:type="dcterms:W3CDTF">2026-06-01T22:17:19.627Z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