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YATIRIM VE TİCARET BANKASI A.Ş. — KURUMSAL KREDİ TAHSİS, TEMİNAT YÖNETİMİ VE MASAK AML/CFT POLİTİKASI (SOP-BNK-2026-V12)</w:t>
      </w:r>
    </w:p>
    <w:p>
      <w:r>
        <w:t>Belge Kodu: SOP-BNK-2026-V12 | Yürürlük: 01.01.2026 | Güvenlik Sınıfı: ÇOK GİZLİ (BDDK &amp; MASAK Denetimi)</w:t>
      </w:r>
    </w:p>
    <w:p>
      <w:pPr>
        <w:pStyle w:val="Heading2"/>
      </w:pPr>
      <w:r>
        <w:t>1. STRATEJİK ÇERÇEVE VE YASAL DAYANAKLAR</w:t>
      </w:r>
    </w:p>
    <w:p>
      <w:r>
        <w:t>Bu politika; 5411 Sayılı Bankacılık Kanunu, BDDK Kredilerin Sınıflandırılması ve Karşılıklar Yönetmeliği, 5549 Sayılı Suç Gelirlerinin Aklanmasının Önlenmesi Hakkında Kanun ve Mali Eylem Görev Gücü (FATF) 40 Tavsiyesi uyarınca Banka nın tüm kurumsal, ticari ve dijital kredi tahsis operasyonlarını, gayrimenkul ekspertiz süreçlerini, uluslararası SWIFT transferlerini ve Siyasi Nüfuz Sahibi Kişi (PEP) tarama mekanizmalarını düzenler.</w:t>
      </w:r>
    </w:p>
    <w:p>
      <w:pPr>
        <w:pStyle w:val="Heading2"/>
      </w:pPr>
      <w:r>
        <w:t>2. KREDİ TAHSİS VE YETKİ LİMİTLERİ MATRİSİ</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Kredi Kademesi</w:t>
            </w:r>
          </w:p>
        </w:tc>
        <w:tc>
          <w:tcPr>
            <w:tcW w:type="dxa" w:w="1728"/>
          </w:tcPr>
          <w:p>
            <w:r>
              <w:t>Tutar Limiti (TL / USD)</w:t>
            </w:r>
          </w:p>
        </w:tc>
        <w:tc>
          <w:tcPr>
            <w:tcW w:type="dxa" w:w="1728"/>
          </w:tcPr>
          <w:p>
            <w:r>
              <w:t>Birinci Onay</w:t>
            </w:r>
          </w:p>
        </w:tc>
        <w:tc>
          <w:tcPr>
            <w:tcW w:type="dxa" w:w="1728"/>
          </w:tcPr>
          <w:p>
            <w:r>
              <w:t>İkinci Onay</w:t>
            </w:r>
          </w:p>
        </w:tc>
        <w:tc>
          <w:tcPr>
            <w:tcW w:type="dxa" w:w="1728"/>
          </w:tcPr>
          <w:p>
            <w:r>
              <w:t>Kontrol Kodu</w:t>
            </w:r>
          </w:p>
        </w:tc>
      </w:tr>
      <w:tr>
        <w:tc>
          <w:tcPr>
            <w:tcW w:type="dxa" w:w="1728"/>
          </w:tcPr>
          <w:p>
            <w:r>
              <w:t>Şube Müdürü Kredi Yetkisi</w:t>
            </w:r>
          </w:p>
        </w:tc>
        <w:tc>
          <w:tcPr>
            <w:tcW w:type="dxa" w:w="1728"/>
          </w:tcPr>
          <w:p>
            <w:r>
              <w:t>0 - 5.000.000 TL</w:t>
            </w:r>
          </w:p>
        </w:tc>
        <w:tc>
          <w:tcPr>
            <w:tcW w:type="dxa" w:w="1728"/>
          </w:tcPr>
          <w:p>
            <w:r>
              <w:t>Kredi Tahsis Uzmanı</w:t>
            </w:r>
          </w:p>
        </w:tc>
        <w:tc>
          <w:tcPr>
            <w:tcW w:type="dxa" w:w="1728"/>
          </w:tcPr>
          <w:p>
            <w:r>
              <w:t>Şube Müdürü</w:t>
            </w:r>
          </w:p>
        </w:tc>
        <w:tc>
          <w:tcPr>
            <w:tcW w:type="dxa" w:w="1728"/>
          </w:tcPr>
          <w:p>
            <w:r>
              <w:t>C1-A</w:t>
            </w:r>
          </w:p>
        </w:tc>
      </w:tr>
      <w:tr>
        <w:tc>
          <w:tcPr>
            <w:tcW w:type="dxa" w:w="1728"/>
          </w:tcPr>
          <w:p>
            <w:r>
              <w:t>Bölge Kredi Komitesi</w:t>
            </w:r>
          </w:p>
        </w:tc>
        <w:tc>
          <w:tcPr>
            <w:tcW w:type="dxa" w:w="1728"/>
          </w:tcPr>
          <w:p>
            <w:r>
              <w:t>5.000.001 - 25.000.000 TL</w:t>
            </w:r>
          </w:p>
        </w:tc>
        <w:tc>
          <w:tcPr>
            <w:tcW w:type="dxa" w:w="1728"/>
          </w:tcPr>
          <w:p>
            <w:r>
              <w:t>Bölge Kredi Müdürü</w:t>
            </w:r>
          </w:p>
        </w:tc>
        <w:tc>
          <w:tcPr>
            <w:tcW w:type="dxa" w:w="1728"/>
          </w:tcPr>
          <w:p>
            <w:r>
              <w:t>Bölge Satış Direktörü</w:t>
            </w:r>
          </w:p>
        </w:tc>
        <w:tc>
          <w:tcPr>
            <w:tcW w:type="dxa" w:w="1728"/>
          </w:tcPr>
          <w:p>
            <w:r>
              <w:t>C1-B</w:t>
            </w:r>
          </w:p>
        </w:tc>
      </w:tr>
      <w:tr>
        <w:tc>
          <w:tcPr>
            <w:tcW w:type="dxa" w:w="1728"/>
          </w:tcPr>
          <w:p>
            <w:r>
              <w:t>Genel Müdürlük Kredi Komitesi</w:t>
            </w:r>
          </w:p>
        </w:tc>
        <w:tc>
          <w:tcPr>
            <w:tcW w:type="dxa" w:w="1728"/>
          </w:tcPr>
          <w:p>
            <w:r>
              <w:t>25.000.001 - 100.000.000 TL</w:t>
            </w:r>
          </w:p>
        </w:tc>
        <w:tc>
          <w:tcPr>
            <w:tcW w:type="dxa" w:w="1728"/>
          </w:tcPr>
          <w:p>
            <w:r>
              <w:t>Kredi Tahsis GMY</w:t>
            </w:r>
          </w:p>
        </w:tc>
        <w:tc>
          <w:tcPr>
            <w:tcW w:type="dxa" w:w="1728"/>
          </w:tcPr>
          <w:p>
            <w:r>
              <w:t>Kredi Riski Direktörü</w:t>
            </w:r>
          </w:p>
        </w:tc>
        <w:tc>
          <w:tcPr>
            <w:tcW w:type="dxa" w:w="1728"/>
          </w:tcPr>
          <w:p>
            <w:r>
              <w:t>C1-C</w:t>
            </w:r>
          </w:p>
        </w:tc>
      </w:tr>
      <w:tr>
        <w:tc>
          <w:tcPr>
            <w:tcW w:type="dxa" w:w="1728"/>
          </w:tcPr>
          <w:p>
            <w:r>
              <w:t>Yönetim Kurulu Kredi Komitesi</w:t>
            </w:r>
          </w:p>
        </w:tc>
        <w:tc>
          <w:tcPr>
            <w:tcW w:type="dxa" w:w="1728"/>
          </w:tcPr>
          <w:p>
            <w:r>
              <w:t>100.000.000 TL ve Üzeri</w:t>
            </w:r>
          </w:p>
        </w:tc>
        <w:tc>
          <w:tcPr>
            <w:tcW w:type="dxa" w:w="1728"/>
          </w:tcPr>
          <w:p>
            <w:r>
              <w:t>Kredi Komitesi</w:t>
            </w:r>
          </w:p>
        </w:tc>
        <w:tc>
          <w:tcPr>
            <w:tcW w:type="dxa" w:w="1728"/>
          </w:tcPr>
          <w:p>
            <w:r>
              <w:t>Yönetim Kurulu</w:t>
            </w:r>
          </w:p>
        </w:tc>
        <w:tc>
          <w:tcPr>
            <w:tcW w:type="dxa" w:w="1728"/>
          </w:tcPr>
          <w:p>
            <w:r>
              <w:t>C1-D</w:t>
            </w:r>
          </w:p>
        </w:tc>
      </w:tr>
      <w:tr>
        <w:tc>
          <w:tcPr>
            <w:tcW w:type="dxa" w:w="1728"/>
          </w:tcPr>
          <w:p>
            <w:r>
              <w:t>Yüksek Riskli / PEP Swift İşlemleri</w:t>
            </w:r>
          </w:p>
        </w:tc>
        <w:tc>
          <w:tcPr>
            <w:tcW w:type="dxa" w:w="1728"/>
          </w:tcPr>
          <w:p>
            <w:r>
              <w:t>50.000 USD ve Üzeri</w:t>
            </w:r>
          </w:p>
        </w:tc>
        <w:tc>
          <w:tcPr>
            <w:tcW w:type="dxa" w:w="1728"/>
          </w:tcPr>
          <w:p>
            <w:r>
              <w:t>MASAK Uyum Görevlisi</w:t>
            </w:r>
          </w:p>
        </w:tc>
        <w:tc>
          <w:tcPr>
            <w:tcW w:type="dxa" w:w="1728"/>
          </w:tcPr>
          <w:p>
            <w:r>
              <w:t>Uyum Direktörü</w:t>
            </w:r>
          </w:p>
        </w:tc>
        <w:tc>
          <w:tcPr>
            <w:tcW w:type="dxa" w:w="1728"/>
          </w:tcPr>
          <w:p>
            <w:r>
              <w:t>C1-E</w:t>
            </w:r>
          </w:p>
        </w:tc>
      </w:tr>
    </w:tbl>
    <w:p>
      <w:pPr>
        <w:pStyle w:val="Heading2"/>
      </w:pPr>
      <w:r>
        <w:t>3. TEMİNAT VE GAYRİMENKUL EKSPERTİZ STANDARTLARI</w:t>
      </w:r>
    </w:p>
    <w:p>
      <w:r>
        <w:t>Kredilendirmede teminat olarak kabul edilecek gayrimenkullerin ekspertiz değerlemesi SPK ve BDDK lisanslı bağımsız değerleme kuruluşları tarafından yapılmalıdır. Kredi tutarı, ekspertiz değerinin azami %75 i (Loan-to-Value LTV &lt;= 0.75) olabilir (C2).</w:t>
      </w:r>
    </w:p>
    <w:p>
      <w:r>
        <w:t>[AĞIR TASARIM VE KONTROL ZAFİYETİ - W1]: Banka Kredi Tahsis GMY ve Levent Şube Müdürü tarafından geliştirilen gayriresmi uygulama ile; 14 inşaat projesinde lisanssız değerleme raporları kabul edilmiş, ekspertiz değerleri piyasa rayicinin 3 katı (%300) şişirilerek toplam 45.000.000 USD tutarında teminatsız ve batık kredi kullandırılmıştır.</w:t>
      </w:r>
    </w:p>
    <w:p>
      <w:pPr>
        <w:pStyle w:val="Heading2"/>
      </w:pPr>
      <w:r>
        <w:t>4. MASAK AML/CFT VE ŞÜPHELİ İŞLEM BİLDİRİMİ (STR)</w:t>
      </w:r>
    </w:p>
    <w:p>
      <w:r>
        <w:t>Yüksek riskli yargı bölgelerine (Panama, BVI, Seyşeller, Marshall Adaları) yapılan 100.000 USD ve üzeri tüm transferlerde UBO (Gerçek Faydalanıcı) ve PEP taraması yapılmadan fon çıkışına izin verilemez (C3).</w:t>
      </w:r>
    </w:p>
    <w:p>
      <w:r>
        <w:t>[KRİTİK UYUMSUZLUK - W2]: Levent Şubesi üzerinden aynı gün içinde parçalanarak (smurfing/structuring) offshore hesaplara transfer edilen 32.500.000 USD tutarındaki 18 işlemde MASAK Uyum filtrelerinin yazılımsal olarak devre dışı bırakıldığı (Whitelist Override) tespit edilmiştir.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