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Kurumsal Bulut Altyapısı (AWS/Azure/On-Prem) Erişim ve Yetkilendirme Prosedürü (IAM-SEC-2026-V4)</w:t>
      </w:r>
    </w:p>
    <w:p>
      <w:pPr>
        <w:pStyle w:val="Heading2"/>
      </w:pPr>
      <w:r>
        <w:t>1. Amaç ve Kapsam</w:t>
      </w:r>
    </w:p>
    <w:p>
      <w:r>
        <w:t>Bu prosedür, Holding ve bağlı 8 iştirak şirketinin kullandığı AWS (Multi-Account Organizasyonu), Microsoft Azure ve hibrit veri merkezi altyapılarındaki tüm ayrıcalıklı (privileged) hesapların yaşam döngüsünü, CI/CD pipeline yetkilerini ve acil durum (Break-Glass) erişimlerini düzenler.</w:t>
      </w:r>
    </w:p>
    <w:p>
      <w:pPr>
        <w:pStyle w:val="Heading2"/>
      </w:pPr>
      <w:r>
        <w:t>2. Ayrıcalıklı Erişim Yönetimi (PAM) ve MFA Kuralları</w:t>
      </w:r>
    </w:p>
    <w:p>
      <w:r>
        <w:t>Tüm sistem yöneticileri ve DevOps mühendisleri üretim (Production) ortamlarına yalnızca merkezi PAM çözümü (CyberArk) üzerinden zaman kısıtlı (Just-in-Time) ve donanımsal FIDO2 tabanlı MFA doğrulaması ile erişmelidir. Ancak geliştirme ekibinin acil sıcak düzeltme (hotfix) ihtiyaçları durumunda doğrudan SSH/RDP bastion sunucusu üzerinden statik anahtar ile erişim yapılmasına BT Direktörü sözlü onayıyla izin verilebilir (Zayıflık Tespit Edildi).</w:t>
      </w:r>
    </w:p>
    <w:p>
      <w:pPr>
        <w:pStyle w:val="Heading2"/>
      </w:pPr>
      <w:r>
        <w:t>3. CI/CD Pipeline ve Gizli Anahtar (Secrets) Yönetimi</w:t>
      </w:r>
    </w:p>
    <w:p>
      <w:r>
        <w:t>Uygulama kodları GitLab CI/CD üzerinden otomatik derlenip Kubernetes (EKS) kümelerine dağıtılır. Veritabanı şifreleri ve API tokenları HashiCorp Vault üzerinde dinamik olarak üretilmelidir. Ancak eski (legacy) mikroservislerin bir kısmında statik bağlantı dizgilerinin (connection strings) ortam değişkeni (env var) veya konfigürasyon dosyası içinde düz metin (plain text) olarak tutulduğu mülakatlarda teyit edilmiştir.</w:t>
      </w:r>
    </w:p>
    <w:p>
      <w:pPr>
        <w:pStyle w:val="Heading2"/>
      </w:pPr>
      <w:r>
        <w:t>4. Üçüncü Taraf Tedarikçi ve Danışman Erişimi</w:t>
      </w:r>
    </w:p>
    <w:p>
      <w:r>
        <w:t>Dış kaynaklı yazılım danışmanlarına yalnızca VDI (Sanal Masaüstü) üzerinden ve kayıt altına alınan oturumlarla erişim açılır. Danışman sözleşmesi bittiğinde İK birimi İBT sistemine bildirim yapar ve hesap 24 saat içinde kapatılır. Dönemsel yetki gözden geçirmeleri (User Access Review - UAR) yılda bir kez IT Güvenlik Müdürü tarafından yapılır.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