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T.C. BDDK &amp; MASAK MÜŞTEREK TEFTİŞ HEYETİ — ADLİ VE CEZAİ SORUŞTURMA RAPORU</w:t>
      </w:r>
    </w:p>
    <w:p>
      <w:r>
        <w:t>Rapor Referansı: 2026/BDDK-MASAK-ORTAK-ULTRA-01 | Tarih: 28 Ağustos 2026 | Gizlilik: ÇOK GİZLİ / KİŞİYE ÖZEL</w:t>
      </w:r>
    </w:p>
    <w:p>
      <w:pPr>
        <w:pStyle w:val="Heading2"/>
      </w:pPr>
      <w:r>
        <w:t>1. KAPSAM VE SORUŞTURMA BULGULARI</w:t>
      </w:r>
    </w:p>
    <w:p>
      <w:r>
        <w:t>Bankanın 2026 yılı ilk 6 aylık kredi tahsis ve fon transfer operasyonlarında yapılan incelemelerde; Levent ve Maslak şubeleri üzerinden 8.000 adet kredi dosyasının 1.420 sinde sahte/şişirilmiş gayrimenkul ekspertiz raporları kullanıldığı, toplam 145.000.000 USD tutarında teminatsız kredi riskinin oluştuğu, 7.000 adet SWIFT transferinden 840 ında MASAK Uyum filtrelerinin yazılımsal olarak devre dışı bırakıldığı ve 78.500.000 USD tutarındaki suç gelirinin Panama ve BVI offshore hesaplarına aklandığı tespit edilmiştir.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