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HOLDİNG A.Ş. — HAZİNE, NAKİT YÖNETİMİ, TÜREV İŞLEMLER VE SWIFT TRANSFER PROSEDÜRÜ (SOP-TRS-2026-V6)</w:t>
      </w:r>
    </w:p>
    <w:p>
      <w:r>
        <w:t>Belge Kodu: SOP-TRS-2026-V6 | Revizyon No: 06 | Yürürlük Tarihi: 01.01.2026 | Gizlilik: ÇOK GİZLİ (Finansal Yönetişim)</w:t>
      </w:r>
    </w:p>
    <w:p>
      <w:pPr>
        <w:pStyle w:val="Heading2"/>
      </w:pPr>
      <w:r>
        <w:t>1. AMAÇ VE TEMEL İLKELER</w:t>
      </w:r>
    </w:p>
    <w:p>
      <w:r>
        <w:t>Bu prosedür; Holding ve bağlı 14 iştirakinin banka hesapları, nakit akış optimizasyonu, döviz pozisyon riski, faiz/kur türev işlemleri (Swap, Forward, Opsiyon), kredi limitleri ve uluslararası Swift transferlerinin icra edilmesinde uygulanacak iç kontrol standartlarını, yetki limitlerini ve eskalasyon kurallarını belirler.</w:t>
      </w:r>
    </w:p>
    <w:p>
      <w:pPr>
        <w:pStyle w:val="Heading2"/>
      </w:pPr>
      <w:r>
        <w:t>2. BANKA HESAPLARI VE YETKİLİ İMZA SİRKÜLERİ KADEMELERİ</w:t>
      </w:r>
    </w:p>
    <w:p>
      <w:r>
        <w:t>2.1. Şirket adına yeni bir banka hesabı açılması veya kapatılması yalnızca Mali İşler GMY (CFO) ve Hazine Direktörü müşterek imzasıyla gerçekleştirilir. Tüm hesaplar merkezi Hazine Yönetim Sistemine (TMS) entegre olmak zorundadır (C1).</w:t>
      </w:r>
    </w:p>
    <w:p>
      <w:pPr>
        <w:pStyle w:val="Heading2"/>
      </w:pPr>
      <w:r>
        <w:t>3. GÜNLÜK FON TRANSFERİ VE SWIFT İŞLEMLERİ (DUAL CONTROL - 4-EYES PRINCIPLE)</w:t>
      </w:r>
    </w:p>
    <w:p>
      <w:r>
        <w:t>3.1. Bankalar üzerinden yapılacak tüm EFT, Havale ve Uluslararası SWIFT transferlerinde Görevler Ayrılığı (SoD) ve 4-Göz İlkesi zorunludur: İşlemi hazırlayan (Maker) kullanıcı ile banka sisteminde onaylayan (Checker/Releaser) kullanıcı kesinlikle farklı kişiler olmak zorundadır (C2).</w:t>
      </w:r>
    </w:p>
    <w:p>
      <w:r>
        <w:t>3.2. Hazine Onay Limit Tablosu:</w:t>
      </w:r>
    </w:p>
    <w:tbl>
      <w:tblPr>
        <w:tblW w:type="auto" w:w="0"/>
        <w:tblLook w:firstColumn="1" w:firstRow="1" w:lastColumn="0" w:lastRow="0" w:noHBand="0" w:noVBand="1" w:val="04A0"/>
      </w:tblPr>
      <w:tblGrid>
        <w:gridCol w:w="2160"/>
        <w:gridCol w:w="2160"/>
        <w:gridCol w:w="2160"/>
        <w:gridCol w:w="2160"/>
      </w:tblGrid>
      <w:tr>
        <w:tc>
          <w:tcPr>
            <w:tcW w:type="dxa" w:w="2160"/>
          </w:tcPr>
          <w:p>
            <w:r>
              <w:t>Tutar Aralığı (USD/EUR Muadili)</w:t>
            </w:r>
          </w:p>
        </w:tc>
        <w:tc>
          <w:tcPr>
            <w:tcW w:type="dxa" w:w="2160"/>
          </w:tcPr>
          <w:p>
            <w:r>
              <w:t>Birinci Onaycı (Maker)</w:t>
            </w:r>
          </w:p>
        </w:tc>
        <w:tc>
          <w:tcPr>
            <w:tcW w:type="dxa" w:w="2160"/>
          </w:tcPr>
          <w:p>
            <w:r>
              <w:t>İkinci Onaycı (Checker)</w:t>
            </w:r>
          </w:p>
        </w:tc>
        <w:tc>
          <w:tcPr>
            <w:tcW w:type="dxa" w:w="2160"/>
          </w:tcPr>
          <w:p>
            <w:r>
              <w:t>Nihai Onay Makamı</w:t>
            </w:r>
          </w:p>
        </w:tc>
      </w:tr>
      <w:tr>
        <w:tc>
          <w:tcPr>
            <w:tcW w:type="dxa" w:w="2160"/>
          </w:tcPr>
          <w:p>
            <w:r>
              <w:t>0 - 100.000 USD</w:t>
            </w:r>
          </w:p>
        </w:tc>
        <w:tc>
          <w:tcPr>
            <w:tcW w:type="dxa" w:w="2160"/>
          </w:tcPr>
          <w:p>
            <w:r>
              <w:t>Hazine Uzmanı</w:t>
            </w:r>
          </w:p>
        </w:tc>
        <w:tc>
          <w:tcPr>
            <w:tcW w:type="dxa" w:w="2160"/>
          </w:tcPr>
          <w:p>
            <w:r>
              <w:t>Hazine Müdürü</w:t>
            </w:r>
          </w:p>
        </w:tc>
        <w:tc>
          <w:tcPr>
            <w:tcW w:type="dxa" w:w="2160"/>
          </w:tcPr>
          <w:p>
            <w:r>
              <w:t>Hazine Müdürü</w:t>
            </w:r>
          </w:p>
        </w:tc>
      </w:tr>
      <w:tr>
        <w:tc>
          <w:tcPr>
            <w:tcW w:type="dxa" w:w="2160"/>
          </w:tcPr>
          <w:p>
            <w:r>
              <w:t>100.001 - 500.000 USD</w:t>
            </w:r>
          </w:p>
        </w:tc>
        <w:tc>
          <w:tcPr>
            <w:tcW w:type="dxa" w:w="2160"/>
          </w:tcPr>
          <w:p>
            <w:r>
              <w:t>Hazine Uzmanı</w:t>
            </w:r>
          </w:p>
        </w:tc>
        <w:tc>
          <w:tcPr>
            <w:tcW w:type="dxa" w:w="2160"/>
          </w:tcPr>
          <w:p>
            <w:r>
              <w:t>Hazine Müdürü</w:t>
            </w:r>
          </w:p>
        </w:tc>
        <w:tc>
          <w:tcPr>
            <w:tcW w:type="dxa" w:w="2160"/>
          </w:tcPr>
          <w:p>
            <w:r>
              <w:t>Hazine Direktörü</w:t>
            </w:r>
          </w:p>
        </w:tc>
      </w:tr>
      <w:tr>
        <w:tc>
          <w:tcPr>
            <w:tcW w:type="dxa" w:w="2160"/>
          </w:tcPr>
          <w:p>
            <w:r>
              <w:t>500.001 - 2.000.000 USD</w:t>
            </w:r>
          </w:p>
        </w:tc>
        <w:tc>
          <w:tcPr>
            <w:tcW w:type="dxa" w:w="2160"/>
          </w:tcPr>
          <w:p>
            <w:r>
              <w:t>Hazine Müdürü</w:t>
            </w:r>
          </w:p>
        </w:tc>
        <w:tc>
          <w:tcPr>
            <w:tcW w:type="dxa" w:w="2160"/>
          </w:tcPr>
          <w:p>
            <w:r>
              <w:t>Hazine Direktörü</w:t>
            </w:r>
          </w:p>
        </w:tc>
        <w:tc>
          <w:tcPr>
            <w:tcW w:type="dxa" w:w="2160"/>
          </w:tcPr>
          <w:p>
            <w:r>
              <w:t>Mali İşler GMY (CFO)</w:t>
            </w:r>
          </w:p>
        </w:tc>
      </w:tr>
      <w:tr>
        <w:tc>
          <w:tcPr>
            <w:tcW w:type="dxa" w:w="2160"/>
          </w:tcPr>
          <w:p>
            <w:r>
              <w:t>2.000.001 USD ve Üzeri</w:t>
            </w:r>
          </w:p>
        </w:tc>
        <w:tc>
          <w:tcPr>
            <w:tcW w:type="dxa" w:w="2160"/>
          </w:tcPr>
          <w:p>
            <w:r>
              <w:t>Hazine Direktörü</w:t>
            </w:r>
          </w:p>
        </w:tc>
        <w:tc>
          <w:tcPr>
            <w:tcW w:type="dxa" w:w="2160"/>
          </w:tcPr>
          <w:p>
            <w:r>
              <w:t>Mali İşler GMY (CFO)</w:t>
            </w:r>
          </w:p>
        </w:tc>
        <w:tc>
          <w:tcPr>
            <w:tcW w:type="dxa" w:w="2160"/>
          </w:tcPr>
          <w:p>
            <w:r>
              <w:t>Yönetim Kurulu Finans Komitesi</w:t>
            </w:r>
          </w:p>
        </w:tc>
      </w:tr>
    </w:tbl>
    <w:p>
      <w:pPr>
        <w:pStyle w:val="Heading2"/>
      </w:pPr>
      <w:r>
        <w:t>4. TÜREV ÜRÜNLER, PİYASA RİSKLERİ VE SPEKÜLATİF İŞLEM YASAĞI</w:t>
      </w:r>
    </w:p>
    <w:p>
      <w:r>
        <w:t>4.1. Şirket prensip olarak spekülatif veya arbitraj amaçlı hiçbir türev işlem yapamaz. Türev işlemler (Forward, Vadeli Döviz, Faiz Swapı, Opsiyon) yalnızca kanıtlanabilir ticari ithalat/ihracat döviz riskini hedge etmek (Riskten Korunma) amacıyla yapılabilir (C3).</w:t>
      </w:r>
    </w:p>
    <w:p>
      <w:r>
        <w:t>4.2. [KRİTİK PİYASA VE KONTROL ZAYIFLIĞI - W1]: Prosedürün 4.3 maddesinde yer alan "Piyasa aşırı oynaklığı durumunda Hazine Uzmanı sözlü talimatla 2.000.000 USD limitli spot döviz işlemi yapabilir ve banka teyit mektupları ertesi gün sisteme girilir" istisnası, denetim döneminde kötüye kullanılmış; Hazine Uzmanının mesai saatleri dışında 6 kez tek başına toplam 11.500.000 USD spot döviz alım-satımı yaptığı ve şirketin 420.000 USD kur zararına uğradığı saptanmıştır.</w:t>
      </w:r>
    </w:p>
    <w:p>
      <w:pPr>
        <w:pStyle w:val="Heading2"/>
      </w:pPr>
      <w:r>
        <w:t>5. OFFSHORE VE YÜKSEK RİSKLİ YARGI BÖLGESİ TRANSFERLERİ (AML &amp; MASAK UYUMU)</w:t>
      </w:r>
    </w:p>
    <w:p>
      <w:r>
        <w:t>5.1. FATF kara listesinde, gri listede veya vergi cenneti (BVI, Cayman, Kıbrıs, Panama vb.) sayılan ülkelerdeki banka hesaplarına yapılacak 50.000 USD üzerindeki tüm ödemelerde MASAK ve Uyum Departmanı (Compliance) yazılı onayının alınması zorunludur (C4).</w:t>
      </w:r>
    </w:p>
    <w:p>
      <w:r>
        <w:t>5.2. [KRİTİK UYUM İHLALİ - W2]: 2026 yılı 2. çeyreğinde BVI ve Kıbrıs merkezli 3 danışmanlık firmasına toplam 3.250.000 USD tutarında SWIFT transferi yapılmış; Uyum Müdürü onayı alınmamış ve faturaların arkasında somut danışmanlık teslimat raporu bulunamamıştır.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