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İnsan Kaynakları, Yönetici Primleri ve Bordro Denetim Kılavuzu</w:t>
      </w:r>
    </w:p>
    <w:p>
      <w:r>
        <w:t>Bordro hesaplamaları her ayın 25 inde SAP HCM modülü üzerinden puantaj verileriyle otomatik yapılır. Fazla mesai onayları departman müdürleri tarafından onaylanır.</w:t>
      </w:r>
    </w:p>
    <w:p>
      <w:r>
        <w:t>Üst yönetim yıllık performans primleri Ücretlendirme Komitesi kararıyla belirlenir. Ancak 2025 yılı performans prim havuzundan 3 İcra Kurulu üyesine komite kararı olmaksızın toplam 12.500.000 TL avans/prim ödemesi yapıldığı ve bordro tahakkukunun geriye dönük düzeltildiği mülakatlarda tespit edilmiştir (W2 - Vergisel ve Yönetişim Riski).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