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GLOBAL ENERJİ VE TİCARET A.Ş. — ULUSLARARASI AKARYAKIT İTHALATI, HAZİNE SWAP VE GEMİ TAHLİYE PROSEDÜRÜ (SOP-ENG-2026-V9)</w:t>
      </w:r>
    </w:p>
    <w:p>
      <w:r>
        <w:t>Belge Kodu: SOP-ENG-2026-V9 | Yürürlük: 01.01.2026 | Güvenlik Sınıfı: ÇOK GİZLİ (Adli Teftiş &amp; Yönetim Kurulu)</w:t>
      </w:r>
    </w:p>
    <w:p>
      <w:pPr>
        <w:pStyle w:val="Heading2"/>
      </w:pPr>
      <w:r>
        <w:t>1. KAPSAM VE STRATEJİK HEDEFLER</w:t>
      </w:r>
    </w:p>
    <w:p>
      <w:r>
        <w:t>Bu prosedür; Holding ve bağlı 8 enerji/lojistik iştirakinin Akdeniz, Karadeniz ve Rotterdam limanları üzerinden yürüttüğü ham petrol, motorin ve LNG ithalat operasyonlarını; banka akreditif (L/C) açılışlarını, döviz swap ve forward hedge işlemlerini, uluslararası bağımsız gözetim (SGS/Saybolt) denetimlerini ve liman tahliye fire tolerans sınırlarını düzenler.</w:t>
      </w:r>
    </w:p>
    <w:p>
      <w:pPr>
        <w:pStyle w:val="Heading2"/>
      </w:pPr>
      <w:r>
        <w:t>2. YETKİ VE ONAY MATRİSİ (RACI TABLOSU)</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İşlem Kademesi</w:t>
            </w:r>
          </w:p>
        </w:tc>
        <w:tc>
          <w:tcPr>
            <w:tcW w:type="dxa" w:w="1728"/>
          </w:tcPr>
          <w:p>
            <w:r>
              <w:t>Tutar Limiti (USD)</w:t>
            </w:r>
          </w:p>
        </w:tc>
        <w:tc>
          <w:tcPr>
            <w:tcW w:type="dxa" w:w="1728"/>
          </w:tcPr>
          <w:p>
            <w:r>
              <w:t>Birinci Onay</w:t>
            </w:r>
          </w:p>
        </w:tc>
        <w:tc>
          <w:tcPr>
            <w:tcW w:type="dxa" w:w="1728"/>
          </w:tcPr>
          <w:p>
            <w:r>
              <w:t>İkinci Onay</w:t>
            </w:r>
          </w:p>
        </w:tc>
        <w:tc>
          <w:tcPr>
            <w:tcW w:type="dxa" w:w="1728"/>
          </w:tcPr>
          <w:p>
            <w:r>
              <w:t>Kontrol Kodu</w:t>
            </w:r>
          </w:p>
        </w:tc>
      </w:tr>
      <w:tr>
        <w:tc>
          <w:tcPr>
            <w:tcW w:type="dxa" w:w="1728"/>
          </w:tcPr>
          <w:p>
            <w:r>
              <w:t>Spot Akaryakıt Alımı</w:t>
            </w:r>
          </w:p>
        </w:tc>
        <w:tc>
          <w:tcPr>
            <w:tcW w:type="dxa" w:w="1728"/>
          </w:tcPr>
          <w:p>
            <w:r>
              <w:t>0 - 5.000.000 USD</w:t>
            </w:r>
          </w:p>
        </w:tc>
        <w:tc>
          <w:tcPr>
            <w:tcW w:type="dxa" w:w="1728"/>
          </w:tcPr>
          <w:p>
            <w:r>
              <w:t>Ticaret Müdürü</w:t>
            </w:r>
          </w:p>
        </w:tc>
        <w:tc>
          <w:tcPr>
            <w:tcW w:type="dxa" w:w="1728"/>
          </w:tcPr>
          <w:p>
            <w:r>
              <w:t>Operasyon Direktörü</w:t>
            </w:r>
          </w:p>
        </w:tc>
        <w:tc>
          <w:tcPr>
            <w:tcW w:type="dxa" w:w="1728"/>
          </w:tcPr>
          <w:p>
            <w:r>
              <w:t>C1-A</w:t>
            </w:r>
          </w:p>
        </w:tc>
      </w:tr>
      <w:tr>
        <w:tc>
          <w:tcPr>
            <w:tcW w:type="dxa" w:w="1728"/>
          </w:tcPr>
          <w:p>
            <w:r>
              <w:t>Vadeli Kargo ve Akreditif</w:t>
            </w:r>
          </w:p>
        </w:tc>
        <w:tc>
          <w:tcPr>
            <w:tcW w:type="dxa" w:w="1728"/>
          </w:tcPr>
          <w:p>
            <w:r>
              <w:t>5.000.001 - 25.000.000 USD</w:t>
            </w:r>
          </w:p>
        </w:tc>
        <w:tc>
          <w:tcPr>
            <w:tcW w:type="dxa" w:w="1728"/>
          </w:tcPr>
          <w:p>
            <w:r>
              <w:t>Operasyon Direktörü</w:t>
            </w:r>
          </w:p>
        </w:tc>
        <w:tc>
          <w:tcPr>
            <w:tcW w:type="dxa" w:w="1728"/>
          </w:tcPr>
          <w:p>
            <w:r>
              <w:t>CFO &amp; Genel Müdür</w:t>
            </w:r>
          </w:p>
        </w:tc>
        <w:tc>
          <w:tcPr>
            <w:tcW w:type="dxa" w:w="1728"/>
          </w:tcPr>
          <w:p>
            <w:r>
              <w:t>C1-B</w:t>
            </w:r>
          </w:p>
        </w:tc>
      </w:tr>
      <w:tr>
        <w:tc>
          <w:tcPr>
            <w:tcW w:type="dxa" w:w="1728"/>
          </w:tcPr>
          <w:p>
            <w:r>
              <w:t>Faiz ve Emtia Swapı</w:t>
            </w:r>
          </w:p>
        </w:tc>
        <w:tc>
          <w:tcPr>
            <w:tcW w:type="dxa" w:w="1728"/>
          </w:tcPr>
          <w:p>
            <w:r>
              <w:t>1.000.000 - 10.000.000 USD</w:t>
            </w:r>
          </w:p>
        </w:tc>
        <w:tc>
          <w:tcPr>
            <w:tcW w:type="dxa" w:w="1728"/>
          </w:tcPr>
          <w:p>
            <w:r>
              <w:t>Hazine Direktörü</w:t>
            </w:r>
          </w:p>
        </w:tc>
        <w:tc>
          <w:tcPr>
            <w:tcW w:type="dxa" w:w="1728"/>
          </w:tcPr>
          <w:p>
            <w:r>
              <w:t>Mali İşler GMY (CFO)</w:t>
            </w:r>
          </w:p>
        </w:tc>
        <w:tc>
          <w:tcPr>
            <w:tcW w:type="dxa" w:w="1728"/>
          </w:tcPr>
          <w:p>
            <w:r>
              <w:t>C1-C</w:t>
            </w:r>
          </w:p>
        </w:tc>
      </w:tr>
      <w:tr>
        <w:tc>
          <w:tcPr>
            <w:tcW w:type="dxa" w:w="1728"/>
          </w:tcPr>
          <w:p>
            <w:r>
              <w:t>Offshore Danışmanlık ve Brokerage</w:t>
            </w:r>
          </w:p>
        </w:tc>
        <w:tc>
          <w:tcPr>
            <w:tcW w:type="dxa" w:w="1728"/>
          </w:tcPr>
          <w:p>
            <w:r>
              <w:t>50.000 USD ve Üzeri</w:t>
            </w:r>
          </w:p>
        </w:tc>
        <w:tc>
          <w:tcPr>
            <w:tcW w:type="dxa" w:w="1728"/>
          </w:tcPr>
          <w:p>
            <w:r>
              <w:t>Uyum Müdürü (MASAK)</w:t>
            </w:r>
          </w:p>
        </w:tc>
        <w:tc>
          <w:tcPr>
            <w:tcW w:type="dxa" w:w="1728"/>
          </w:tcPr>
          <w:p>
            <w:r>
              <w:t>Yönetim Kurulu</w:t>
            </w:r>
          </w:p>
        </w:tc>
        <w:tc>
          <w:tcPr>
            <w:tcW w:type="dxa" w:w="1728"/>
          </w:tcPr>
          <w:p>
            <w:r>
              <w:t>C1-D</w:t>
            </w:r>
          </w:p>
        </w:tc>
      </w:tr>
    </w:tbl>
    <w:p>
      <w:pPr>
        <w:pStyle w:val="Heading2"/>
      </w:pPr>
      <w:r>
        <w:t>3. GEMİ TAHLİYE VE LİMAN FİRE TOLERANSLARI</w:t>
      </w:r>
    </w:p>
    <w:p>
      <w:r>
        <w:t>Gemi tahliyesinde uluslararası kabul edilebilir maksimum deniz nakliye firesi binde 3 tür (0.003 / %0.3). Binde 3 ü aşan tüm eksik teslimatlarda bağımsız gözetim raporuyla birlikte armatöre derhal Discrepancy Notice (İtiraz Bildirimi) çekilmeli ve sigorta hasar dosyası açılmalıdır (C2).</w:t>
      </w:r>
    </w:p>
    <w:p>
      <w:r>
        <w:t>[AĞIR TASARIM VE KONTROL ZAFİYETİ - W1]: Şirket CEO su ve Ticaret Direktörü tarafından 2025 yılı sonunda yayınlanan iç sirkülerle; Doğu Akdeniz ikmalinde hava muhalefeti gerekçesiyle fire tolerans oranı sözlü onayla %2.5 e kadar yükseltilmiş ve bağımsız gözetim şirketi yerine tedarikçi firmanın kendi survey raporu geçerli kabul edilmiştir. Bu yolla 6 sevkiyatta toplam 14.800.000 USD değerinde ürün kaybı oluşmuştur.</w:t>
      </w:r>
    </w:p>
    <w:p>
      <w:pPr>
        <w:pStyle w:val="Heading2"/>
      </w:pPr>
      <w:r>
        <w:t>4. HAZİNE SWAP İŞLEMLERİ VE ARBİTRAJ YASAĞI</w:t>
      </w:r>
    </w:p>
    <w:p>
      <w:r>
        <w:t>Türev işlemler sadece döviz ve petrol fiyat dalgalanmalarından korunma (Hedge) amaçlı yapılabilir. Spekülatif pozisyon açılamaz (C3).</w:t>
      </w:r>
    </w:p>
    <w:p>
      <w:r>
        <w:t>[KRİTİK UYUMSUZLUK - W2]: Hazine Direktörünün Londra ve Singapur şubelerindeki hesaplar üzerinden şirket özkaynaklarıyla kaldıraçlı Brent Petrol vadeli işlem pozisyonu açtığı, oluşan 6.200.000 USD zararın İcra Kurulu ndan gizlenerek bilançoda Diğer Dönen Varlıklar altında bekletildiği görülmüştür.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