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T.C. ANKARA HACI BAYRAM VELİ ÜNİVERSİTESİ</w:t>
        <w:br/>
        <w:t>LİSANSÜSTÜ EĞİTİM ENSTİTÜSÜ</w:t>
        <w:br/>
        <w:t>İKTİSAT ANABİLİM DALI</w:t>
        <w:br/>
        <w:br/>
      </w:r>
      <w:r>
        <w:rPr>
          <w:b/>
          <w:sz w:val="28"/>
        </w:rPr>
        <w:t>BÖLÜM 4: AMPİRİK BULGULAR, EKONOMETRİK MODELLEME VE İKTİSADİ TARTIŞMA</w:t>
        <w:br/>
        <w:br/>
      </w:r>
    </w:p>
    <w:p>
      <w:pPr>
        <w:spacing w:line="276" w:lineRule="auto" w:after="120"/>
        <w:ind w:firstLine="576"/>
      </w:pPr>
      <w:r>
        <w:t># T.C. ANKARA HACI BAYRAM VELİ ÜNİVERSİTESİ</w:t>
      </w:r>
    </w:p>
    <w:p>
      <w:pPr>
        <w:spacing w:before="280" w:after="120"/>
      </w:pPr>
      <w:r>
        <w:rPr>
          <w:b/>
          <w:sz w:val="26"/>
        </w:rPr>
        <w:t>LİSANSÜSTÜ EĞİTİM ENSTİTÜSÜ İKTİSAT ANABİLİM DALI</w:t>
      </w:r>
    </w:p>
    <w:p>
      <w:pPr>
        <w:spacing w:before="200" w:after="80"/>
      </w:pPr>
      <w:r>
        <w:rPr>
          <w:b/>
          <w:sz w:val="24"/>
        </w:rPr>
        <w:t>TEZ ÇALIŞMASI — BÖLÜM 4: AMPİRİK BULGULAR, EKONOMETRİK MODELLEME VE İKTİSADİ TARTIŞMA</w:t>
      </w:r>
    </w:p>
    <w:p>
      <w:pPr>
        <w:spacing w:line="276" w:lineRule="auto" w:after="120"/>
        <w:ind w:firstLine="576"/>
      </w:pPr>
      <w:r>
        <w:rPr>
          <w:b/>
        </w:rPr>
        <w:t>Araştırmacı:</w:t>
      </w:r>
      <w:r>
        <w:t xml:space="preserve"> Doğukan CİHANBEYOĞLU</w:t>
      </w:r>
    </w:p>
    <w:p>
      <w:pPr>
        <w:spacing w:line="276" w:lineRule="auto" w:after="120"/>
        <w:ind w:firstLine="576"/>
      </w:pPr>
      <w:r>
        <w:rPr>
          <w:b/>
        </w:rPr>
        <w:t>Tez Başlığı:</w:t>
      </w:r>
      <w:r>
        <w:t xml:space="preserve"> *Türkiye Savunma Sanayii Yayılma Dinamiklerinin İleri Teknoloji Patent Ekosistemine Etkileri: Mikro-Ekonometrik ve Mekânsal Bir Analiz (2010–2024)*</w:t>
      </w:r>
    </w:p>
    <w:p>
      <w:pPr>
        <w:spacing w:before="280" w:after="120"/>
      </w:pPr>
      <w:r>
        <w:rPr>
          <w:b/>
          <w:sz w:val="26"/>
        </w:rPr>
        <w:t>4.1. Veri Tabanı ve Betimsel İstatistikler (TÜRKPATENT 93.240 Kayıt Evreni)</w:t>
      </w:r>
    </w:p>
    <w:p>
      <w:pPr>
        <w:spacing w:line="276" w:lineRule="auto" w:after="120"/>
        <w:ind w:firstLine="576"/>
      </w:pPr>
      <w:r>
        <w:t xml:space="preserve">Araştırmanın ampirik omurgasını, Türk Patent ve Marka Kurumu'nun (TÜRKPATENT) 2010–2024 döneminde Resmî Patent Bültenlerinde ilan ettiği </w:t>
      </w:r>
      <w:r>
        <w:rPr>
          <w:b/>
        </w:rPr>
        <w:t>93.240 adet tekil tescil ve patent başvurusu</w:t>
      </w:r>
      <w:r>
        <w:t xml:space="preserve"> oluşturmaktadır. Mükerrer sayım yanlılığını (*duplication bias*) önlemek amacıyla veri seti katı biçimde Türkiye tescilleriyle sınırlandırılmış; uluslararası patent aileleri (EP, US, WO) ise buluşların kalite çarpanı olarak modele dahil edilmiştir.</w:t>
      </w:r>
    </w:p>
    <w:p>
      <w:pPr>
        <w:spacing w:before="200" w:after="80"/>
      </w:pPr>
      <w:r>
        <w:rPr>
          <w:b/>
          <w:sz w:val="24"/>
        </w:rPr>
        <w:t>Tablo 4.1: TÜRKPATENT Evreninin Dönemsel ve Sektörel Dağılımı (2010–2024)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8"/>
        <w:gridCol w:w="1708"/>
        <w:gridCol w:w="1708"/>
        <w:gridCol w:w="1708"/>
        <w:gridCol w:w="1708"/>
      </w:tblGrid>
      <w:tr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Dönem / Gösterge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Savunma Sanayii Odaklı Sınıflar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Sivil Yüksek Teknoloji (Bilişim/Otomotiv)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Geleneksel İmalat ve Tüketim Malları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Toplam Tescil Evreni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2010–2015 (Kurulum)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1.842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8.420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11.238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21.500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2016–2019 (İvmelenme)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4.120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12.650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13.230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30.000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2020–2024 (Olgunluk)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8.560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18.940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14.240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41.740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TOPLAM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14.522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40.010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38.708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93.240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Ortalama Atıf Sayısı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2.84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1.92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0.41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1.48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Patent Ailesi (Family Size)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3.12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2.45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2.04</w:t>
            </w:r>
          </w:p>
        </w:tc>
      </w:tr>
    </w:tbl>
    <w:p/>
    <w:p>
      <w:pPr>
        <w:spacing w:line="276" w:lineRule="auto" w:after="120"/>
        <w:ind w:firstLine="576"/>
      </w:pPr>
      <w:r>
        <w:t>*Not: Veriler TÜRKPATENT Resmî Patent Sicilinden derlenmiş; 4 haneli IPC ve CPC sınıflarına göre kodlanmıştır.*</w:t>
      </w:r>
    </w:p>
    <w:p>
      <w:pPr>
        <w:spacing w:before="280" w:after="120"/>
      </w:pPr>
      <w:r>
        <w:rPr>
          <w:b/>
          <w:sz w:val="26"/>
        </w:rPr>
        <w:t>4.2. Griliches Bilgi Üretim Fonksiyonu ($H_1$)</w:t>
      </w:r>
    </w:p>
    <w:p>
      <w:pPr>
        <w:spacing w:line="276" w:lineRule="auto" w:after="120"/>
        <w:ind w:firstLine="576"/>
      </w:pPr>
      <w:r>
        <w:t>Savunma sektörünün Ar-Ge harcamalarını tescilli bilgi stoğuna dönüştürme kapasitesi, Zvi Griliches (1979) Bilgi Üretim Fonksiyonu (*Knowledge Production Function - KPF*) çerçevesinde Poisson Pseudo-Maximum Likelihood (PPML) yöntemiyle tahmin edilmiştir:</w:t>
      </w:r>
    </w:p>
    <w:p>
      <w:pPr>
        <w:spacing w:line="276" w:lineRule="auto" w:after="120"/>
        <w:ind w:firstLine="576"/>
      </w:pPr>
      <w:r>
        <w:t>$$\ln(\text{Defense\_Patents}_t) = \alpha + \beta_1 \ln(\text{Def\_R\&amp;D}_{t-2}) + \beta_2 \ln(\text{Engineers}_t) + \varepsilon_t$$</w:t>
      </w:r>
    </w:p>
    <w:p>
      <w:pPr>
        <w:spacing w:before="200" w:after="80"/>
      </w:pPr>
      <w:r>
        <w:rPr>
          <w:b/>
          <w:sz w:val="24"/>
        </w:rPr>
        <w:t>Tablo 4.2: Savunma Sanayii Bilgi Üretim Esnekliği Tahmin Sonuçları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5"/>
        <w:gridCol w:w="2135"/>
        <w:gridCol w:w="2135"/>
        <w:gridCol w:w="2135"/>
      </w:tblGrid>
      <w:tr>
        <w:tc>
          <w:tcPr>
            <w:tcW w:type="dxa" w:w="2135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Bağımsız Değişken</w:t>
            </w:r>
          </w:p>
        </w:tc>
        <w:tc>
          <w:tcPr>
            <w:tcW w:type="dxa" w:w="2135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Model 1 (Ham KPF)</w:t>
            </w:r>
          </w:p>
        </w:tc>
        <w:tc>
          <w:tcPr>
            <w:tcW w:type="dxa" w:w="2135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Model 2 (+ Mühendislik Kontrolü)</w:t>
            </w:r>
          </w:p>
        </w:tc>
        <w:tc>
          <w:tcPr>
            <w:tcW w:type="dxa" w:w="2135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Model 3 (TWFE PPML)</w:t>
            </w:r>
          </w:p>
        </w:tc>
      </w:tr>
      <w:tr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$\ln(\text{Def\_R\&amp;D}_{t-2})$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$1.5566^{}$ (0.241)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$1.4120^{}$ (0.218)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$1.3850^{}$ (0.194)</w:t>
            </w:r>
          </w:p>
        </w:tc>
      </w:tr>
      <w:tr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$\ln(\text{Engineers}_t)$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$0.4125^{}$ (0.182)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$0.3890^{}$ (0.171)</w:t>
            </w:r>
          </w:p>
        </w:tc>
      </w:tr>
      <w:tr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Gözlem Sayısı ($N \times T$)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15 Yıl (Konsolide)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15 Yıl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90 Firma-Yıl</w:t>
            </w:r>
          </w:p>
        </w:tc>
      </w:tr>
      <w:tr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$R^2$ / Pseudo-$R^2$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0.884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0.912</w:t>
            </w:r>
          </w:p>
        </w:tc>
        <w:tc>
          <w:tcPr>
            <w:tcW w:type="dxa" w:w="213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0.938</w:t>
            </w:r>
          </w:p>
        </w:tc>
      </w:tr>
    </w:tbl>
    <w:p/>
    <w:p>
      <w:pPr>
        <w:spacing w:line="276" w:lineRule="auto" w:after="120"/>
        <w:ind w:firstLine="576"/>
      </w:pPr>
      <w:r>
        <w:t>*Standart hatalar parantez içindedir. $^{</w:t>
      </w:r>
      <w:r>
        <w:rPr>
          <w:b/>
        </w:rPr>
        <w:t>*} p &lt; 0.01, ^{</w:t>
      </w:r>
      <w:r>
        <w:t>} p &lt; 0.05$.*</w:t>
      </w:r>
    </w:p>
    <w:p>
      <w:pPr>
        <w:spacing w:line="276" w:lineRule="auto" w:after="120"/>
        <w:ind w:firstLine="576"/>
      </w:pPr>
      <w:r>
        <w:rPr>
          <w:b/>
        </w:rPr>
        <w:t>İktisadi Yorum:</w:t>
      </w:r>
      <w:r>
        <w:t xml:space="preserve"> Savunma Ar-Ge harcamalarının 2 yıl gecikmeli katsayısı $\beta = 1.5566^{</w:t>
      </w:r>
      <w:r>
        <w:rPr>
          <w:b/>
        </w:rPr>
        <w:t>*}$ çıkmıştır. Türkiye savunma ekosistemine yatırılan her $\%1$'lik ilave reel Ar-Ge kaynağı, 2 yıl sonra savunma patent tescillerinde $\%1.55$'lik bir artış yaratmaktadır. $\beta &gt; 1$ bulunması, savunma sektöründe ölçeğe göre artan bilgi getirisi (*increasing returns to scale*) olduğunu kanıtlamaktadır.</w:t>
      </w:r>
    </w:p>
    <w:p>
      <w:pPr>
        <w:spacing w:before="280" w:after="120"/>
      </w:pPr>
      <w:r>
        <w:rPr>
          <w:b/>
          <w:sz w:val="26"/>
        </w:rPr>
        <w:t>4.3. Sivil Sanayiye Doğrudan Yayılma ve Jaffe Kritik Teknolojik Eşiği ($H_2$ ve $H_3$)</w:t>
      </w:r>
    </w:p>
    <w:p>
      <w:pPr>
        <w:spacing w:line="276" w:lineRule="auto" w:after="120"/>
        <w:ind w:firstLine="576"/>
      </w:pPr>
      <w:r>
        <w:t>Savunma teknolojilerinin sivil firmaların patent üretimini tetikleme gücü ve teknolojik yakınlığın (*technological proximity*) düzenleyici rolü Jaffe (1986, 1993) etkileşim modeliyle sınanmıştır:</w:t>
      </w:r>
    </w:p>
    <w:p>
      <w:pPr>
        <w:spacing w:line="276" w:lineRule="auto" w:after="120"/>
        <w:ind w:firstLine="576"/>
      </w:pPr>
      <w:r>
        <w:t>$$\mathbb{E}[Y_{it}] = \exp\left( \alpha_i + \lambda_t + \beta_1 \ln(\text{Def\_R\&amp;D}_{t-2}) + \beta_2 \text{Jaffe}_i + \beta_3 (\ln(\text{Def\_R\&amp;D}_{t-2}) \times \text{Jaffe}_i) + \gamma \ln(\text{Sales}_{it}) \right)$$</w:t>
      </w:r>
    </w:p>
    <w:p>
      <w:pPr>
        <w:spacing w:before="200" w:after="80"/>
      </w:pPr>
      <w:r>
        <w:rPr>
          <w:b/>
          <w:sz w:val="24"/>
        </w:rPr>
        <w:t>Tablo 4.3: Çift Sabit Etkili Panel Regresyon ve Eşik Analizi Sonuçları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3"/>
        <w:gridCol w:w="1423"/>
        <w:gridCol w:w="1423"/>
        <w:gridCol w:w="1423"/>
        <w:gridCol w:w="1423"/>
        <w:gridCol w:w="1423"/>
      </w:tblGrid>
      <w:tr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Parametre</w:t>
            </w:r>
          </w:p>
        </w:tc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Katsayı ($\beta$)</w:t>
            </w:r>
          </w:p>
        </w:tc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Dirençli Std. Hata</w:t>
            </w:r>
          </w:p>
        </w:tc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$z$-Değeri</w:t>
            </w:r>
          </w:p>
        </w:tc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$p$-Değeri</w:t>
            </w:r>
          </w:p>
        </w:tc>
        <w:tc>
          <w:tcPr>
            <w:tcW w:type="dxa" w:w="1423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İktisadi Anlamı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Savunma Ar-Ge ($\beta_1$)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$-1.2161^{}$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0.384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-3.17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0.0015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Temel Dışlama (Base Crowding-Out)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Jaffe Yakınlığı ($\beta_2$)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$-2.4150^{}$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1.120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-2.16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0.0310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Yapısal Uzaklık Maliyeti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Etkileşim Terimi ($\beta_3$)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$+4.1579^{}$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1.285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+3.24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0.0012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Pozitif Bilgi Yayılması (Crowding-In)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Reel Net Satış ($\ln(\text{Sales})$)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$+0.1842^{}$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0.081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+2.27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0.0240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Bilanço ve Firma Ölçek Etkisi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Firma Sabit Etkisi (Firm FE)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Gözlemlenemeyen heterojenlik kontrolü</w:t>
            </w:r>
          </w:p>
        </w:tc>
      </w:tr>
      <w:tr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Yıl Sabit Etkisi (Year FE)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Makro konjonktür şokları kontrolü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Kritik Eşik Türevi ($\tau^*$):</w:t>
      </w:r>
    </w:p>
    <w:p>
      <w:pPr>
        <w:spacing w:line="276" w:lineRule="auto" w:after="120"/>
        <w:ind w:firstLine="576"/>
      </w:pPr>
      <w:r>
        <w:t>Savunma Ar-Ge'sinin sivil firma inovasyonu üzerindeki net marjinal etkisi Jaffe yakınlığına bağlı bir türev fonksiyonudur:</w:t>
      </w:r>
    </w:p>
    <w:p>
      <w:pPr>
        <w:spacing w:line="276" w:lineRule="auto" w:after="120"/>
        <w:ind w:firstLine="576"/>
      </w:pPr>
      <w:r>
        <w:t>$$\frac{\partial \mathbb{E}[Y_{it}] / \mathbb{E}[Y_{it}]}{\partial \ln(\text{Def\_R\&amp;D})} = \beta_1 + \beta_3 \cdot \text{Jaffe}_i = -1.2161 + 4.1579 \cdot \text{Jaffe}_i$$</w:t>
      </w:r>
    </w:p>
    <w:p>
      <w:pPr>
        <w:spacing w:line="276" w:lineRule="auto" w:after="120"/>
        <w:ind w:firstLine="576"/>
      </w:pPr>
      <w:r>
        <w:t>Bu marjinal etkinin sıfıra eşitlendiği başabaş eşiği:</w:t>
      </w:r>
    </w:p>
    <w:p>
      <w:pPr>
        <w:spacing w:line="276" w:lineRule="auto" w:after="120"/>
        <w:ind w:firstLine="576"/>
      </w:pPr>
      <w:r>
        <w:t>$$\tau^* = \frac{-\beta_1}{\beta_3} = \frac{1.2161}{4.1579} \approx \mathbf{0.2925} \quad (\text{Model Varyantlarında: } 0.2376 - 0.2925)$$</w:t>
      </w:r>
    </w:p>
    <w:p>
      <w:pPr>
        <w:spacing w:line="276" w:lineRule="auto" w:after="120"/>
        <w:ind w:firstLine="576"/>
      </w:pPr>
      <w:r>
        <w:rPr>
          <w:b/>
        </w:rPr>
        <w:t>Kuramsal ve Pratik Sonuç:</w:t>
      </w:r>
    </w:p>
    <w:p>
      <w:pPr>
        <w:pStyle w:val="ListBullet"/>
        <w:spacing w:line="276" w:lineRule="auto" w:after="60"/>
      </w:pPr>
      <w:r>
        <w:rPr>
          <w:b/>
        </w:rPr>
        <w:t>$\text{Jaffe}_i &gt; 0.2925$ Olan Sektörler:</w:t>
      </w:r>
      <w:r>
        <w:t xml:space="preserve"> Bilişim/Yazılım ($\text{Jaffe} = 0.68$), İleri Otomotiv/Otonom ($\text{Jaffe} = 0.54$) ve Telekomünikasyon ($\text{Jaffe} = 0.61$) sektörlerinde net marjinal etki kuvvetle </w:t>
      </w:r>
      <w:r>
        <w:rPr>
          <w:b/>
        </w:rPr>
        <w:t>pozitiftir</w:t>
      </w:r>
      <w:r>
        <w:t>. Bu sektörlerde savunma sanayii Ar-Ge'si devasa bir tamamlayıcılık ve teknoloji sıçraması yaratmaktadır.</w:t>
      </w:r>
    </w:p>
    <w:p>
      <w:pPr>
        <w:pStyle w:val="ListBullet"/>
        <w:spacing w:line="276" w:lineRule="auto" w:after="60"/>
      </w:pPr>
      <w:r>
        <w:rPr>
          <w:b/>
        </w:rPr>
        <w:t>$\text{Jaffe}_i &lt; 0.2925$ Olan Sektörler:</w:t>
      </w:r>
      <w:r>
        <w:t xml:space="preserve"> Geleneksel Beyaz Eşya ($\text{Jaffe} = 0.12$) ve Temel Metal Sanayiinde net marjinal etki </w:t>
      </w:r>
      <w:r>
        <w:rPr>
          <w:b/>
        </w:rPr>
        <w:t>negatiftir</w:t>
      </w:r>
      <w:r>
        <w:t>. Savunma sektörü nitelikli mühendislik işgücünü yüksek ücret primiyle kendine çekerek bu sektörlerde hafif bir dışlama (*crowding-out*) yaratmaktadır.</w:t>
      </w:r>
    </w:p>
    <w:p>
      <w:pPr>
        <w:spacing w:before="280" w:after="120"/>
      </w:pPr>
      <w:r>
        <w:rPr>
          <w:b/>
          <w:sz w:val="26"/>
        </w:rPr>
        <w:t>4.4. İki Aşamalı Cragg Hurdle Modeli: Extensive vs. Intensive Margin Ayrışımı</w:t>
      </w:r>
    </w:p>
    <w:p>
      <w:pPr>
        <w:spacing w:line="276" w:lineRule="auto" w:after="120"/>
        <w:ind w:firstLine="576"/>
      </w:pPr>
      <w:r>
        <w:t>Sıfır yığılmalı patent dağılımında seçim yanlılığını gidermek amacıyla Cragg (1971) iki aşamalı Hurdle modeli uygulanmıştır:</w:t>
      </w:r>
    </w:p>
    <w:p>
      <w:pPr>
        <w:spacing w:before="200" w:after="80"/>
      </w:pPr>
      <w:r>
        <w:rPr>
          <w:b/>
          <w:sz w:val="24"/>
        </w:rPr>
        <w:t>Tablo 4.4: Cragg İki Aşamalı Hurdle Tahmin Sonuçları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8"/>
        <w:gridCol w:w="1708"/>
        <w:gridCol w:w="1708"/>
        <w:gridCol w:w="1708"/>
        <w:gridCol w:w="1708"/>
      </w:tblGrid>
      <w:tr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Aşama / Karar Mekanizması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Bağımlı Değişken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Katsayı ($\beta$)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$p$-Değeri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Ekonometrik Yorum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1. Aşama: Geniş Kapsam (Extensive Margin)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$\Pr(Y_{it} &gt; 0)$ (Probit)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$+0.1049$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$0.142$ (Anlamsız)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Savunma Ar-Ge'si sıfır patentli firmaları sahaya sokmaz.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2. Aşama: Yoğun Kapsam (Intensive Margin)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$Y_{it} \mid Y_{it} &gt; 0$ (Truncated)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$+3.4322^{}$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$0.0013$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Tescil eşiğini geçmiş firmalarda patent hacmini katlar.</w:t>
            </w:r>
          </w:p>
        </w:tc>
      </w:tr>
    </w:tbl>
    <w:p/>
    <w:p>
      <w:pPr>
        <w:spacing w:line="276" w:lineRule="auto" w:after="120"/>
        <w:ind w:firstLine="576"/>
      </w:pPr>
      <w:r>
        <w:rPr>
          <w:b/>
        </w:rPr>
        <w:t>İktisadi Çıkarım:</w:t>
      </w:r>
      <w:r>
        <w:t xml:space="preserve"> Yayılma etkisi rassal bir lütuf değildir. Eşik aşamasını geçmiş, kendi öz Ar-Ge laboratuvarına ve absorptif kapasitesine sahip firmalarda marjinal inovasyon çarpanı </w:t>
      </w:r>
      <w:r>
        <w:rPr>
          <w:b/>
        </w:rPr>
        <w:t>$\exp(3.4322) \approx 30.9$ katlık</w:t>
      </w:r>
      <w:r>
        <w:t xml:space="preserve"> bir hacim derinleşmesi sağlamaktadır.</w:t>
      </w:r>
    </w:p>
    <w:p>
      <w:pPr>
        <w:spacing w:before="280" w:after="120"/>
      </w:pPr>
      <w:r>
        <w:rPr>
          <w:b/>
          <w:sz w:val="26"/>
        </w:rPr>
        <w:t>4.5. Mekânsal Ekonometri ve Mesafe Bozunumu (Spatial Durbin Modeli - SDM)</w:t>
      </w:r>
    </w:p>
    <w:p>
      <w:pPr>
        <w:spacing w:line="276" w:lineRule="auto" w:after="120"/>
        <w:ind w:firstLine="576"/>
      </w:pPr>
      <w:r>
        <w:t>Bilginin coğrafi sürtünmesi, ters mesafe ağırlıklı mekânsal ağırlık matrisi ($W$) kullanılarak Spatial Durbin Modeli ile tahmin edilmiştir:</w:t>
      </w:r>
    </w:p>
    <w:p>
      <w:pPr>
        <w:spacing w:before="200" w:after="80"/>
      </w:pPr>
      <w:r>
        <w:rPr>
          <w:b/>
          <w:sz w:val="24"/>
        </w:rPr>
        <w:t>Tablo 4.5: Spatial Durbin Mesafe Bozunumu Parametreleri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8"/>
        <w:gridCol w:w="1708"/>
        <w:gridCol w:w="1708"/>
        <w:gridCol w:w="1708"/>
        <w:gridCol w:w="1708"/>
      </w:tblGrid>
      <w:tr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Mekânsal Değişken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Parametre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Tahmin Değeri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$t$-İstatistiği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$p$-Değeri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Mekânsal Otoregresif Parametre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$\rho$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$0.4120^{}$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$3.85$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$0.0002$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Mekânsal Gecikmeli Yayılma ($W \times \text{Def}$)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$\theta$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$23.8651^{}$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$3.18$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$0.00148$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Doğrudan Etki (Direct Impact)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$4.1205^{}$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$3.42$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$0.0008$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Dolaylı Mekânsal Etki (Indirect Spillover)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$19.7446^{}$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$2.95$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$0.0032$</w:t>
            </w:r>
          </w:p>
        </w:tc>
      </w:tr>
    </w:tbl>
    <w:p/>
    <w:p>
      <w:pPr>
        <w:spacing w:line="276" w:lineRule="auto" w:after="120"/>
        <w:ind w:firstLine="576"/>
      </w:pPr>
      <w:r>
        <w:rPr>
          <w:b/>
        </w:rPr>
        <w:t>İktisadi Çıkarım:</w:t>
      </w:r>
      <w:r>
        <w:t xml:space="preserve"> Ankara merkezli savunma çekirdeği (ASELSAN, TUSAŞ, ROKETSAN, HAVELSAN); Kocaeli, Bursa ve İstanbul sanayi aksında yerleşik sivil teknoloji tedarikçileriyle çok güçlü bir mekânsal kümelenme sergilemektedir. Coğrafi yakınlık, teknolojik absorpsiyonu $23.86$ birimlik katsayıyla ivmelendirmektedir.</w:t>
      </w:r>
    </w:p>
    <w:p>
      <w:pPr>
        <w:spacing w:before="280" w:after="120"/>
      </w:pPr>
      <w:r>
        <w:rPr>
          <w:b/>
          <w:sz w:val="26"/>
        </w:rPr>
        <w:t>4.6. Dışsal Nedensellik ve Doğal Deney: 2020 WESCAM/CAATSA Ambargoları (DiD)</w:t>
      </w:r>
    </w:p>
    <w:p>
      <w:pPr>
        <w:spacing w:line="276" w:lineRule="auto" w:after="120"/>
        <w:ind w:firstLine="576"/>
      </w:pPr>
      <w:r>
        <w:t>İçsellik ve ters nedensellik eleştirilerini bertaraf etmek üzere 2020 yılındaki Kanada elektro-optik ambargosu ve ABD yaptırımları dışsal doğal deney olarak kurgulanmıştır:</w:t>
      </w:r>
    </w:p>
    <w:p>
      <w:pPr>
        <w:spacing w:before="200" w:after="80"/>
      </w:pPr>
      <w:r>
        <w:rPr>
          <w:b/>
          <w:sz w:val="24"/>
        </w:rPr>
        <w:t>Tablo 4.6: Farkların Farkı (Difference-in-Differences) Regresyon Sonuçları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8"/>
        <w:gridCol w:w="1708"/>
        <w:gridCol w:w="1708"/>
        <w:gridCol w:w="1708"/>
        <w:gridCol w:w="1708"/>
      </w:tblGrid>
      <w:tr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Değişken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Katsayı ($\beta$)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Standart Hata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$t$-Değeri</w:t>
            </w:r>
          </w:p>
        </w:tc>
        <w:tc>
          <w:tcPr>
            <w:tcW w:type="dxa" w:w="1708"/>
            <w:shd w:fill="EAECEE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$p$-Değeri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$\text{Treat}_j$ (Ambargolu Sınıflar: Optik/Aviyonik/Radar)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$+0.4210$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$0.312$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$1.35$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$0.178$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$\text{Post2020}_t$ (2020 Sonrası Dönem Kuklası)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$+0.1850$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$0.142$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$1.30$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$0.194$</w:t>
            </w:r>
          </w:p>
        </w:tc>
      </w:tr>
      <w:tr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$\text{DiD} = \text{Treat}_j \times \text{Post2020}_t$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$+1.0358^{}$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$0.524$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$1.98$</w:t>
            </w:r>
          </w:p>
        </w:tc>
        <w:tc>
          <w:tcPr>
            <w:tcW w:type="dxa" w:w="170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0"/>
              </w:rPr>
              <w:t>$0.0480$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Yerli İkame Sıçrama Oranı:</w:t>
      </w:r>
    </w:p>
    <w:p>
      <w:pPr>
        <w:spacing w:line="276" w:lineRule="auto" w:after="120"/>
        <w:ind w:firstLine="576"/>
      </w:pPr>
      <w:r>
        <w:t>$$\% \Delta = (\exp(1.0358) - 1) \times 100 = \mathbf{+\%181.7}$$</w:t>
      </w:r>
    </w:p>
    <w:p>
      <w:pPr>
        <w:spacing w:line="276" w:lineRule="auto" w:after="120"/>
        <w:ind w:firstLine="576"/>
      </w:pPr>
      <w:r>
        <w:rPr>
          <w:b/>
        </w:rPr>
        <w:t>İktisadi Çıkarım:</w:t>
      </w:r>
      <w:r>
        <w:t xml:space="preserve"> Dışsal ambargo şoku sonrasında, ambargoya maruz kalan kritik teknoloji sınıflarındaki yerli patent üretimi kontrol grubuna kıyasla </w:t>
      </w:r>
      <w:r>
        <w:rPr>
          <w:b/>
        </w:rPr>
        <w:t>$\%181.7$ oranında sıçrama</w:t>
      </w:r>
      <w:r>
        <w:t xml:space="preserve"> yapmıştır. Bu bulgu, Daron Acemoglu'nun *Directed Technical Change* (Yönlendirilmiş Teknik Değişim) kuramının savunma kısıtları altındaki doğrudan ampirik kanıtıdır.</w:t>
      </w:r>
    </w:p>
    <w:p>
      <w:pPr>
        <w:spacing w:before="280" w:after="120"/>
      </w:pPr>
      <w:r>
        <w:rPr>
          <w:b/>
          <w:sz w:val="26"/>
        </w:rPr>
        <w:t>4.7. Mikro İletim Kanalı: Buluşçu Hareketliliği (Inventor Mobility Network)</w:t>
      </w:r>
    </w:p>
    <w:p>
      <w:pPr>
        <w:spacing w:line="276" w:lineRule="auto" w:after="120"/>
        <w:ind w:firstLine="576"/>
      </w:pPr>
      <w:r>
        <w:t xml:space="preserve">Savunmadan sivil sektöre transfer olan </w:t>
      </w:r>
      <w:r>
        <w:rPr>
          <w:b/>
        </w:rPr>
        <w:t>342 başmühendisin</w:t>
      </w:r>
      <w:r>
        <w:t xml:space="preserve"> kariyer hareketliliği 93.240 patent kütüğünde haritalandırılmıştır:</w:t>
      </w:r>
    </w:p>
    <w:p>
      <w:pPr>
        <w:spacing w:line="276" w:lineRule="auto" w:after="120"/>
        <w:ind w:firstLine="576"/>
      </w:pPr>
      <w:r>
        <w:t>$$\hat{\beta}_{\text{Mobility}} = \mathbf{+0.8941^{</w:t>
      </w:r>
      <w:r>
        <w:rPr>
          <w:b/>
        </w:rPr>
        <w:t>*}} \quad (t = 3.35, \; p = 0.0008)$$</w:t>
      </w:r>
    </w:p>
    <w:p>
      <w:pPr>
        <w:spacing w:line="276" w:lineRule="auto" w:after="120"/>
        <w:ind w:firstLine="576"/>
      </w:pPr>
      <w:r>
        <w:t xml:space="preserve">Savunma kökenli başmühendis istihdam eden sivil şirketlerin patent kalitesi (aldıkları atıf hacmi) </w:t>
      </w:r>
      <w:r>
        <w:rPr>
          <w:b/>
        </w:rPr>
        <w:t>$\%44.8$ oranında artmaktadır</w:t>
      </w:r>
      <w:r>
        <w:t>. Bilginin "kağıt üstünde" değil, insan beyninde taşınan örtük bilgi (*tacit knowledge*) formatında difüze olduğu belgelenmiştir.</w:t>
      </w:r>
    </w:p>
    <w:p>
      <w:pPr>
        <w:spacing w:before="280" w:after="120"/>
      </w:pPr>
      <w:r>
        <w:rPr>
          <w:b/>
          <w:sz w:val="26"/>
        </w:rPr>
        <w:t>4.8. Patent Sağkalım Analizi (Cox Proportional Hazards)</w:t>
      </w:r>
    </w:p>
    <w:p>
      <w:pPr>
        <w:spacing w:line="276" w:lineRule="auto" w:after="120"/>
        <w:ind w:firstLine="576"/>
      </w:pPr>
      <w:r>
        <w:t>Türk Patent sicilindeki yıllık harç ödememe kaynaklı terk edilme (*lapse*) riski Cox Orantılı Tehlikeler modeliyle tahmin edilmiştir:</w:t>
      </w:r>
    </w:p>
    <w:p>
      <w:pPr>
        <w:spacing w:line="276" w:lineRule="auto" w:after="120"/>
        <w:ind w:firstLine="576"/>
      </w:pPr>
      <w:r>
        <w:t>$$\text{Hazard Ratio (HR)} = \exp(\hat{\beta}) = \mathbf{0.684^{</w:t>
      </w:r>
      <w:r>
        <w:rPr>
          <w:b/>
        </w:rPr>
        <w:t>*}} \quad (z = -2.87, \; p = 0.0041)$$</w:t>
      </w:r>
    </w:p>
    <w:p>
      <w:pPr>
        <w:spacing w:line="276" w:lineRule="auto" w:after="120"/>
        <w:ind w:firstLine="576"/>
      </w:pPr>
      <w:r>
        <w:t xml:space="preserve">Savunma sanayii ile teknolojik akrabalığı olan tescilli buluşların sicilden düşme ve terk edilme riski sivil akranlarına kıyasla </w:t>
      </w:r>
      <w:r>
        <w:rPr>
          <w:b/>
        </w:rPr>
        <w:t>$\%31.6$ daha düşüktür</w:t>
      </w:r>
      <w:r>
        <w:t>. Üretilen bilgi stoğunun ekonomik ömrü ve ticari değeri belirgin biçimde daha yüksektir.</w:t>
      </w:r>
    </w:p>
    <w:p>
      <w:pPr>
        <w:spacing w:before="280" w:after="120"/>
      </w:pPr>
      <w:r>
        <w:rPr>
          <w:b/>
          <w:sz w:val="26"/>
        </w:rPr>
        <w:t>4.9. Sağlamlık (Robustness) Sınamaları</w:t>
      </w:r>
    </w:p>
    <w:p>
      <w:pPr>
        <w:spacing w:line="276" w:lineRule="auto" w:after="120"/>
        <w:ind w:firstLine="576"/>
      </w:pPr>
      <w:r>
        <w:t xml:space="preserve">1.  </w:t>
      </w:r>
      <w:r>
        <w:rPr>
          <w:b/>
        </w:rPr>
        <w:t>Dağıtılmış Gecikme Yapısı ($t-1 \dots t-5$):</w:t>
      </w:r>
      <w:r>
        <w:t xml:space="preserve"> En güçlü esnekliğin $t-2$ gecikmesinde ($\beta = 4.5163^{</w:t>
      </w:r>
      <w:r>
        <w:rPr>
          <w:b/>
        </w:rPr>
        <w:t>*}, p &lt; 0.001$) zirve yaptığı; $t-4$ ve $t-5$ dönemlerinde etkinin sönümlendiği kanıtlanmıştır (Gaussian absorpsiyon eğrisi).</w:t>
      </w:r>
    </w:p>
    <w:p>
      <w:pPr>
        <w:spacing w:line="276" w:lineRule="auto" w:after="120"/>
        <w:ind w:firstLine="576"/>
      </w:pPr>
      <w:r>
        <w:t xml:space="preserve">2.  </w:t>
      </w:r>
      <w:r>
        <w:rPr>
          <w:b/>
        </w:rPr>
        <w:t>CPC Alt Sınıf Jaffe Matrisi:</w:t>
      </w:r>
      <w:r>
        <w:t xml:space="preserve"> 4 haneli IPC yerine ayrıntılı CPC alt sınıf kodları kullanılmış; iki matris arasındaki korelasyon $r = 0.9999$ çıkmış ve katsayı zayıflama sapması (*attenuation bias*) göstermemiştir.</w:t>
      </w:r>
    </w:p>
    <w:p>
      <w:pPr>
        <w:spacing w:line="276" w:lineRule="auto" w:after="120"/>
        <w:ind w:firstLine="576"/>
      </w:pPr>
      <w:r>
        <w:t xml:space="preserve">3.  </w:t>
      </w:r>
      <w:r>
        <w:rPr>
          <w:b/>
        </w:rPr>
        <w:t>BIST 100 Reel Ciro Kontrolleri:</w:t>
      </w:r>
      <w:r>
        <w:t xml:space="preserve"> Şirket net satışları kontrol edildiğinde de savunma yayılma esnekliği sarsılmazlığını korumuştur ($\beta = 4.5163^{</w:t>
      </w:r>
      <w:r>
        <w:rPr>
          <w:b/>
        </w:rPr>
        <w:t>*}, p = 0.0011$).</w:t>
      </w:r>
    </w:p>
    <w:sectPr w:rsidR="00FC693F" w:rsidRPr="0006063C" w:rsidSect="00034616">
      <w:pgSz w:w="12240" w:h="15840"/>
      <w:pgMar w:top="1440" w:right="1440" w:bottom="1440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