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28"/>
        </w:rPr>
        <w:t>T.C.</w:t>
      </w:r>
    </w:p>
    <w:p>
      <w:pPr>
        <w:spacing w:before="360" w:after="240"/>
        <w:jc w:val="center"/>
      </w:pPr>
      <w:r>
        <w:rPr>
          <w:b/>
          <w:sz w:val="28"/>
        </w:rPr>
        <w:t>ANKARA HACI BAYRAM VELİ ÜNİVERSİTESİ</w:t>
      </w:r>
    </w:p>
    <w:p>
      <w:pPr>
        <w:spacing w:before="280" w:after="120"/>
        <w:jc w:val="left"/>
      </w:pPr>
      <w:r>
        <w:rPr>
          <w:b/>
          <w:sz w:val="26"/>
        </w:rPr>
        <w:t>LİSANSÜSTÜ EĞİTİM ENSTİTÜSÜ</w:t>
      </w:r>
    </w:p>
    <w:p>
      <w:pPr>
        <w:spacing w:before="200" w:after="80"/>
        <w:jc w:val="left"/>
      </w:pPr>
      <w:r>
        <w:rPr>
          <w:b/>
          <w:sz w:val="24"/>
        </w:rPr>
        <w:t>İKTİSAT ANABİLİM DALI — İKTİSAT TEZLİ YÜKSEK LİSANS PROGRAMI</w:t>
      </w:r>
    </w:p>
    <w:p>
      <w:pPr>
        <w:spacing w:after="240"/>
      </w:pPr>
    </w:p>
    <w:p>
      <w:pPr>
        <w:spacing w:before="360" w:after="240"/>
        <w:jc w:val="center"/>
      </w:pPr>
      <w:r>
        <w:rPr>
          <w:b/>
          <w:sz w:val="28"/>
        </w:rPr>
        <w:t>TÜRKİYE SAVUNMA SANAYİİ YAYILMA DİNAMİKLERİNİN İLERİ TEKNOLOJİ PATENT EKOSİSTEMİNE ETKİLERİ: MİKRO-EKONOMETRİK VE MEKÂNSAL BİR ANALİZ (2010–2024)</w:t>
      </w:r>
    </w:p>
    <w:p>
      <w:pPr>
        <w:spacing w:line="360" w:lineRule="auto" w:after="120"/>
        <w:ind w:firstLine="576"/>
      </w:pPr>
      <w:r>
        <w:rPr>
          <w:b/>
        </w:rPr>
        <w:t>YÜKSEK LİSANS TEZİ</w:t>
      </w:r>
    </w:p>
    <w:p>
      <w:pPr>
        <w:spacing w:line="360" w:lineRule="auto" w:after="120"/>
        <w:ind w:firstLine="576"/>
      </w:pPr>
      <w:r>
        <w:rPr>
          <w:b/>
        </w:rPr>
        <w:t>Doğukan CİHANBEYOĞLU</w:t>
      </w:r>
    </w:p>
    <w:p>
      <w:pPr>
        <w:spacing w:line="360" w:lineRule="auto" w:after="120"/>
        <w:ind w:firstLine="576"/>
      </w:pPr>
      <w:r>
        <w:rPr>
          <w:b/>
        </w:rPr>
        <w:t>Tez Danışmanı: [Unvanı, Adı SOYADI]</w:t>
      </w:r>
    </w:p>
    <w:p>
      <w:pPr>
        <w:spacing w:line="360" w:lineRule="auto" w:after="120"/>
        <w:ind w:firstLine="576"/>
      </w:pPr>
      <w:r>
        <w:rPr>
          <w:b/>
        </w:rPr>
        <w:t>Ankara, Ocak 2027</w:t>
      </w:r>
    </w:p>
    <w:p>
      <w:pPr>
        <w:spacing w:after="240"/>
      </w:pPr>
    </w:p>
    <w:p>
      <w:pPr>
        <w:spacing w:before="280" w:after="120"/>
        <w:jc w:val="left"/>
      </w:pPr>
      <w:r>
        <w:rPr>
          <w:b/>
          <w:sz w:val="26"/>
        </w:rPr>
        <w:t>ETİK İLKELERE UYGUNLUK BEYANI</w:t>
      </w:r>
    </w:p>
    <w:p>
      <w:pPr>
        <w:spacing w:line="360" w:lineRule="auto" w:after="120"/>
        <w:ind w:firstLine="576"/>
      </w:pPr>
      <w:r>
        <w:t>Ankara Hacı Bayram Veli Üniversitesi Lisansüstü Eğitim Enstitüsü Tez Yazım Yönergesi'ne uygun olarak hazırladığım bu tez çalışmasında;</w:t>
      </w:r>
    </w:p>
    <w:p>
      <w:pPr>
        <w:spacing w:line="360" w:lineRule="auto" w:after="80"/>
        <w:ind w:left="576"/>
      </w:pPr>
      <w:r>
        <w:t>1.  Tez içindeki bütün bilgi ve belgeleri akademik kurallar çerçevesinde elde ettiğimi,</w:t>
      </w:r>
    </w:p>
    <w:p>
      <w:pPr>
        <w:spacing w:line="360" w:lineRule="auto" w:after="80"/>
        <w:ind w:left="576"/>
      </w:pPr>
      <w:r>
        <w:t>2.  Görsel, işitsel ve yazılı tüm bilgi ve sonuçları bilimsel ahlak kurallarına uygun olarak sunduğumu,</w:t>
      </w:r>
    </w:p>
    <w:p>
      <w:pPr>
        <w:spacing w:line="360" w:lineRule="auto" w:after="80"/>
        <w:ind w:left="576"/>
      </w:pPr>
      <w:r>
        <w:t>3.  Başkalarının eserlerinden yararlanılması durumunda ilgili eserlere bilimsel normlara uygun olarak eksiksiz atıfta bulunduğumu,</w:t>
      </w:r>
    </w:p>
    <w:p>
      <w:pPr>
        <w:spacing w:line="360" w:lineRule="auto" w:after="80"/>
        <w:ind w:left="576"/>
      </w:pPr>
      <w:r>
        <w:t>4.  Atıfta bulunulan eserlerin tümünü kaynakçada gösterdiğimi,</w:t>
      </w:r>
    </w:p>
    <w:p>
      <w:pPr>
        <w:spacing w:line="360" w:lineRule="auto" w:after="80"/>
        <w:ind w:left="576"/>
      </w:pPr>
      <w:r>
        <w:t>5.  Kullanılan verilerde herhangi bir tahrifat ve sahtecilik yapmadığımı,</w:t>
      </w:r>
    </w:p>
    <w:p>
      <w:pPr>
        <w:spacing w:line="360" w:lineRule="auto" w:after="80"/>
        <w:ind w:left="576"/>
      </w:pPr>
      <w:r>
        <w:t>6.  Bu tezin herhangi bir bölümünü bu üniversitede veya başka bir üniversitede başka bir tez çalışması olarak sunmadığımı,</w:t>
      </w:r>
    </w:p>
    <w:p>
      <w:pPr>
        <w:spacing w:line="360" w:lineRule="auto" w:after="80"/>
        <w:ind w:left="576"/>
      </w:pPr>
      <w:r>
        <w:t>7.  Turnitin / iThenticate benzerlik taramasında Enstitü tarafından belirlenen azami %10 toplam ve %3 tekil kaynak kuralına harfiyen uyulduğunu,</w:t>
      </w:r>
    </w:p>
    <w:p>
      <w:pPr>
        <w:spacing w:line="360" w:lineRule="auto" w:after="120"/>
        <w:ind w:firstLine="576"/>
      </w:pPr>
      <w:r>
        <w:t>beyan ve taahhüt ederim.</w:t>
      </w:r>
    </w:p>
    <w:p>
      <w:pPr>
        <w:spacing w:line="360" w:lineRule="auto" w:after="120"/>
        <w:ind w:firstLine="576"/>
      </w:pPr>
      <w:r>
        <w:rPr>
          <w:b/>
        </w:rPr>
        <w:t>Doğukan CİHANBEYOĞLU</w:t>
      </w:r>
    </w:p>
    <w:p>
      <w:pPr>
        <w:spacing w:line="360" w:lineRule="auto" w:after="120"/>
        <w:ind w:firstLine="576"/>
      </w:pPr>
      <w:r>
        <w:t>İmza: .......................................</w:t>
      </w:r>
    </w:p>
    <w:p>
      <w:pPr>
        <w:spacing w:line="360" w:lineRule="auto" w:after="120"/>
        <w:ind w:firstLine="576"/>
      </w:pPr>
      <w:r>
        <w:t>Tarih: ..... / 01 / 2027</w:t>
      </w:r>
    </w:p>
    <w:p>
      <w:pPr>
        <w:spacing w:after="240"/>
      </w:pPr>
    </w:p>
    <w:p>
      <w:pPr>
        <w:spacing w:before="280" w:after="120"/>
        <w:jc w:val="left"/>
      </w:pPr>
      <w:r>
        <w:rPr>
          <w:b/>
          <w:sz w:val="26"/>
        </w:rPr>
        <w:t>JÜRİ VE ENSTİTÜ ONAY SAYFASI</w:t>
      </w:r>
    </w:p>
    <w:p>
      <w:pPr>
        <w:spacing w:line="360" w:lineRule="auto" w:after="120"/>
        <w:ind w:firstLine="576"/>
      </w:pPr>
      <w:r>
        <w:t xml:space="preserve">Doğukan CİHANBEYOĞLU tarafından hazırlanan </w:t>
      </w:r>
      <w:r>
        <w:rPr>
          <w:i/>
        </w:rPr>
        <w:t>"Türkiye Savunma Sanayii Yayılma Dinamiklerinin İleri Teknoloji Patent Ekosistemine Etkileri: Mikro-Ekonometrik ve Mekânsal Bir Analiz (2010–2024)"</w:t>
      </w:r>
      <w:r>
        <w:t xml:space="preserve"> adlı tez çalışması, aşağıdaki jüri tarafından OY BİRLİĞİ ile Ankara Hacı Bayram Veli Üniversitesi Lisansüstü Eğitim Enstitüsü İktisat Anabilim Dalı'nda </w:t>
      </w:r>
      <w:r>
        <w:rPr>
          <w:b/>
        </w:rPr>
        <w:t>YÜKSEK LİSANS TEZİ</w:t>
      </w:r>
      <w:r>
        <w:t xml:space="preserve"> olarak kabul edilmiştir.</w:t>
      </w:r>
    </w:p>
    <w:p>
      <w:pPr>
        <w:spacing w:line="360" w:lineRule="auto" w:after="120"/>
        <w:ind w:firstLine="576"/>
      </w:pPr>
      <w:r>
        <w:rPr>
          <w:b/>
        </w:rPr>
        <w:t>Sınav Tarihi:</w:t>
      </w:r>
      <w:r>
        <w:t xml:space="preserve"> ..... / 01 / 2027</w:t>
      </w:r>
    </w:p>
    <w:p>
      <w:pPr>
        <w:spacing w:line="360" w:lineRule="auto" w:after="120"/>
        <w:ind w:firstLine="576"/>
      </w:pPr>
      <w:r>
        <w:rPr>
          <w:b/>
        </w:rPr>
        <w:t>Jüri Üyeleri:</w:t>
      </w:r>
    </w:p>
    <w:p>
      <w:pPr>
        <w:spacing w:line="360" w:lineRule="auto" w:after="80"/>
        <w:ind w:left="576"/>
      </w:pPr>
      <w:r>
        <w:t xml:space="preserve">1.  </w:t>
      </w:r>
      <w:r>
        <w:rPr>
          <w:b/>
        </w:rPr>
        <w:t>Başkan:</w:t>
      </w:r>
      <w:r>
        <w:t xml:space="preserve"> Prof. Dr. [Adı SOYADI] (Üniversite / Anabilim Dalı) — İmza: ....................</w:t>
      </w:r>
    </w:p>
    <w:p>
      <w:pPr>
        <w:spacing w:line="360" w:lineRule="auto" w:after="80"/>
        <w:ind w:left="576"/>
      </w:pPr>
      <w:r>
        <w:t xml:space="preserve">2.  </w:t>
      </w:r>
      <w:r>
        <w:rPr>
          <w:b/>
        </w:rPr>
        <w:t>Danışman:</w:t>
      </w:r>
      <w:r>
        <w:t xml:space="preserve"> Dr. Öğr. Üyesi [Adı SOYADI] (AHBV Üniversitesi / İktisat) — İmza: ....................</w:t>
      </w:r>
    </w:p>
    <w:p>
      <w:pPr>
        <w:spacing w:line="360" w:lineRule="auto" w:after="80"/>
        <w:ind w:left="576"/>
      </w:pPr>
      <w:r>
        <w:t xml:space="preserve">3.  </w:t>
      </w:r>
      <w:r>
        <w:rPr>
          <w:b/>
        </w:rPr>
        <w:t>Üye:</w:t>
      </w:r>
      <w:r>
        <w:t xml:space="preserve"> Doç. Dr. [Adı SOYADI] (Üniversite / Anabilim Dalı) — İmza: ....................</w:t>
      </w:r>
    </w:p>
    <w:p>
      <w:pPr>
        <w:spacing w:line="360" w:lineRule="auto" w:after="120"/>
        <w:ind w:firstLine="576"/>
      </w:pPr>
      <w:r>
        <w:t>Enstitü Yönetim Kurulu Karar Tarihi / No: ..... / ..... / 2027 - .......</w:t>
      </w:r>
    </w:p>
    <w:p>
      <w:pPr>
        <w:spacing w:after="240"/>
      </w:pPr>
    </w:p>
    <w:p>
      <w:pPr>
        <w:spacing w:before="280" w:after="120"/>
        <w:jc w:val="left"/>
      </w:pPr>
      <w:r>
        <w:rPr>
          <w:b/>
          <w:sz w:val="26"/>
        </w:rPr>
        <w:t>ÖZET</w:t>
      </w:r>
    </w:p>
    <w:p>
      <w:pPr>
        <w:spacing w:line="360" w:lineRule="auto" w:after="120"/>
        <w:ind w:firstLine="576"/>
      </w:pPr>
      <w:r>
        <w:rPr>
          <w:b/>
        </w:rPr>
        <w:t>TÜRKİYE SAVUNMA SANAYİİ YAYILMA DİNAMİKLERİNİN İLERİ TEKNOLOJİ PATENT EKOSİSTEMİNE ETKİLERİ: MİKRO-EKONOMETRİK VE MEKÂNSAL BİR ANALİZ (2010–2024)</w:t>
      </w:r>
    </w:p>
    <w:p>
      <w:pPr>
        <w:spacing w:line="360" w:lineRule="auto" w:after="120"/>
        <w:ind w:firstLine="576"/>
      </w:pPr>
      <w:r>
        <w:rPr>
          <w:b/>
        </w:rPr>
        <w:t>CİHANBEYOĞLU, Doğukan</w:t>
      </w:r>
    </w:p>
    <w:p>
      <w:pPr>
        <w:spacing w:line="360" w:lineRule="auto" w:after="120"/>
        <w:ind w:firstLine="576"/>
      </w:pPr>
      <w:r>
        <w:t>Yüksek Lisans Tezi, İktisat Anabilim Dalı</w:t>
      </w:r>
    </w:p>
    <w:p>
      <w:pPr>
        <w:spacing w:line="360" w:lineRule="auto" w:after="120"/>
        <w:ind w:firstLine="576"/>
      </w:pPr>
      <w:r>
        <w:t>Tez Danışmanı: [Unvanı, Adı SOYADI]</w:t>
      </w:r>
    </w:p>
    <w:p>
      <w:pPr>
        <w:spacing w:line="360" w:lineRule="auto" w:after="120"/>
        <w:ind w:firstLine="576"/>
      </w:pPr>
      <w:r>
        <w:t>Ocak 2027, 168 Sayfa</w:t>
      </w:r>
    </w:p>
    <w:p>
      <w:pPr>
        <w:spacing w:line="360" w:lineRule="auto" w:after="120"/>
        <w:ind w:firstLine="576"/>
      </w:pPr>
      <w:r>
        <w:t>Bu tez çalışması; Türkiye'de 2010–2024 döneminde kamu kaynakları ve Savunma Sanayii Başkanlığı (SSB) sözleşmeleriyle ivmelenen savunma sanayii Ar-Ge harcamalarının, sivil ileri teknoloji imalat sektörlerindeki (bilişim/yazılım, haberleşme, otonom otomotiv, elektronik ve malzeme teknolojileri) patent üretimi ve kalitesi üzerindeki bilgi yayılması (</w:t>
      </w:r>
      <w:r>
        <w:rPr>
          <w:i/>
        </w:rPr>
        <w:t>knowledge spillover</w:t>
      </w:r>
      <w:r>
        <w:t>), çift kullanımlı (</w:t>
      </w:r>
      <w:r>
        <w:rPr>
          <w:i/>
        </w:rPr>
        <w:t>dual-use</w:t>
      </w:r>
      <w:r>
        <w:t xml:space="preserve">) teknoloji difüzyonu ve mekânsal kümelenme dinamiklerini mikro-ekonometrik modellerle incelemektedir. Araştırmada; Türk Patent ve Marka Kurumu'nun (TÜRKPATENT) 15 yıllık resmî patent sicilinden derlenen </w:t>
      </w:r>
      <w:r>
        <w:rPr>
          <w:b/>
        </w:rPr>
        <w:t>93.240 adet tekil tescil kaydı</w:t>
      </w:r>
      <w:r>
        <w:t xml:space="preserve">, SASAD savunma bilançoları ve Borsa İstanbul'da (BIST 100) işlem gören 30 büyük sanayi devinin ($N </w:t>
        <w:tab/>
        <w:t>imes T = 450$ boyuna panel gözlemi) denetlenmiş reel net satışları birleştirilmiştir.</w:t>
      </w:r>
    </w:p>
    <w:p>
      <w:pPr>
        <w:spacing w:line="360" w:lineRule="auto" w:after="120"/>
        <w:ind w:firstLine="576"/>
      </w:pPr>
      <w:r>
        <w:t>Ekonometrik analizler beş aşamalı bir kanıt piramidiyle yürütülmüştür: (1) Griliches Bilgi Üretim Fonksiyonu çerçevesinde, savunma Ar-Ge harcamalarının 2 yıl gecikmeyle tescilli savunma patentine dönüşüm esnekliği $eta = 1.5566^{</w:t>
      </w:r>
      <w:r>
        <w:rPr>
          <w:b/>
          <w:i/>
        </w:rPr>
        <w:t>}$ ($p &lt; 0.001$) olarak saptanmış; ölçeğe göre artan bilgi getirisi kanıtlanmıştır. (2) Çift Sabit Etkili (Two-Way FE) PPML modelinde savunma Ar-Ge şoklarının sivil patent üretimini pozitif tetiklediği ($eta = 0.9098^{</w:t>
      </w:r>
      <w:r>
        <w:rPr>
          <w:i/>
        </w:rPr>
        <w:t>}$); Jaffe (1986, 1993) teknolojik yakınlık etkileşimiyle birlikte hesaplanan analitik başabaş eşiğinin $</w:t>
        <w:tab/>
        <w:t>au^</w:t>
      </w:r>
      <w:r>
        <w:t xml:space="preserve"> = 0.2925$ olduğu türetilmiştir. $</w:t>
        <w:tab/>
        <w:t>au &gt; 0.2925$ üzerindeki sektörlerde (Bilişim, Telekomünikasyon, İleri Otomotiv) güçlü bir tamamlayıcılık (</w:t>
      </w:r>
      <w:r>
        <w:rPr>
          <w:i/>
        </w:rPr>
        <w:t>crowding-in</w:t>
      </w:r>
      <w:r>
        <w:t>) görülürken; eşiğin altındaki geleneksel tüketim sektörlerinde hafif bir mühendis dışlaması (</w:t>
      </w:r>
      <w:r>
        <w:rPr>
          <w:i/>
        </w:rPr>
        <w:t>crowding-out</w:t>
      </w:r>
      <w:r>
        <w:t>) gözlenmiştir. (3) Cragg (1971) İki Aşamalı Hurdle modelinde geniş kapsam (</w:t>
      </w:r>
      <w:r>
        <w:rPr>
          <w:i/>
        </w:rPr>
        <w:t>extensive margin - Probit</w:t>
      </w:r>
      <w:r>
        <w:t>) katsayısı anlamsız ($eta = 0.1049$), yoğun kapsam (</w:t>
      </w:r>
      <w:r>
        <w:rPr>
          <w:i/>
        </w:rPr>
        <w:t>intensive margin - Truncated Count</w:t>
      </w:r>
      <w:r>
        <w:t>) katsayısı ise devasa ($eta = 3.4322^{</w:t>
      </w:r>
      <w:r>
        <w:rPr>
          <w:b/>
          <w:i/>
        </w:rPr>
        <w:t>}, p = 0.0013$) çıkmış; yayılmanın tescil kültürüne sahip aktif inovatif firmalarda hacim patlaması yarattığı ispatlanmıştır. (4) Spatial Durbin Modeli ile Ankara savunma çekirdeği ile Marmara sanayi aksı arasındaki ters mesafe etkileşimi $</w:t>
        <w:tab/>
        <w:t>heta = 23.8651^{</w:t>
      </w:r>
      <w:r>
        <w:rPr>
          <w:i/>
        </w:rPr>
        <w:t>}$ ($p = 0.00148$) bulunarak coğrafi mesafe bozunumu kanıtlanmıştır. (5) 2020 Kanada WESCAM ve ABD CAATSA ambargolarının dışsal doğal deney kurgusuyla (DiD) yapılan analizinde, ambargoya maruz kalan optik/aviyonik sınıflarında yerli ikame tescil sıçramasının $+\%181.7$ ($eta_{</w:t>
        <w:tab/>
        <w:t>ext{DiD}} = 1.0358^{</w:t>
      </w:r>
      <w:r>
        <w:t>}$) olduğu belirlenmiştir. Ayrıca 342 başmühendisin kariyer geçişleri haritalandırılarak örtük bilginin insan beyniyle transferi ($eta = +0.8941^{</w:t>
      </w:r>
      <w:r>
        <w:rPr>
          <w:b/>
          <w:i/>
        </w:rPr>
        <w:t>}$) ve Cox Orantılı Tehlikeler analiziyle savunma akrabalığı olan patentlerin terk edilme riskinin $\%31.6$ daha düşük olduğu belgelenmiştir. Bulgular, savunma sanayii Ar-Ge bütçelerinin salt askeri değil, sivil sanayi için yüksek katma değerli bir ulusal teknoloji motoru olduğunu ortaya koymaktadır.</w:t>
      </w:r>
    </w:p>
    <w:p>
      <w:pPr>
        <w:spacing w:line="360" w:lineRule="auto" w:after="120"/>
        <w:ind w:firstLine="576"/>
      </w:pPr>
      <w:r>
        <w:rPr>
          <w:b/>
        </w:rPr>
        <w:t>Anahtar Kelimeler:</w:t>
      </w:r>
      <w:r>
        <w:t xml:space="preserve"> Savunma Sanayii Ar-Ge Harcamaları, Bilgi Yayılması (Knowledge Spillover), TÜRKPATENT, Jaffe Teknolojik Yakınlığı, Hurdle Modeli, Spatial Durbin Modeli, Doğal Deney (DiD), Çift Kullanımlı Teknoloji.</w:t>
      </w:r>
    </w:p>
    <w:p>
      <w:pPr>
        <w:spacing w:after="240"/>
      </w:pPr>
    </w:p>
    <w:p>
      <w:pPr>
        <w:spacing w:before="280" w:after="120"/>
        <w:jc w:val="left"/>
      </w:pPr>
      <w:r>
        <w:rPr>
          <w:b/>
          <w:sz w:val="26"/>
        </w:rPr>
        <w:t>ABSTRACT</w:t>
      </w:r>
    </w:p>
    <w:p>
      <w:pPr>
        <w:spacing w:line="360" w:lineRule="auto" w:after="120"/>
        <w:ind w:firstLine="576"/>
      </w:pPr>
      <w:r>
        <w:rPr>
          <w:b/>
        </w:rPr>
        <w:t>SPILLOVER DYNAMICS OF THE TURKISH DEFENSE INDUSTRY ON THE ADVANCED TECHNOLOGY PATENT ECOSYSTEM: A MICRO-ECONOMETRIC AND SPATIAL ANALYSIS (2010–2024)</w:t>
      </w:r>
    </w:p>
    <w:p>
      <w:pPr>
        <w:spacing w:line="360" w:lineRule="auto" w:after="120"/>
        <w:ind w:firstLine="576"/>
      </w:pPr>
      <w:r>
        <w:rPr>
          <w:b/>
        </w:rPr>
        <w:t>CİHANBEYOĞLU, Doğukan</w:t>
      </w:r>
    </w:p>
    <w:p>
      <w:pPr>
        <w:spacing w:line="360" w:lineRule="auto" w:after="120"/>
        <w:ind w:firstLine="576"/>
      </w:pPr>
      <w:r>
        <w:t>Master's Thesis, Department of Economics</w:t>
      </w:r>
    </w:p>
    <w:p>
      <w:pPr>
        <w:spacing w:line="360" w:lineRule="auto" w:after="120"/>
        <w:ind w:firstLine="576"/>
      </w:pPr>
      <w:r>
        <w:t>Supervisor: [Title, Name SURNAME]</w:t>
      </w:r>
    </w:p>
    <w:p>
      <w:pPr>
        <w:spacing w:line="360" w:lineRule="auto" w:after="120"/>
        <w:ind w:firstLine="576"/>
      </w:pPr>
      <w:r>
        <w:t>January 2027, 168 Pages</w:t>
      </w:r>
    </w:p>
    <w:p>
      <w:pPr>
        <w:spacing w:line="360" w:lineRule="auto" w:after="120"/>
        <w:ind w:firstLine="576"/>
      </w:pPr>
      <w:r>
        <w:t xml:space="preserve">This thesis investigates the knowledge spillover, dual-use technology diffusion, and spatial clustering dynamics of defense R&amp;D expenditures on civilian innovation quality and patenting output across Turkish advanced manufacturing industries (ICT, telecommunications, autonomous automotive, electronics, and materials technology) over the 2010–2024 period. The empirical framework utilizes a comprehensive dataset consisting of </w:t>
      </w:r>
      <w:r>
        <w:rPr>
          <w:b/>
        </w:rPr>
        <w:t>93,240 individual patent and utility model publications</w:t>
      </w:r>
      <w:r>
        <w:t xml:space="preserve"> officially retrieved from the Turkish Patent and Trademark Office (TÜRKPATENT), matched with 15-year audited financial defense balance sheets from SASAD and Borsa Istanbul (BIST 100) audited net sales across 30 industrial leaders ($N </w:t>
        <w:tab/>
        <w:t>imes T = 450$ longitudinal panel observations).</w:t>
      </w:r>
    </w:p>
    <w:p>
      <w:pPr>
        <w:spacing w:line="360" w:lineRule="auto" w:after="120"/>
        <w:ind w:firstLine="576"/>
      </w:pPr>
      <w:r>
        <w:t>The empirical strategy is executed via a rigorous five-pillar econometric evidence pyramid: (1) Within the Griliches (1979) Knowledge Production Function, defense R&amp;D elasticity with a 2-year lag is estimated at $eta = 1.5566^{</w:t>
      </w:r>
      <w:r>
        <w:rPr>
          <w:b/>
          <w:i/>
        </w:rPr>
        <w:t>}$ ($p &lt; 0.001$), confirming increasing returns to scale in defense knowledge creation. (2) In a Two-Way Fixed Effects PPML model, defense spillovers significantly stimulate civilian patenting ($eta = 0.9098^{</w:t>
      </w:r>
      <w:r>
        <w:rPr>
          <w:i/>
        </w:rPr>
        <w:t>}$); analytical derivation of the Jaffe (1986, 1993) technological proximity interaction establishes a critical breakeven threshold of $</w:t>
        <w:tab/>
        <w:t>au^</w:t>
      </w:r>
      <w:r>
        <w:t xml:space="preserve"> = 0.2925$. Sectors above this absorptive capacity threshold (Software, Telecom, Automotive) experience substantial crowding-in, whereas sectors below exhibit slight human capital crowding-out. (3) A two-part Cragg (1971) Hurdle model demonstrates an insignificant extensive margin (entry decision: $eta = 0.1049, p &gt; 0.10$) alongside a massive, highly significant intensive margin (patenting depth: $eta = 3.4322^{</w:t>
      </w:r>
      <w:r>
        <w:rPr>
          <w:b/>
          <w:i/>
        </w:rPr>
        <w:t>}, p = 0.0013$), establishing that spillovers intensely scale patenting volume within actively innovative firms rather than inducing non-innovative firms to enter. (4) A Spatial Durbin Model confirms significant geographic distance decay from the Ankara defense hub to the Marmara industrial corridor ($</w:t>
        <w:tab/>
        <w:t>heta = 23.8651^{</w:t>
      </w:r>
      <w:r>
        <w:rPr>
          <w:i/>
        </w:rPr>
        <w:t>}, p = 0.00148$). (5) Exploiting the 2020 Canadian WESCAM and US CAATSA embargoes as an exogenous quasi-natural experiment (Difference-in-Differences), targeted electro-optical/avionics IPC classes exhibit a $+181.7\%$ domestic substitution surge ($eta_{</w:t>
        <w:tab/>
        <w:t>ext{DiD}} = 1.0358^{</w:t>
      </w:r>
      <w:r>
        <w:t>}, p = 0.048$). Tracking 342 dual-patenting chief engineers establishes that tacit knowledge transfers through labor mobility ($eta = +0.8941^{</w:t>
      </w:r>
      <w:r>
        <w:rPr>
          <w:b/>
          <w:i/>
        </w:rPr>
        <w:t>}$), while Cox Proportional Hazards modeling proves a $31.6\%$ lower lapse risk ($</w:t>
        <w:tab/>
        <w:t>ext{HR} = 0.684^{</w:t>
      </w:r>
      <w:r>
        <w:rPr>
          <w:i/>
        </w:rPr>
        <w:t>}$) for defense-related civilian patents. The results establish defense R&amp;D as a premier technological driver for civilian industrial upgrading.</w:t>
      </w:r>
    </w:p>
    <w:p>
      <w:pPr>
        <w:spacing w:line="360" w:lineRule="auto" w:after="120"/>
        <w:ind w:firstLine="576"/>
      </w:pPr>
      <w:r>
        <w:rPr>
          <w:b/>
        </w:rPr>
        <w:t>Keywords:</w:t>
      </w:r>
      <w:r>
        <w:t xml:space="preserve"> Defense R&amp;D Expenditures, Knowledge Spillovers, TÜRKPATENT, Jaffe Proximity, Hurdle Model, Spatial Durbin Model, Natural Experiment, Difference-in-Differences, Dual-Use Technology.</w:t>
      </w:r>
    </w:p>
    <w:p>
      <w:pPr>
        <w:spacing w:after="240"/>
      </w:pPr>
    </w:p>
    <w:p>
      <w:pPr>
        <w:spacing w:before="280" w:after="120"/>
        <w:jc w:val="left"/>
      </w:pPr>
      <w:r>
        <w:rPr>
          <w:b/>
          <w:sz w:val="26"/>
        </w:rPr>
        <w:t>İÇİNDEKİLER DİZİNİ</w:t>
      </w:r>
    </w:p>
    <w:p>
      <w:pPr>
        <w:spacing w:line="360" w:lineRule="auto" w:after="80"/>
        <w:ind w:left="576"/>
      </w:pPr>
      <w:r>
        <w:t xml:space="preserve">• </w:t>
      </w:r>
      <w:r>
        <w:rPr>
          <w:b/>
        </w:rPr>
        <w:t>ETİK İLKELERE UYGUNLUK BEYANI</w:t>
      </w:r>
      <w:r>
        <w:t xml:space="preserve"> .............................................................. iii</w:t>
      </w:r>
    </w:p>
    <w:p>
      <w:pPr>
        <w:spacing w:line="360" w:lineRule="auto" w:after="80"/>
        <w:ind w:left="576"/>
      </w:pPr>
      <w:r>
        <w:t xml:space="preserve">• </w:t>
      </w:r>
      <w:r>
        <w:rPr>
          <w:b/>
        </w:rPr>
        <w:t>JÜRİ VE ENSTİTÜ ONAY SAYFASI</w:t>
      </w:r>
      <w:r>
        <w:t xml:space="preserve"> ................................................................. iv</w:t>
      </w:r>
    </w:p>
    <w:p>
      <w:pPr>
        <w:spacing w:line="360" w:lineRule="auto" w:after="80"/>
        <w:ind w:left="576"/>
      </w:pPr>
      <w:r>
        <w:t xml:space="preserve">• </w:t>
      </w:r>
      <w:r>
        <w:rPr>
          <w:b/>
        </w:rPr>
        <w:t>ÖZET</w:t>
      </w:r>
      <w:r>
        <w:t xml:space="preserve"> ............................................................................................................. v</w:t>
      </w:r>
    </w:p>
    <w:p>
      <w:pPr>
        <w:spacing w:line="360" w:lineRule="auto" w:after="80"/>
        <w:ind w:left="576"/>
      </w:pPr>
      <w:r>
        <w:t xml:space="preserve">• </w:t>
      </w:r>
      <w:r>
        <w:rPr>
          <w:b/>
        </w:rPr>
        <w:t>ABSTRACT</w:t>
      </w:r>
      <w:r>
        <w:t xml:space="preserve"> ...................................................................................................... vi</w:t>
      </w:r>
    </w:p>
    <w:p>
      <w:pPr>
        <w:spacing w:line="360" w:lineRule="auto" w:after="80"/>
        <w:ind w:left="576"/>
      </w:pPr>
      <w:r>
        <w:t xml:space="preserve">• </w:t>
      </w:r>
      <w:r>
        <w:rPr>
          <w:b/>
        </w:rPr>
        <w:t>İÇİNDEKİLER DİZİNİ</w:t>
      </w:r>
      <w:r>
        <w:t xml:space="preserve"> ................................................................................. vii</w:t>
      </w:r>
    </w:p>
    <w:p>
      <w:pPr>
        <w:spacing w:line="360" w:lineRule="auto" w:after="80"/>
        <w:ind w:left="576"/>
      </w:pPr>
      <w:r>
        <w:t xml:space="preserve">• </w:t>
      </w:r>
      <w:r>
        <w:rPr>
          <w:b/>
        </w:rPr>
        <w:t>KISALTMALAR DİZİNİ</w:t>
      </w:r>
      <w:r>
        <w:t xml:space="preserve"> .................................................................................. ix</w:t>
      </w:r>
    </w:p>
    <w:p>
      <w:pPr>
        <w:spacing w:line="360" w:lineRule="auto" w:after="80"/>
        <w:ind w:left="576"/>
      </w:pPr>
      <w:r>
        <w:t xml:space="preserve">• </w:t>
      </w:r>
      <w:r>
        <w:rPr>
          <w:b/>
        </w:rPr>
        <w:t>TABLOLAR DİZİNİ</w:t>
      </w:r>
      <w:r>
        <w:t xml:space="preserve"> ...................................................................................... xi</w:t>
      </w:r>
    </w:p>
    <w:p>
      <w:pPr>
        <w:spacing w:line="360" w:lineRule="auto" w:after="80"/>
        <w:ind w:left="576"/>
      </w:pPr>
      <w:r>
        <w:t xml:space="preserve">• </w:t>
      </w:r>
      <w:r>
        <w:rPr>
          <w:b/>
        </w:rPr>
        <w:t>ŞEKİLLER DİZİNİ</w:t>
      </w:r>
      <w:r>
        <w:t xml:space="preserve"> ..................................................................................... xiii</w:t>
      </w:r>
    </w:p>
    <w:p>
      <w:pPr>
        <w:spacing w:line="360" w:lineRule="auto" w:after="80"/>
        <w:ind w:left="576"/>
      </w:pPr>
      <w:r>
        <w:t xml:space="preserve">• </w:t>
      </w:r>
      <w:r>
        <w:rPr>
          <w:b/>
        </w:rPr>
        <w:t>BÖLÜM 1: GİRİŞ</w:t>
      </w:r>
      <w:r>
        <w:t xml:space="preserve"> ........................................................................................... 1</w:t>
      </w:r>
    </w:p>
    <w:p>
      <w:pPr>
        <w:spacing w:line="360" w:lineRule="auto" w:after="80"/>
        <w:ind w:left="576"/>
      </w:pPr>
      <w:r>
        <w:t>• 1.1. Araştırmanın Arka Planı ve Problemi ....................................................... 1</w:t>
      </w:r>
    </w:p>
    <w:p>
      <w:pPr>
        <w:spacing w:line="360" w:lineRule="auto" w:after="80"/>
        <w:ind w:left="576"/>
      </w:pPr>
      <w:r>
        <w:t>• 1.2. Araştırma Soruları ve Kuramsal Hipotezler ................................................. 7</w:t>
      </w:r>
    </w:p>
    <w:p>
      <w:pPr>
        <w:spacing w:line="360" w:lineRule="auto" w:after="80"/>
        <w:ind w:left="576"/>
      </w:pPr>
      <w:r>
        <w:t>• 1.3. Tezin Özgün Değeri ve Literatüre Katkıları .............................................. 12</w:t>
      </w:r>
    </w:p>
    <w:p>
      <w:pPr>
        <w:spacing w:line="360" w:lineRule="auto" w:after="80"/>
        <w:ind w:left="576"/>
      </w:pPr>
      <w:r>
        <w:t>• 1.4. Türkiye Savunma Sanayiinin Tarihsel Gelişimi ve Kurumsal Yapısı .................. 17</w:t>
      </w:r>
    </w:p>
    <w:p>
      <w:pPr>
        <w:spacing w:line="360" w:lineRule="auto" w:after="80"/>
        <w:ind w:left="576"/>
      </w:pPr>
      <w:r>
        <w:t xml:space="preserve">• </w:t>
      </w:r>
      <w:r>
        <w:rPr>
          <w:b/>
        </w:rPr>
        <w:t>BÖLÜM 2: KURAMSAL ÇERÇEVE VE LİTERATÜR TARAMASI</w:t>
      </w:r>
      <w:r>
        <w:t xml:space="preserve"> ................................. 26</w:t>
      </w:r>
    </w:p>
    <w:p>
      <w:pPr>
        <w:spacing w:line="360" w:lineRule="auto" w:after="80"/>
        <w:ind w:left="576"/>
      </w:pPr>
      <w:r>
        <w:t>• 2.1. İnovasyon Kuramları ve Bilgi Yayılması (Knowledge Spillover) ....................... 26</w:t>
      </w:r>
    </w:p>
    <w:p>
      <w:pPr>
        <w:spacing w:line="360" w:lineRule="auto" w:after="80"/>
        <w:ind w:left="576"/>
      </w:pPr>
      <w:r>
        <w:t>• 2.2. Benoit vs. Deger-Sen: Savunma Harcamalarında Dışlama ve Büyüme ................ 38</w:t>
      </w:r>
    </w:p>
    <w:p>
      <w:pPr>
        <w:spacing w:line="360" w:lineRule="auto" w:after="80"/>
        <w:ind w:left="576"/>
      </w:pPr>
      <w:r>
        <w:t>• 2.3. Çift Kullanımlı (Dual-Use) Teknoloji ve Absorptif Kapasite Kuramı ................... 49</w:t>
      </w:r>
    </w:p>
    <w:p>
      <w:pPr>
        <w:spacing w:line="360" w:lineRule="auto" w:after="80"/>
        <w:ind w:left="576"/>
      </w:pPr>
      <w:r>
        <w:t>• 2.4. Patent İktisadı ve Teknolojik Mesafe Yazını (Jaffe İndeksi) ........................... 59</w:t>
      </w:r>
    </w:p>
    <w:p>
      <w:pPr>
        <w:spacing w:line="360" w:lineRule="auto" w:after="80"/>
        <w:ind w:left="576"/>
      </w:pPr>
      <w:r>
        <w:t>• 2.5. Dünyada ve Türkiye'de Yapılmış Ampirik Çalışmaların Sentezi ........................ 68</w:t>
      </w:r>
    </w:p>
    <w:p>
      <w:pPr>
        <w:spacing w:line="360" w:lineRule="auto" w:after="80"/>
        <w:ind w:left="576"/>
      </w:pPr>
      <w:r>
        <w:t xml:space="preserve">• </w:t>
      </w:r>
      <w:r>
        <w:rPr>
          <w:b/>
        </w:rPr>
        <w:t>BÖLÜM 3: VERİ SETİ VE EKONOMETRİK METODOLOJİ</w:t>
      </w:r>
      <w:r>
        <w:t xml:space="preserve"> ..................................... 78</w:t>
      </w:r>
    </w:p>
    <w:p>
      <w:pPr>
        <w:spacing w:line="360" w:lineRule="auto" w:after="80"/>
        <w:ind w:left="576"/>
      </w:pPr>
      <w:r>
        <w:t>• 3.1. TÜRKPATENT 93.240 Patent Evreni ve Veri Derleme Metodolojisi .................... 78</w:t>
      </w:r>
    </w:p>
    <w:p>
      <w:pPr>
        <w:spacing w:line="360" w:lineRule="auto" w:after="80"/>
        <w:ind w:left="576"/>
      </w:pPr>
      <w:r>
        <w:t>• 3.2. SASAD Savunma Bilançoları ve BIST 100 KAP Veri Entegrasyonu .................... 84</w:t>
      </w:r>
    </w:p>
    <w:p>
      <w:pPr>
        <w:spacing w:line="360" w:lineRule="auto" w:after="80"/>
        <w:ind w:left="576"/>
      </w:pPr>
      <w:r>
        <w:t>• 3.3. Jaffe (1986, 1993) Teknolojik Yakınlık Matrisinin Hesaplanması ...................... 88</w:t>
      </w:r>
    </w:p>
    <w:p>
      <w:pPr>
        <w:spacing w:line="360" w:lineRule="auto" w:after="80"/>
        <w:ind w:left="576"/>
      </w:pPr>
      <w:r>
        <w:t>• 3.4. Çift Sabit Etkili Poisson Pseudo-Maximum Likelihood (PPML) Modeli ............... 92</w:t>
      </w:r>
    </w:p>
    <w:p>
      <w:pPr>
        <w:spacing w:line="360" w:lineRule="auto" w:after="80"/>
        <w:ind w:left="576"/>
      </w:pPr>
      <w:r>
        <w:t>• 3.5. Cragg Hurdle İki Aşamalı Seçilim Modeli (Extensive vs. Intensive Margin) ........... 97</w:t>
      </w:r>
    </w:p>
    <w:p>
      <w:pPr>
        <w:spacing w:line="360" w:lineRule="auto" w:after="80"/>
        <w:ind w:left="576"/>
      </w:pPr>
      <w:r>
        <w:t>• 3.6. Mekânsal Ekonometri: Spatial Durbin Modeli (SDM) .................................... 101</w:t>
      </w:r>
    </w:p>
    <w:p>
      <w:pPr>
        <w:spacing w:line="360" w:lineRule="auto" w:after="80"/>
        <w:ind w:left="576"/>
      </w:pPr>
      <w:r>
        <w:t>• 3.7. Dışsal Nedensellik ve Doğal Deney: 2020 Ambargoları (DiD) ........................... 106</w:t>
      </w:r>
    </w:p>
    <w:p>
      <w:pPr>
        <w:spacing w:line="360" w:lineRule="auto" w:after="80"/>
        <w:ind w:left="576"/>
      </w:pPr>
      <w:r>
        <w:t>• 3.8. Buluşçu Hareketliliği (Inventor Mobility) ve Cox Sağkalım Modeli .................. 110</w:t>
      </w:r>
    </w:p>
    <w:p>
      <w:pPr>
        <w:spacing w:line="360" w:lineRule="auto" w:after="80"/>
        <w:ind w:left="576"/>
      </w:pPr>
      <w:r>
        <w:t xml:space="preserve">• </w:t>
      </w:r>
      <w:r>
        <w:rPr>
          <w:b/>
        </w:rPr>
        <w:t>BÖLÜM 4: AMPİRİK BULGULAR, EKONOMETRİK MODELLEME VE İKTİSADİ TARTIŞMA</w:t>
      </w:r>
      <w:r>
        <w:t xml:space="preserve"> .. 115</w:t>
      </w:r>
    </w:p>
    <w:p>
      <w:pPr>
        <w:spacing w:line="360" w:lineRule="auto" w:after="80"/>
        <w:ind w:left="576"/>
      </w:pPr>
      <w:r>
        <w:t>• 4.1. Veri Tabanı ve Betimsel İstatistikler (TÜRKPATENT 93.240 Kayıt Evreni) .......... 115</w:t>
      </w:r>
    </w:p>
    <w:p>
      <w:pPr>
        <w:spacing w:line="360" w:lineRule="auto" w:after="80"/>
        <w:ind w:left="576"/>
      </w:pPr>
      <w:r>
        <w:t>• 4.2. Griliches Bilgi Üretim Fonksiyonu (H1) ...................................................... 120</w:t>
      </w:r>
    </w:p>
    <w:p>
      <w:pPr>
        <w:spacing w:line="360" w:lineRule="auto" w:after="80"/>
        <w:ind w:left="576"/>
      </w:pPr>
      <w:r>
        <w:t>• 4.3. Sivil Sanayiye Doğrudan Yayılma ve Jaffe Kritik Teknolojik Eşiği (H2 ve H3) ..... 124</w:t>
      </w:r>
    </w:p>
    <w:p>
      <w:pPr>
        <w:spacing w:line="360" w:lineRule="auto" w:after="80"/>
        <w:ind w:left="576"/>
      </w:pPr>
      <w:r>
        <w:t>• 4.4. İki Aşamalı Cragg Hurdle Modeli: Kapsam Ayrışımı (H4) ................................ 129</w:t>
      </w:r>
    </w:p>
    <w:p>
      <w:pPr>
        <w:spacing w:line="360" w:lineRule="auto" w:after="80"/>
        <w:ind w:left="576"/>
      </w:pPr>
      <w:r>
        <w:t>• 4.5. Mekânsal Ekonometri ve Mesafe Bozunumu (Spatial Durbin Modeli - H5) .......... 134</w:t>
      </w:r>
    </w:p>
    <w:p>
      <w:pPr>
        <w:spacing w:line="360" w:lineRule="auto" w:after="80"/>
        <w:ind w:left="576"/>
      </w:pPr>
      <w:r>
        <w:t>• 4.6. Dışsal Nedensellik ve Doğal Deney: 2020 Ambargoları (DiD - H6) ..................... 139</w:t>
      </w:r>
    </w:p>
    <w:p>
      <w:pPr>
        <w:spacing w:line="360" w:lineRule="auto" w:after="80"/>
        <w:ind w:left="576"/>
      </w:pPr>
      <w:r>
        <w:t>• 4.7. Mikro İletim Kanalı: Buluşçu Hareketliliği (Inventor Mobility Network) ............. 143</w:t>
      </w:r>
    </w:p>
    <w:p>
      <w:pPr>
        <w:spacing w:line="360" w:lineRule="auto" w:after="80"/>
        <w:ind w:left="576"/>
      </w:pPr>
      <w:r>
        <w:t>• 4.8. Patent Sağkalım Analizi (Cox Proportional Hazards) ...................................... 147</w:t>
      </w:r>
    </w:p>
    <w:p>
      <w:pPr>
        <w:spacing w:line="360" w:lineRule="auto" w:after="80"/>
        <w:ind w:left="576"/>
      </w:pPr>
      <w:r>
        <w:t>• 4.9. Sağlamlık (Robustness) Sınamaları ........................................................... 150</w:t>
      </w:r>
    </w:p>
    <w:p>
      <w:pPr>
        <w:spacing w:line="360" w:lineRule="auto" w:after="80"/>
        <w:ind w:left="576"/>
      </w:pPr>
      <w:r>
        <w:t xml:space="preserve">• </w:t>
      </w:r>
      <w:r>
        <w:rPr>
          <w:b/>
        </w:rPr>
        <w:t>BÖLÜM 5: SONUÇ VE ÇİFT KULLANIMLI SANAYİ POLİTİKASI ÖNERİLERİ</w:t>
      </w:r>
      <w:r>
        <w:t xml:space="preserve"> ............. 155</w:t>
      </w:r>
    </w:p>
    <w:p>
      <w:pPr>
        <w:spacing w:line="360" w:lineRule="auto" w:after="80"/>
        <w:ind w:left="576"/>
      </w:pPr>
      <w:r>
        <w:t>• 5.1. Temel Ekonometrik Bulguların Değerlendirilmesi ve Hipotez Karnesi ................ 155</w:t>
      </w:r>
    </w:p>
    <w:p>
      <w:pPr>
        <w:spacing w:line="360" w:lineRule="auto" w:after="80"/>
        <w:ind w:left="576"/>
      </w:pPr>
      <w:r>
        <w:t>• 5.2. Kuramsal Tartışma: Moretti, Benoit ve Deger-Sen Paradigmasının Sentezi .......... 159</w:t>
      </w:r>
    </w:p>
    <w:p>
      <w:pPr>
        <w:spacing w:line="360" w:lineRule="auto" w:after="80"/>
        <w:ind w:left="576"/>
      </w:pPr>
      <w:r>
        <w:t>• 5.3. Türkiye Sanayi ve Savunma Politikası İçin Stratejik Reform Önerileri ................ 162</w:t>
      </w:r>
    </w:p>
    <w:p>
      <w:pPr>
        <w:spacing w:line="360" w:lineRule="auto" w:after="80"/>
        <w:ind w:left="576"/>
      </w:pPr>
      <w:r>
        <w:t>• 5.4. Araştırmanın Kısıtları ve Gelecek Çalışmalar İçin Yönelimler .......................... 166</w:t>
      </w:r>
    </w:p>
    <w:p>
      <w:pPr>
        <w:spacing w:line="360" w:lineRule="auto" w:after="80"/>
        <w:ind w:left="576"/>
      </w:pPr>
      <w:r>
        <w:t xml:space="preserve">• </w:t>
      </w:r>
      <w:r>
        <w:rPr>
          <w:b/>
        </w:rPr>
        <w:t>KAYNAKÇA</w:t>
      </w:r>
      <w:r>
        <w:t xml:space="preserve"> ................................................................................................ 168</w:t>
      </w:r>
    </w:p>
    <w:p>
      <w:pPr>
        <w:spacing w:line="360" w:lineRule="auto" w:after="80"/>
        <w:ind w:left="576"/>
      </w:pPr>
      <w:r>
        <w:t xml:space="preserve">• </w:t>
      </w:r>
      <w:r>
        <w:rPr>
          <w:b/>
        </w:rPr>
        <w:t>EKLER</w:t>
      </w:r>
      <w:r>
        <w:t xml:space="preserve"> ....................................................................................................... 176</w:t>
      </w:r>
    </w:p>
    <w:p>
      <w:pPr>
        <w:spacing w:after="240"/>
      </w:pPr>
    </w:p>
    <w:p>
      <w:pPr>
        <w:spacing w:before="280" w:after="120"/>
        <w:jc w:val="left"/>
      </w:pPr>
      <w:r>
        <w:rPr>
          <w:b/>
          <w:sz w:val="26"/>
        </w:rPr>
        <w:t>KISALTMALAR DİZİNİ</w:t>
      </w:r>
    </w:p>
    <w:p>
      <w:pPr>
        <w:spacing w:line="360" w:lineRule="auto" w:after="80"/>
        <w:ind w:left="576"/>
      </w:pPr>
      <w:r>
        <w:t xml:space="preserve">• </w:t>
      </w:r>
      <w:r>
        <w:rPr>
          <w:b/>
        </w:rPr>
        <w:t>AHBV:</w:t>
      </w:r>
      <w:r>
        <w:t xml:space="preserve"> Ankara Hacı Bayram Veli Üniversitesi</w:t>
      </w:r>
    </w:p>
    <w:p>
      <w:pPr>
        <w:spacing w:line="360" w:lineRule="auto" w:after="80"/>
        <w:ind w:left="576"/>
      </w:pPr>
      <w:r>
        <w:t xml:space="preserve">• </w:t>
      </w:r>
      <w:r>
        <w:rPr>
          <w:b/>
        </w:rPr>
        <w:t>ASELSAN:</w:t>
      </w:r>
      <w:r>
        <w:t xml:space="preserve"> Askeri Elektronik Sanayi A.Ş.</w:t>
      </w:r>
    </w:p>
    <w:p>
      <w:pPr>
        <w:spacing w:line="360" w:lineRule="auto" w:after="80"/>
        <w:ind w:left="576"/>
      </w:pPr>
      <w:r>
        <w:t xml:space="preserve">• </w:t>
      </w:r>
      <w:r>
        <w:rPr>
          <w:b/>
        </w:rPr>
        <w:t>BIST:</w:t>
      </w:r>
      <w:r>
        <w:t xml:space="preserve"> Borsa İstanbul</w:t>
      </w:r>
    </w:p>
    <w:p>
      <w:pPr>
        <w:spacing w:line="360" w:lineRule="auto" w:after="80"/>
        <w:ind w:left="576"/>
      </w:pPr>
      <w:r>
        <w:t xml:space="preserve">• </w:t>
      </w:r>
      <w:r>
        <w:rPr>
          <w:b/>
        </w:rPr>
        <w:t>CAATSA:</w:t>
      </w:r>
      <w:r>
        <w:t xml:space="preserve"> Countering America's Adversaries Through Sanctions Act</w:t>
      </w:r>
    </w:p>
    <w:p>
      <w:pPr>
        <w:spacing w:line="360" w:lineRule="auto" w:after="80"/>
        <w:ind w:left="576"/>
      </w:pPr>
      <w:r>
        <w:t xml:space="preserve">• </w:t>
      </w:r>
      <w:r>
        <w:rPr>
          <w:b/>
        </w:rPr>
        <w:t>CPC:</w:t>
      </w:r>
      <w:r>
        <w:t xml:space="preserve"> Cooperative Patent Classification (Ortak Patent Sınıflandırması)</w:t>
      </w:r>
    </w:p>
    <w:p>
      <w:pPr>
        <w:spacing w:line="360" w:lineRule="auto" w:after="80"/>
        <w:ind w:left="576"/>
      </w:pPr>
      <w:r>
        <w:t xml:space="preserve">• </w:t>
      </w:r>
      <w:r>
        <w:rPr>
          <w:b/>
        </w:rPr>
        <w:t>DiD:</w:t>
      </w:r>
      <w:r>
        <w:t xml:space="preserve"> Difference-in-Differences (Farkların Farkı Yöntemi)</w:t>
      </w:r>
    </w:p>
    <w:p>
      <w:pPr>
        <w:spacing w:line="360" w:lineRule="auto" w:after="80"/>
        <w:ind w:left="576"/>
      </w:pPr>
      <w:r>
        <w:t xml:space="preserve">• </w:t>
      </w:r>
      <w:r>
        <w:rPr>
          <w:b/>
        </w:rPr>
        <w:t>DOCDB:</w:t>
      </w:r>
      <w:r>
        <w:t xml:space="preserve"> European Patent Office Worldwide Patent Database</w:t>
      </w:r>
    </w:p>
    <w:p>
      <w:pPr>
        <w:spacing w:line="360" w:lineRule="auto" w:after="80"/>
        <w:ind w:left="576"/>
      </w:pPr>
      <w:r>
        <w:t xml:space="preserve">• </w:t>
      </w:r>
      <w:r>
        <w:rPr>
          <w:b/>
        </w:rPr>
        <w:t>EPO:</w:t>
      </w:r>
      <w:r>
        <w:t xml:space="preserve"> European Patent Office (Avrupa Patent Ofisi)</w:t>
      </w:r>
    </w:p>
    <w:p>
      <w:pPr>
        <w:spacing w:line="360" w:lineRule="auto" w:after="80"/>
        <w:ind w:left="576"/>
      </w:pPr>
      <w:r>
        <w:t xml:space="preserve">• </w:t>
      </w:r>
      <w:r>
        <w:rPr>
          <w:b/>
        </w:rPr>
        <w:t>GSYİH:</w:t>
      </w:r>
      <w:r>
        <w:t xml:space="preserve"> Gayri Safi Yurtiçi Hasıla</w:t>
      </w:r>
    </w:p>
    <w:p>
      <w:pPr>
        <w:spacing w:line="360" w:lineRule="auto" w:after="80"/>
        <w:ind w:left="576"/>
      </w:pPr>
      <w:r>
        <w:t xml:space="preserve">• </w:t>
      </w:r>
      <w:r>
        <w:rPr>
          <w:b/>
        </w:rPr>
        <w:t>IPC:</w:t>
      </w:r>
      <w:r>
        <w:t xml:space="preserve"> International Patent Classification (Uluslararası Patent Sınıflandırması)</w:t>
      </w:r>
    </w:p>
    <w:p>
      <w:pPr>
        <w:spacing w:line="360" w:lineRule="auto" w:after="80"/>
        <w:ind w:left="576"/>
      </w:pPr>
      <w:r>
        <w:t xml:space="preserve">• </w:t>
      </w:r>
      <w:r>
        <w:rPr>
          <w:b/>
        </w:rPr>
        <w:t>KAP:</w:t>
      </w:r>
      <w:r>
        <w:t xml:space="preserve"> Kamuyu Aydınlatma Platformu</w:t>
      </w:r>
    </w:p>
    <w:p>
      <w:pPr>
        <w:spacing w:line="360" w:lineRule="auto" w:after="80"/>
        <w:ind w:left="576"/>
      </w:pPr>
      <w:r>
        <w:t xml:space="preserve">• </w:t>
      </w:r>
      <w:r>
        <w:rPr>
          <w:b/>
        </w:rPr>
        <w:t>KPF:</w:t>
      </w:r>
      <w:r>
        <w:t xml:space="preserve"> Knowledge Production Function (Bilgi Üretim Fonksiyonu)</w:t>
      </w:r>
    </w:p>
    <w:p>
      <w:pPr>
        <w:spacing w:line="360" w:lineRule="auto" w:after="80"/>
        <w:ind w:left="576"/>
      </w:pPr>
      <w:r>
        <w:t xml:space="preserve">• </w:t>
      </w:r>
      <w:r>
        <w:rPr>
          <w:b/>
        </w:rPr>
        <w:t>OLS:</w:t>
      </w:r>
      <w:r>
        <w:t xml:space="preserve"> Ordinary Least Squares (En Küçük Kareler Yöntemi)</w:t>
      </w:r>
    </w:p>
    <w:p>
      <w:pPr>
        <w:spacing w:line="360" w:lineRule="auto" w:after="80"/>
        <w:ind w:left="576"/>
      </w:pPr>
      <w:r>
        <w:t xml:space="preserve">• </w:t>
      </w:r>
      <w:r>
        <w:rPr>
          <w:b/>
        </w:rPr>
        <w:t>PPML:</w:t>
      </w:r>
      <w:r>
        <w:t xml:space="preserve"> Poisson Pseudo-Maximum Likelihood (Poisson Sahte En Çok Olabilirlik)</w:t>
      </w:r>
    </w:p>
    <w:p>
      <w:pPr>
        <w:spacing w:line="360" w:lineRule="auto" w:after="80"/>
        <w:ind w:left="576"/>
      </w:pPr>
      <w:r>
        <w:t xml:space="preserve">• </w:t>
      </w:r>
      <w:r>
        <w:rPr>
          <w:b/>
        </w:rPr>
        <w:t>ROKETSAN:</w:t>
      </w:r>
      <w:r>
        <w:t xml:space="preserve"> Roket Sanayii ve Ticaret A.Ş.</w:t>
      </w:r>
    </w:p>
    <w:p>
      <w:pPr>
        <w:spacing w:line="360" w:lineRule="auto" w:after="80"/>
        <w:ind w:left="576"/>
      </w:pPr>
      <w:r>
        <w:t xml:space="preserve">• </w:t>
      </w:r>
      <w:r>
        <w:rPr>
          <w:b/>
        </w:rPr>
        <w:t>SASAD:</w:t>
      </w:r>
      <w:r>
        <w:t xml:space="preserve"> Savunma ve Havacılık Sanayii İmalatçılar Derneği</w:t>
      </w:r>
    </w:p>
    <w:p>
      <w:pPr>
        <w:spacing w:line="360" w:lineRule="auto" w:after="80"/>
        <w:ind w:left="576"/>
      </w:pPr>
      <w:r>
        <w:t xml:space="preserve">• </w:t>
      </w:r>
      <w:r>
        <w:rPr>
          <w:b/>
        </w:rPr>
        <w:t>SDM:</w:t>
      </w:r>
      <w:r>
        <w:t xml:space="preserve"> Spatial Durbin Model (Mekânsal Durbin Modeli)</w:t>
      </w:r>
    </w:p>
    <w:p>
      <w:pPr>
        <w:spacing w:line="360" w:lineRule="auto" w:after="80"/>
        <w:ind w:left="576"/>
      </w:pPr>
      <w:r>
        <w:t xml:space="preserve">• </w:t>
      </w:r>
      <w:r>
        <w:rPr>
          <w:b/>
        </w:rPr>
        <w:t>SSB:</w:t>
      </w:r>
      <w:r>
        <w:t xml:space="preserve"> Savunma Sanayii Başkanlığı</w:t>
      </w:r>
    </w:p>
    <w:p>
      <w:pPr>
        <w:spacing w:line="360" w:lineRule="auto" w:after="80"/>
        <w:ind w:left="576"/>
      </w:pPr>
      <w:r>
        <w:t xml:space="preserve">• </w:t>
      </w:r>
      <w:r>
        <w:rPr>
          <w:b/>
        </w:rPr>
        <w:t>SSİK:</w:t>
      </w:r>
      <w:r>
        <w:t xml:space="preserve"> Savunma Sanayii İcra Komitesi</w:t>
      </w:r>
    </w:p>
    <w:p>
      <w:pPr>
        <w:spacing w:line="360" w:lineRule="auto" w:after="80"/>
        <w:ind w:left="576"/>
      </w:pPr>
      <w:r>
        <w:t xml:space="preserve">• </w:t>
      </w:r>
      <w:r>
        <w:rPr>
          <w:b/>
        </w:rPr>
        <w:t>TCMB:</w:t>
      </w:r>
      <w:r>
        <w:t xml:space="preserve"> Türkiye Cumhuriyet Merkez Bankası</w:t>
      </w:r>
    </w:p>
    <w:p>
      <w:pPr>
        <w:spacing w:line="360" w:lineRule="auto" w:after="80"/>
        <w:ind w:left="576"/>
      </w:pPr>
      <w:r>
        <w:t xml:space="preserve">• </w:t>
      </w:r>
      <w:r>
        <w:rPr>
          <w:b/>
        </w:rPr>
        <w:t>TFP:</w:t>
      </w:r>
      <w:r>
        <w:t xml:space="preserve"> Total Factor Productivity (Toplam Faktör Verimliliği)</w:t>
      </w:r>
    </w:p>
    <w:p>
      <w:pPr>
        <w:spacing w:line="360" w:lineRule="auto" w:after="80"/>
        <w:ind w:left="576"/>
      </w:pPr>
      <w:r>
        <w:t xml:space="preserve">• </w:t>
      </w:r>
      <w:r>
        <w:rPr>
          <w:b/>
        </w:rPr>
        <w:t>TSKGV:</w:t>
      </w:r>
      <w:r>
        <w:t xml:space="preserve"> Türk Silahlı Kuvvetlerini Güçlendirme Vakfı</w:t>
      </w:r>
    </w:p>
    <w:p>
      <w:pPr>
        <w:spacing w:line="360" w:lineRule="auto" w:after="80"/>
        <w:ind w:left="576"/>
      </w:pPr>
      <w:r>
        <w:t xml:space="preserve">• </w:t>
      </w:r>
      <w:r>
        <w:rPr>
          <w:b/>
        </w:rPr>
        <w:t>TUSAŞ:</w:t>
      </w:r>
      <w:r>
        <w:t xml:space="preserve"> Türk Havacılık ve Uzay Sanayii A.Ş.</w:t>
      </w:r>
    </w:p>
    <w:p>
      <w:pPr>
        <w:spacing w:line="360" w:lineRule="auto" w:after="80"/>
        <w:ind w:left="576"/>
      </w:pPr>
      <w:r>
        <w:t xml:space="preserve">• </w:t>
      </w:r>
      <w:r>
        <w:rPr>
          <w:b/>
        </w:rPr>
        <w:t>TÜBİTAK:</w:t>
      </w:r>
      <w:r>
        <w:t xml:space="preserve"> Türkiye Bilimsel ve Teknolojik Araştırma Kurumu</w:t>
      </w:r>
    </w:p>
    <w:p>
      <w:pPr>
        <w:spacing w:line="360" w:lineRule="auto" w:after="80"/>
        <w:ind w:left="576"/>
      </w:pPr>
      <w:r>
        <w:t xml:space="preserve">• </w:t>
      </w:r>
      <w:r>
        <w:rPr>
          <w:b/>
        </w:rPr>
        <w:t>TÜİK:</w:t>
      </w:r>
      <w:r>
        <w:t xml:space="preserve"> Türkiye İstatistik Kurumu</w:t>
      </w:r>
    </w:p>
    <w:p>
      <w:pPr>
        <w:spacing w:line="360" w:lineRule="auto" w:after="80"/>
        <w:ind w:left="576"/>
      </w:pPr>
      <w:r>
        <w:t xml:space="preserve">• </w:t>
      </w:r>
      <w:r>
        <w:rPr>
          <w:b/>
        </w:rPr>
        <w:t>TÜRKPATENT:</w:t>
      </w:r>
      <w:r>
        <w:t xml:space="preserve"> Türk Patent ve Marka Kurumu</w:t>
      </w:r>
    </w:p>
    <w:p>
      <w:pPr>
        <w:spacing w:line="360" w:lineRule="auto" w:after="80"/>
        <w:ind w:left="576"/>
      </w:pPr>
      <w:r>
        <w:t xml:space="preserve">• </w:t>
      </w:r>
      <w:r>
        <w:rPr>
          <w:b/>
        </w:rPr>
        <w:t>TWFE:</w:t>
      </w:r>
      <w:r>
        <w:t xml:space="preserve"> Two-Way Fixed Effects (Çift Yönlü Sabit Etkiler)</w:t>
      </w:r>
    </w:p>
    <w:p>
      <w:pPr>
        <w:spacing w:line="360" w:lineRule="auto" w:after="80"/>
        <w:ind w:left="576"/>
      </w:pPr>
      <w:r>
        <w:t xml:space="preserve">• </w:t>
      </w:r>
      <w:r>
        <w:rPr>
          <w:b/>
        </w:rPr>
        <w:t>WIPO:</w:t>
      </w:r>
      <w:r>
        <w:t xml:space="preserve"> World Intellectual Property Organization (Dünya Fikrî Mülkiyet Örgütü)</w:t>
      </w:r>
    </w:p>
    <w:p>
      <w:pPr>
        <w:spacing w:after="240"/>
      </w:pPr>
    </w:p>
    <w:p>
      <w:pPr>
        <w:spacing w:before="280" w:after="120"/>
        <w:jc w:val="left"/>
      </w:pPr>
      <w:r>
        <w:rPr>
          <w:b/>
          <w:sz w:val="26"/>
        </w:rPr>
        <w:t>TABLOLAR DİZİNİ</w:t>
      </w:r>
    </w:p>
    <w:p>
      <w:pPr>
        <w:spacing w:line="360" w:lineRule="auto" w:after="80"/>
        <w:ind w:left="576"/>
      </w:pPr>
      <w:r>
        <w:t xml:space="preserve">• </w:t>
      </w:r>
      <w:r>
        <w:rPr>
          <w:b/>
        </w:rPr>
        <w:t>Tablo 4.1:</w:t>
      </w:r>
      <w:r>
        <w:t xml:space="preserve"> TÜRKPATENT Evreninin Dönemsel ve Sektörel Dağılımı (2010–2024)</w:t>
      </w:r>
    </w:p>
    <w:p>
      <w:pPr>
        <w:spacing w:line="360" w:lineRule="auto" w:after="80"/>
        <w:ind w:left="576"/>
      </w:pPr>
      <w:r>
        <w:t xml:space="preserve">• </w:t>
      </w:r>
      <w:r>
        <w:rPr>
          <w:b/>
        </w:rPr>
        <w:t>Tablo 4.2:</w:t>
      </w:r>
      <w:r>
        <w:t xml:space="preserve"> Savunma Sanayii Bilgi Üretim Esnekliği Tahmin Sonuçları (Griliches KPF)</w:t>
      </w:r>
    </w:p>
    <w:p>
      <w:pPr>
        <w:spacing w:line="360" w:lineRule="auto" w:after="80"/>
        <w:ind w:left="576"/>
      </w:pPr>
      <w:r>
        <w:t xml:space="preserve">• </w:t>
      </w:r>
      <w:r>
        <w:rPr>
          <w:b/>
        </w:rPr>
        <w:t>Tablo 4.3:</w:t>
      </w:r>
      <w:r>
        <w:t xml:space="preserve"> Çift Sabit Etkili Panel Regresyon ve Jaffe Eşik Analizi Sonuçları (TWFE PPML)</w:t>
      </w:r>
    </w:p>
    <w:p>
      <w:pPr>
        <w:spacing w:line="360" w:lineRule="auto" w:after="80"/>
        <w:ind w:left="576"/>
      </w:pPr>
      <w:r>
        <w:t xml:space="preserve">• </w:t>
      </w:r>
      <w:r>
        <w:rPr>
          <w:b/>
        </w:rPr>
        <w:t>Tablo 4.4:</w:t>
      </w:r>
      <w:r>
        <w:t xml:space="preserve"> Cragg İki Aşamalı Hurdle Modeli Tahmin Sonuçları (Extensive vs. Intensive Margin)</w:t>
      </w:r>
    </w:p>
    <w:p>
      <w:pPr>
        <w:spacing w:line="360" w:lineRule="auto" w:after="80"/>
        <w:ind w:left="576"/>
      </w:pPr>
      <w:r>
        <w:t xml:space="preserve">• </w:t>
      </w:r>
      <w:r>
        <w:rPr>
          <w:b/>
        </w:rPr>
        <w:t>Tablo 4.5:</w:t>
      </w:r>
      <w:r>
        <w:t xml:space="preserve"> Spatial Durbin Modeli Mesafe Bozunumu Parametreleri (Ankara Çekirdeği)</w:t>
      </w:r>
    </w:p>
    <w:p>
      <w:pPr>
        <w:spacing w:line="360" w:lineRule="auto" w:after="80"/>
        <w:ind w:left="576"/>
      </w:pPr>
      <w:r>
        <w:t xml:space="preserve">• </w:t>
      </w:r>
      <w:r>
        <w:rPr>
          <w:b/>
        </w:rPr>
        <w:t>Tablo 4.6:</w:t>
      </w:r>
      <w:r>
        <w:t xml:space="preserve"> 2020 WESCAM/CAATSA Ambargoları Farkların Farkı (DiD) Regresyon Çıktıları</w:t>
      </w:r>
    </w:p>
    <w:p>
      <w:pPr>
        <w:spacing w:line="360" w:lineRule="auto" w:after="80"/>
        <w:ind w:left="576"/>
      </w:pPr>
      <w:r>
        <w:t xml:space="preserve">• </w:t>
      </w:r>
      <w:r>
        <w:rPr>
          <w:b/>
        </w:rPr>
        <w:t>Tablo 4.7:</w:t>
      </w:r>
      <w:r>
        <w:t xml:space="preserve"> Buluşçu Hareketliliği ve Kariyer Geçişleri Panel Regresyon Sonuçları</w:t>
      </w:r>
    </w:p>
    <w:p>
      <w:pPr>
        <w:spacing w:line="360" w:lineRule="auto" w:after="80"/>
        <w:ind w:left="576"/>
      </w:pPr>
      <w:r>
        <w:t xml:space="preserve">• </w:t>
      </w:r>
      <w:r>
        <w:rPr>
          <w:b/>
        </w:rPr>
        <w:t>Tablo 4.8:</w:t>
      </w:r>
      <w:r>
        <w:t xml:space="preserve"> Patent Sağkalım ve Yenileme Riski Cox Orantılı Tehlikeler Modeli Çıktıları</w:t>
      </w:r>
    </w:p>
    <w:p>
      <w:pPr>
        <w:spacing w:line="360" w:lineRule="auto" w:after="80"/>
        <w:ind w:left="576"/>
      </w:pPr>
      <w:r>
        <w:t xml:space="preserve">• </w:t>
      </w:r>
      <w:r>
        <w:rPr>
          <w:b/>
        </w:rPr>
        <w:t>Tablo 4.9:</w:t>
      </w:r>
      <w:r>
        <w:t xml:space="preserve"> Dinamik Dağıtılmış Gecikme Modelleri ($t-1 \dots t-5$) Karşılaştırması</w:t>
      </w:r>
    </w:p>
    <w:p>
      <w:pPr>
        <w:spacing w:line="360" w:lineRule="auto" w:after="80"/>
        <w:ind w:left="576"/>
      </w:pPr>
      <w:r>
        <w:t xml:space="preserve">• </w:t>
      </w:r>
      <w:r>
        <w:rPr>
          <w:b/>
        </w:rPr>
        <w:t>Tablo 4.10:</w:t>
      </w:r>
      <w:r>
        <w:t xml:space="preserve"> Sektörel Alt Küme Regresyonları (Bilişim vs Otomotiv vs Beyaz Eşya)</w:t>
      </w:r>
    </w:p>
    <w:p>
      <w:pPr>
        <w:spacing w:after="240"/>
      </w:pPr>
    </w:p>
    <w:p>
      <w:pPr>
        <w:spacing w:before="280" w:after="120"/>
        <w:jc w:val="left"/>
      </w:pPr>
      <w:r>
        <w:rPr>
          <w:b/>
          <w:sz w:val="26"/>
        </w:rPr>
        <w:t>ŞEKİLLER DİZİNİ</w:t>
      </w:r>
    </w:p>
    <w:p>
      <w:pPr>
        <w:spacing w:line="360" w:lineRule="auto" w:after="80"/>
        <w:ind w:left="576"/>
      </w:pPr>
      <w:r>
        <w:t xml:space="preserve">• </w:t>
      </w:r>
      <w:r>
        <w:rPr>
          <w:b/>
        </w:rPr>
        <w:t>Şekil 1.1:</w:t>
      </w:r>
      <w:r>
        <w:t xml:space="preserve"> Türkiye Savunma Sanayii Ar-Ge Harcamaları ve İstihdam Trendi (2010–2024)</w:t>
      </w:r>
    </w:p>
    <w:p>
      <w:pPr>
        <w:spacing w:line="360" w:lineRule="auto" w:after="80"/>
        <w:ind w:left="576"/>
      </w:pPr>
      <w:r>
        <w:t xml:space="preserve">• </w:t>
      </w:r>
      <w:r>
        <w:rPr>
          <w:b/>
        </w:rPr>
        <w:t>Şekil 2.1:</w:t>
      </w:r>
      <w:r>
        <w:t xml:space="preserve"> Savunma Yayılması Kanıt Piramidi (5-Pillar Evidence Architecture)</w:t>
      </w:r>
    </w:p>
    <w:p>
      <w:pPr>
        <w:spacing w:line="360" w:lineRule="auto" w:after="80"/>
        <w:ind w:left="576"/>
      </w:pPr>
      <w:r>
        <w:t xml:space="preserve">• </w:t>
      </w:r>
      <w:r>
        <w:rPr>
          <w:b/>
        </w:rPr>
        <w:t>Şekil 3.1:</w:t>
      </w:r>
      <w:r>
        <w:t xml:space="preserve"> Ankara Merkezli Sanayi Aksı Ters Mesafe Bozunumu Haritası ($W$ Matrisi)</w:t>
      </w:r>
    </w:p>
    <w:p>
      <w:pPr>
        <w:spacing w:line="360" w:lineRule="auto" w:after="80"/>
        <w:ind w:left="576"/>
      </w:pPr>
      <w:r>
        <w:t xml:space="preserve">• </w:t>
      </w:r>
      <w:r>
        <w:rPr>
          <w:b/>
        </w:rPr>
        <w:t>Şekil 4.1:</w:t>
      </w:r>
      <w:r>
        <w:t xml:space="preserve"> Jaffe Teknolojik Yakınlığı Marjinal Etki ve Başabaş Eşik Eğrisi (tau</w:t>
      </w:r>
      <w:r>
        <w:rPr>
          <w:i/>
        </w:rPr>
        <w:t xml:space="preserve"> = 0.2925)</w:t>
      </w:r>
    </w:p>
    <w:p>
      <w:pPr>
        <w:spacing w:line="360" w:lineRule="auto" w:after="80"/>
        <w:ind w:left="576"/>
      </w:pPr>
      <w:r>
        <w:t xml:space="preserve">• </w:t>
      </w:r>
      <w:r>
        <w:rPr>
          <w:b/>
        </w:rPr>
        <w:t>Şekil 4.2:</w:t>
      </w:r>
      <w:r>
        <w:t xml:space="preserve"> 2020 Ambargo Şoku Öncesi ve Sonrası Paralel Trend Dinamikleri (DiD Event Study)</w:t>
      </w:r>
    </w:p>
    <w:p>
      <w:pPr>
        <w:spacing w:line="360" w:lineRule="auto" w:after="80"/>
        <w:ind w:left="576"/>
      </w:pPr>
      <w:r>
        <w:t xml:space="preserve">• </w:t>
      </w:r>
      <w:r>
        <w:rPr>
          <w:b/>
        </w:rPr>
        <w:t>Şekil 4.3:</w:t>
      </w:r>
      <w:r>
        <w:t xml:space="preserve"> Dağıtılmış Gecikme Katsayılarının Gaussian Absorpsiyon Dağılımı</w:t>
      </w:r>
    </w:p>
    <w:p>
      <w:pPr>
        <w:spacing w:after="240"/>
      </w:pPr>
    </w:p>
    <w:p>
      <w:pPr>
        <w:spacing w:before="360" w:after="240"/>
        <w:jc w:val="center"/>
      </w:pPr>
      <w:r>
        <w:rPr>
          <w:b/>
          <w:sz w:val="28"/>
        </w:rPr>
        <w:t>BÖLÜM 1: GİRİŞ</w:t>
      </w:r>
    </w:p>
    <w:p>
      <w:pPr>
        <w:spacing w:before="280" w:after="120"/>
        <w:jc w:val="left"/>
      </w:pPr>
      <w:r>
        <w:rPr>
          <w:b/>
          <w:sz w:val="26"/>
        </w:rPr>
        <w:t>1.1. Araştırmanın Arka Planı ve Problemi</w:t>
      </w:r>
    </w:p>
    <w:p>
      <w:pPr>
        <w:spacing w:line="360" w:lineRule="auto" w:after="120"/>
        <w:ind w:firstLine="576"/>
      </w:pPr>
      <w:r>
        <w:t xml:space="preserve">Modern iktisat kuramında sürdürülebilir ekonomik büyümenin yegâne motoru, sermaye ve emeğin salt fiziksel birikimi değil; Paul Romer (1990), Robert Lucas (1988) ve Philippe Aghion ile Peter Howitt (1992) tarafından içsel büyüme modellerinde matematiksel olarak ortaya konduğu üzere, beşeri sermaye tarafından üretilen </w:t>
      </w:r>
      <w:r>
        <w:rPr>
          <w:b/>
        </w:rPr>
        <w:t>teknolojik yenilikler ve bilgi stoğudur</w:t>
      </w:r>
      <w:r>
        <w:t>. Bilgi, fiziksel sermayeden köklü biçimde farklı olarak tüketimde rekabet dışı (</w:t>
      </w:r>
      <w:r>
        <w:rPr>
          <w:i/>
        </w:rPr>
        <w:t>non-rivalrous</w:t>
      </w:r>
      <w:r>
        <w:t>) ve kısmen dışlanamaz (</w:t>
      </w:r>
      <w:r>
        <w:rPr>
          <w:i/>
        </w:rPr>
        <w:t>partially excludable</w:t>
      </w:r>
      <w:r>
        <w:t xml:space="preserve">) bir kamusal mal niteliği taşır. Bir Ar-Ge laboratuvarında geliştirilen yeni bir algoritma, kimyasal formül veya mühendislik tasarımı; bir kez üretildikten sonra marjinal maliyeti sıfıra yakın bir şekilde sonsuz sayıda üretim sürecinde eşanlı olarak kullanılabilir. Bu iktisadi karakteristik, yenilikçi bir firma veya sektör tarafından üretilen tescilli teknolojilerin, serbest piyasa mekanizması tarafından tam olarak fiyatlandırılamadan diğer sektörlere sızmasına, yani </w:t>
      </w:r>
      <w:r>
        <w:rPr>
          <w:b/>
        </w:rPr>
        <w:t>bilgi yayılmasına (</w:t>
      </w:r>
      <w:r>
        <w:rPr>
          <w:b/>
          <w:i/>
        </w:rPr>
        <w:t>knowledge spillover</w:t>
      </w:r>
      <w:r>
        <w:rPr>
          <w:b/>
        </w:rPr>
        <w:t>)</w:t>
      </w:r>
      <w:r>
        <w:t xml:space="preserve"> yol açar (Griliches, 1979, 1992).</w:t>
      </w:r>
    </w:p>
    <w:p>
      <w:pPr>
        <w:spacing w:line="360" w:lineRule="auto" w:after="120"/>
        <w:ind w:firstLine="576"/>
      </w:pPr>
      <w:r>
        <w:t xml:space="preserve">Bilgi yayılmasının en yoğun, en stratejik ve finansal olarak en yüksek sermaye yoğunluğuna sahip olduğu alanların başında ise </w:t>
      </w:r>
      <w:r>
        <w:rPr>
          <w:b/>
        </w:rPr>
        <w:t>kamu savunma sanayii Ar-Ge harcamaları</w:t>
      </w:r>
      <w:r>
        <w:t xml:space="preserve"> gelmektedir. Tarihsel olarak radar sistemleri, internet altyapısı (ARPANET), jet türbin motorları, nükleer enerji santralleri, küresel konumlama sistemleri (GPS), silikon mikroişlemciler, sentetik malzemeler ve günümüz yapay zekâ algoritmaları gibi çağdaş modern sivil ekonominin omurgasını oluşturan teknolojilerin tamamı, savunma ve ulusal güvenlik bütçelerinden finanse edilen ileri Ar-Ge programlarının sivil ekonomiye difüze olmasıyla ticarileşmiştir (Mowery, 2010).</w:t>
      </w:r>
    </w:p>
    <w:p>
      <w:pPr>
        <w:spacing w:line="360" w:lineRule="auto" w:after="120"/>
        <w:ind w:firstLine="576"/>
      </w:pPr>
      <w:r>
        <w:t>Ancak iktisat yazınında askeri harcamaların ve savunma Ar-Ge'sinin sivil sanayiye ve genel iktisadi büyümeye etkisi üzerinde yarım asırdır süregelen kuramsal ve ampirik bir kutuplaşma mevcuttur:</w:t>
      </w:r>
    </w:p>
    <w:p>
      <w:pPr>
        <w:spacing w:line="360" w:lineRule="auto" w:after="80"/>
        <w:ind w:left="576"/>
      </w:pPr>
      <w:r>
        <w:t xml:space="preserve">• </w:t>
      </w:r>
      <w:r>
        <w:rPr>
          <w:b/>
        </w:rPr>
        <w:t>Benoit Modernleşme Paradigması (Benoit, 1973):</w:t>
      </w:r>
      <w:r>
        <w:t xml:space="preserve"> Emile Benoit, gelişmekte olan ülkelerde savunma harcamalarının altyapı inşası, beşeri sermaye eğitimi, disiplinli işgücü ve modern teknoloji transferi yaratarak büyümeyi kamçıladığını (</w:t>
      </w:r>
      <w:r>
        <w:rPr>
          <w:b/>
        </w:rPr>
        <w:t>crowding-in</w:t>
      </w:r>
      <w:r>
        <w:t>) ileri sürmüştür.</w:t>
      </w:r>
    </w:p>
    <w:p>
      <w:pPr>
        <w:spacing w:line="360" w:lineRule="auto" w:after="80"/>
        <w:ind w:left="576"/>
      </w:pPr>
      <w:r>
        <w:t xml:space="preserve">• </w:t>
      </w:r>
      <w:r>
        <w:rPr>
          <w:b/>
        </w:rPr>
        <w:t>Deger-Sen Yapısal Dışlama Paradigması (Deger &amp; Sen, 1983):</w:t>
      </w:r>
      <w:r>
        <w:t xml:space="preserve"> Buna karşılık Saadet Deger ve Somnath Sen (1983) ile Ron Smith (1980); askeri harcamaların kıt sivil yatırım kaynaklarını emdiğini, bütçe açıklarını ve enflasyonu körüklediğini ve en önemlisi nitelikli mühendislik işgücünü sivil piyasadan çekerek sivil üretkenliği zayıflattığını (</w:t>
      </w:r>
      <w:r>
        <w:rPr>
          <w:b/>
        </w:rPr>
        <w:t>kaynak dışlaması / crowding-out</w:t>
      </w:r>
      <w:r>
        <w:t>) savunmuştur.</w:t>
      </w:r>
    </w:p>
    <w:p>
      <w:pPr>
        <w:spacing w:line="360" w:lineRule="auto" w:after="120"/>
        <w:ind w:firstLine="576"/>
      </w:pPr>
      <w:r>
        <w:t>Benoit ile Deger-Sen arasındaki bu klasik çatışma, geleneksel ampirik çalışmalarda salt Stockholm Uluslararası Barış Araştırmaları Enstitüsü (SIPRI) askeri harcama serileri ve Gayri Safi Yurtiçi Hasıla (GSYİH) gibi kaba makroekonomik seriler üzerinden tahmin edilmeye çalışılmış; fakat makro serilerdeki çift yönlü eşanlılık (</w:t>
      </w:r>
      <w:r>
        <w:rPr>
          <w:i/>
        </w:rPr>
        <w:t>simultaneity</w:t>
      </w:r>
      <w:r>
        <w:t>) ve içsellik (</w:t>
      </w:r>
      <w:r>
        <w:rPr>
          <w:i/>
        </w:rPr>
        <w:t>endogeneity</w:t>
      </w:r>
      <w:r>
        <w:t>) nedeniyle nedensel bir sonuca varılamamıştır.</w:t>
      </w:r>
    </w:p>
    <w:p>
      <w:pPr>
        <w:spacing w:line="360" w:lineRule="auto" w:after="120"/>
        <w:ind w:firstLine="576"/>
      </w:pPr>
      <w:r>
        <w:t xml:space="preserve">Enrico Moretti, Claudia Steinwender ve John Van Reenen (2023) tarafından </w:t>
      </w:r>
      <w:r>
        <w:rPr>
          <w:i/>
        </w:rPr>
        <w:t>The Review of Economics and Statistics</w:t>
      </w:r>
      <w:r>
        <w:t xml:space="preserve"> dergisinde yayımlanan çığır açıcı çalışma, bu tartışmayı makro düzeyden mikro patent ve inovasyon kanallarına taşıyarak yeni bir dönem başlatmıştır. OECD ülkelerinde kamu savunma Ar-Ge harcamalarındaki genişlemenin, sivil firmaların patentleme kalitesini ve üretkenliğini istatistiki olarak kuvvetle tetiklediğini kanıtlayan Moretti vd. (2023), savunma sanayiinin gerçek ekonomik değerinin makro muhasebe kayıtlarında değil, </w:t>
      </w:r>
      <w:r>
        <w:rPr>
          <w:b/>
        </w:rPr>
        <w:t>mikro teknoloji difüzyonunda ve patent atıflarında</w:t>
      </w:r>
      <w:r>
        <w:t xml:space="preserve"> aranması gerektiğini ortaya koymuştur.</w:t>
      </w:r>
    </w:p>
    <w:p>
      <w:pPr>
        <w:spacing w:line="360" w:lineRule="auto" w:after="120"/>
        <w:ind w:firstLine="576"/>
      </w:pPr>
      <w:r>
        <w:t xml:space="preserve">Türkiye özelinde ise savunma sanayii, 2010–2024 döneminde olağanüstü bir yapısal dönüşüm ve sıçrama kaydetmiştir. Savunma ve Havacılık Sanayii İmalatçılar Derneği'nin (SASAD) resmî verilerine göre sektörün Ar-Ge harcamaları 2010 yılındaki 284 milyon ABD Doları seviyesinden, 2024 yılı itibarıyla </w:t>
      </w:r>
      <w:r>
        <w:rPr>
          <w:b/>
        </w:rPr>
        <w:t>3 milyar ABD Doları eşiğini</w:t>
      </w:r>
      <w:r>
        <w:t xml:space="preserve"> aşmıştır. Nitelikli Ar-Ge personeli ve mühendis istihdamı ise aynı dönemde 6.500'den </w:t>
      </w:r>
      <w:r>
        <w:rPr>
          <w:b/>
        </w:rPr>
        <w:t>49.200'ün üzerine</w:t>
      </w:r>
      <w:r>
        <w:t xml:space="preserve"> sıçramıştır.</w:t>
      </w:r>
    </w:p>
    <w:p>
      <w:pPr>
        <w:spacing w:line="360" w:lineRule="auto" w:after="120"/>
        <w:ind w:firstLine="576"/>
      </w:pPr>
      <w:r>
        <w:t>İşte araştırmamızın temel iktisadi problemi bu noktada ortaya çıkmaktadır:</w:t>
      </w:r>
    </w:p>
    <w:p>
      <w:pPr>
        <w:spacing w:line="360" w:lineRule="auto" w:after="120"/>
        <w:ind w:firstLine="576"/>
      </w:pPr>
      <w:r>
        <w:rPr>
          <w:b/>
        </w:rPr>
        <w:t>Türkiye'de son 15 yılda savunma sanayiine akıtılan milyarlarca dolarlık kamu ve özkaynak Ar-Ge yatırımı; sadece askeri platform üretimine mi yaramıştır, yoksa sivil ileri teknoloji sektörlerine (otomotiv, telekomünikasyon, yazılım, ileri malzeme) teknolojik bilgi aktararak yerli patent ekosistemini yapısal olarak dönüştürmüş müdür? Yoksa tam aksine, kıt mühendislik sermayesini kendine çekerek sivil yenilikçiliği dışlamış mıdır?</w:t>
      </w:r>
    </w:p>
    <w:p>
      <w:pPr>
        <w:spacing w:line="360" w:lineRule="auto" w:after="120"/>
        <w:ind w:firstLine="576"/>
      </w:pPr>
      <w:r>
        <w:t xml:space="preserve">Bugüne kadar Türkiye iktisat yazınında bu soruya mikro düzeyde patent kütükleri, atıf ağları ve nedensel ekonometrik modellerle cevap veren </w:t>
      </w:r>
      <w:r>
        <w:rPr>
          <w:b/>
        </w:rPr>
        <w:t>tek bir ampirik çalışma dahi yapılmamıştır.</w:t>
      </w:r>
      <w:r>
        <w:t xml:space="preserve"> Bu tez çalışması, Türk Patent ve Marka Kurumu'nun (TÜRKPATENT) 93.240 adetlik tam tescil evrenini kullanarak bu devasa boşluğu doldurmaktadır.</w:t>
      </w:r>
    </w:p>
    <w:p>
      <w:pPr>
        <w:spacing w:before="280" w:after="120"/>
        <w:jc w:val="left"/>
      </w:pPr>
      <w:r>
        <w:rPr>
          <w:b/>
          <w:sz w:val="26"/>
        </w:rPr>
        <w:t>1.2. Araştırma Soruları ve Kuramsal Hipotezler</w:t>
      </w:r>
    </w:p>
    <w:p>
      <w:pPr>
        <w:spacing w:line="360" w:lineRule="auto" w:after="120"/>
        <w:ind w:firstLine="576"/>
      </w:pPr>
      <w:r>
        <w:t>Bu araştırmanın temel amacı; Türkiye'de 2010–2024 döneminde gerçekleştirilen savunma sanayii Ar-Ge harcamalarının, sivil imalat ve teknoloji sektörlerinde faaliyet gösteren firmaların yenilikçilik kapasitesi, patent üretim hacmi ve tescil kalitesi üzerindeki etkilerini mikro-ekonometrik, mekânsal ve nedensel modellerle test etmektir.</w:t>
      </w:r>
    </w:p>
    <w:p>
      <w:pPr>
        <w:spacing w:line="360" w:lineRule="auto" w:after="120"/>
        <w:ind w:firstLine="576"/>
      </w:pPr>
      <w:r>
        <w:t>Tez kapsamında sınanan 6 temel araştırma sorusu ve karşılık gelen formal hipotezler şunlardır:</w:t>
      </w:r>
    </w:p>
    <w:p>
      <w:pPr>
        <w:spacing w:line="360" w:lineRule="auto" w:after="80"/>
        <w:ind w:left="576"/>
      </w:pPr>
      <w:r>
        <w:t xml:space="preserve">• </w:t>
      </w:r>
      <w:r>
        <w:rPr>
          <w:b/>
        </w:rPr>
        <w:t>Soru 1:</w:t>
      </w:r>
      <w:r>
        <w:t xml:space="preserve"> Savunma sektörünün Ar-Ge harcamaları, tescilli savunma patentine ne ölçüde ve kaç yıllık bir gecikmeyle dönüşmektedir?</w:t>
      </w:r>
    </w:p>
    <w:p>
      <w:pPr>
        <w:spacing w:line="360" w:lineRule="auto" w:after="80"/>
        <w:ind w:left="576"/>
      </w:pPr>
      <w:r>
        <w:t xml:space="preserve">• </w:t>
      </w:r>
      <w:r>
        <w:rPr>
          <w:b/>
        </w:rPr>
        <w:t>Hipotez 1 ($H_1$):</w:t>
      </w:r>
      <w:r>
        <w:t xml:space="preserve"> Savunma sektörü Ar-Ge harcamaları, en az 2 yıllık dinamik bir gecikmeyle tescilli patent sayısını anlamlı biçimde artırmakta ve sektörde ölçeğe göre artan bilgi getirisi ($eta &gt; 1$) bulunmaktadır.</w:t>
      </w:r>
    </w:p>
    <w:p>
      <w:pPr>
        <w:spacing w:line="360" w:lineRule="auto" w:after="80"/>
        <w:ind w:left="576"/>
      </w:pPr>
      <w:r>
        <w:t xml:space="preserve">• </w:t>
      </w:r>
      <w:r>
        <w:rPr>
          <w:b/>
        </w:rPr>
        <w:t>Soru 2:</w:t>
      </w:r>
      <w:r>
        <w:t xml:space="preserve"> Savunma Ar-Ge şokları, sivil imalat sanayiindeki firmaların patent üretimini uyararak tamamlayıcılık (</w:t>
      </w:r>
      <w:r>
        <w:rPr>
          <w:i/>
        </w:rPr>
        <w:t>crowding-in</w:t>
      </w:r>
      <w:r>
        <w:t>) mı yaratmakta, yoksa kaynak dışlaması (</w:t>
      </w:r>
      <w:r>
        <w:rPr>
          <w:i/>
        </w:rPr>
        <w:t>crowding-out</w:t>
      </w:r>
      <w:r>
        <w:t>) mı işletmektedir?</w:t>
      </w:r>
    </w:p>
    <w:p>
      <w:pPr>
        <w:spacing w:line="360" w:lineRule="auto" w:after="80"/>
        <w:ind w:left="576"/>
      </w:pPr>
      <w:r>
        <w:t xml:space="preserve">• </w:t>
      </w:r>
      <w:r>
        <w:rPr>
          <w:b/>
        </w:rPr>
        <w:t>Hipotez 2 ($H_2$):</w:t>
      </w:r>
      <w:r>
        <w:t xml:space="preserve"> Savunma sanayii Ar-Ge genişlemesi, sivil ileri teknoloji firmalarının patent üretim hacmi ve kalite endeksi üzerinde istatistiki olarak anlamlı ve pozitif bir yayılma esnekliği yaratmaktadır.</w:t>
      </w:r>
    </w:p>
    <w:p>
      <w:pPr>
        <w:spacing w:line="360" w:lineRule="auto" w:after="80"/>
        <w:ind w:left="576"/>
      </w:pPr>
      <w:r>
        <w:t xml:space="preserve">• </w:t>
      </w:r>
      <w:r>
        <w:rPr>
          <w:b/>
        </w:rPr>
        <w:t>Soru 3:</w:t>
      </w:r>
      <w:r>
        <w:t xml:space="preserve"> Savunma teknolojisi ile sivil sektörlerin IPC sınıfları arasındaki Jaffe teknolojik yakınlığı bu yayılmayı nasıl düzenlemektedir?</w:t>
      </w:r>
    </w:p>
    <w:p>
      <w:pPr>
        <w:spacing w:line="360" w:lineRule="auto" w:after="80"/>
        <w:ind w:left="576"/>
      </w:pPr>
      <w:r>
        <w:t xml:space="preserve">• </w:t>
      </w:r>
      <w:r>
        <w:rPr>
          <w:b/>
        </w:rPr>
        <w:t>Hipotez 3 ($H_3$):</w:t>
      </w:r>
      <w:r>
        <w:t xml:space="preserve"> Savunma Ar-Ge'sinin sivil sanayiye etkisi Jaffe yakınlığına bağlı doğrusal bir türevdir. Teknolojik yakınlığı analitik eşiğin ($</w:t>
        <w:tab/>
        <w:t>au^</w:t>
      </w:r>
      <w:r>
        <w:rPr>
          <w:i/>
        </w:rPr>
        <w:t xml:space="preserve"> = 0.2925$) üzerinde olan sektörlerde tamamlayıcılık, altında olan geleneksel sektörlerde dışlama görülmektedir.</w:t>
      </w:r>
    </w:p>
    <w:p>
      <w:pPr>
        <w:spacing w:line="360" w:lineRule="auto" w:after="80"/>
        <w:ind w:left="576"/>
      </w:pPr>
      <w:r>
        <w:t xml:space="preserve">• </w:t>
      </w:r>
      <w:r>
        <w:rPr>
          <w:b/>
        </w:rPr>
        <w:t>Soru 4:</w:t>
      </w:r>
      <w:r>
        <w:t xml:space="preserve"> Savunma yayılma etkisi, firmaların patentleme kararına mı (</w:t>
      </w:r>
      <w:r>
        <w:rPr>
          <w:i/>
        </w:rPr>
        <w:t>extensive margin</w:t>
      </w:r>
      <w:r>
        <w:t>) yoksa tescil hacim derinleşmesine mi (</w:t>
      </w:r>
      <w:r>
        <w:rPr>
          <w:i/>
        </w:rPr>
        <w:t>intensive margin</w:t>
      </w:r>
      <w:r>
        <w:t>) etki etmektedir?</w:t>
      </w:r>
    </w:p>
    <w:p>
      <w:pPr>
        <w:spacing w:line="360" w:lineRule="auto" w:after="80"/>
        <w:ind w:left="576"/>
      </w:pPr>
      <w:r>
        <w:t xml:space="preserve">• </w:t>
      </w:r>
      <w:r>
        <w:rPr>
          <w:b/>
        </w:rPr>
        <w:t>Hipotez 4 ($H_4$):</w:t>
      </w:r>
      <w:r>
        <w:t xml:space="preserve"> Savunma Ar-Ge yayılması geniş kapsamda (sıfır patentli firmaları pazara sokmada) anlamsız kalmakta; ancak yoğun kapsamda (hali hazırda patent üreten yenilikçi firmalarda) hacmi katlamaktadır.</w:t>
      </w:r>
    </w:p>
    <w:p>
      <w:pPr>
        <w:spacing w:line="360" w:lineRule="auto" w:after="80"/>
        <w:ind w:left="576"/>
      </w:pPr>
      <w:r>
        <w:t xml:space="preserve">• </w:t>
      </w:r>
      <w:r>
        <w:rPr>
          <w:b/>
        </w:rPr>
        <w:t>Soru 5:</w:t>
      </w:r>
      <w:r>
        <w:t xml:space="preserve"> Ankara savunma çekirdeği ile Marmara sanayi aksı arasında coğrafi bir mesafe bozunumu (</w:t>
      </w:r>
      <w:r>
        <w:rPr>
          <w:i/>
        </w:rPr>
        <w:t>spatial distance decay</w:t>
      </w:r>
      <w:r>
        <w:t>) var mıdır?</w:t>
      </w:r>
    </w:p>
    <w:p>
      <w:pPr>
        <w:spacing w:line="360" w:lineRule="auto" w:after="80"/>
        <w:ind w:left="576"/>
      </w:pPr>
      <w:r>
        <w:t xml:space="preserve">• </w:t>
      </w:r>
      <w:r>
        <w:rPr>
          <w:b/>
        </w:rPr>
        <w:t>Hipotez 5 ($H_5$):</w:t>
      </w:r>
      <w:r>
        <w:t xml:space="preserve"> Savunma sanayiinin bilgi yayılması coğrafi mesafeyle ters orantılıdır; mekânsal ağırlık matrisi altında Ankara-Marmara aksında pozitif bir kümelenme mevcuttur.</w:t>
      </w:r>
    </w:p>
    <w:p>
      <w:pPr>
        <w:spacing w:line="360" w:lineRule="auto" w:after="80"/>
        <w:ind w:left="576"/>
      </w:pPr>
      <w:r>
        <w:t xml:space="preserve">• </w:t>
      </w:r>
      <w:r>
        <w:rPr>
          <w:b/>
        </w:rPr>
        <w:t>Soru 6:</w:t>
      </w:r>
      <w:r>
        <w:t xml:space="preserve"> 2020 WESCAM ve CAATSA ambargoları gibi dışsal kısıtlar yerli ikame sıçraması yaratmış mıdır?</w:t>
      </w:r>
    </w:p>
    <w:p>
      <w:pPr>
        <w:spacing w:line="360" w:lineRule="auto" w:after="80"/>
        <w:ind w:left="576"/>
      </w:pPr>
      <w:r>
        <w:t xml:space="preserve">• </w:t>
      </w:r>
      <w:r>
        <w:rPr>
          <w:b/>
        </w:rPr>
        <w:t>Hipotez 6 ($H_6$):</w:t>
      </w:r>
      <w:r>
        <w:t xml:space="preserve"> Dışsal ambargo şokları, hedef alınan kritik optik ve aviyonik sınıflarında yerli patent üretiminde nedensel bir sıçrama meydana getirmiştir.</w:t>
      </w:r>
    </w:p>
    <w:p>
      <w:pPr>
        <w:spacing w:before="280" w:after="120"/>
        <w:jc w:val="left"/>
      </w:pPr>
      <w:r>
        <w:rPr>
          <w:b/>
          <w:sz w:val="26"/>
        </w:rPr>
        <w:t>1.3. Tezin Özgün Değeri ve Literatüre Katkıları</w:t>
      </w:r>
    </w:p>
    <w:p>
      <w:pPr>
        <w:spacing w:line="360" w:lineRule="auto" w:after="120"/>
        <w:ind w:firstLine="576"/>
      </w:pPr>
      <w:r>
        <w:t>Bu tez çalışması, iktisat ve savunma sanayii literatürüne üç temel boyutta çığır açıcı katkı sağlamaktadır:</w:t>
      </w:r>
    </w:p>
    <w:p>
      <w:pPr>
        <w:spacing w:line="360" w:lineRule="auto" w:after="80"/>
        <w:ind w:left="576"/>
      </w:pPr>
      <w:r>
        <w:t xml:space="preserve">1.  </w:t>
      </w:r>
      <w:r>
        <w:rPr>
          <w:b/>
        </w:rPr>
        <w:t>Metodolojik Katkı (Türkiye'nin İlk Tam Patent Evreni Mikro Paneli):</w:t>
      </w:r>
    </w:p>
    <w:p>
      <w:pPr>
        <w:spacing w:line="360" w:lineRule="auto" w:after="120"/>
        <w:ind w:firstLine="576"/>
      </w:pPr>
      <w:r>
        <w:t xml:space="preserve">Türkiye'de savunma harcamaları üzerine yapılan önceki çalışmaların tamamı 30-40 gözlemlik kaba zaman serilerine dayalıyken; bu çalışmada ilk kez TÜRKPATENT'in 15 yıllık </w:t>
      </w:r>
      <w:r>
        <w:rPr>
          <w:b/>
        </w:rPr>
        <w:t>93.240 adetlik resmî patent sicilinin tamamı</w:t>
      </w:r>
      <w:r>
        <w:t xml:space="preserve"> mikro düzeyde ayıklanmış, 30 büyük BIST sanayi deviyle boyuna panel ($N </w:t>
        <w:tab/>
        <w:t>imes T = 450$) kurulmuş ve Jaffe kosinüs matrisiyle teknolojik yakınlık haritalandırılmıştır.</w:t>
      </w:r>
    </w:p>
    <w:p>
      <w:pPr>
        <w:spacing w:line="360" w:lineRule="auto" w:after="80"/>
        <w:ind w:left="576"/>
      </w:pPr>
      <w:r>
        <w:t xml:space="preserve">2.  </w:t>
      </w:r>
      <w:r>
        <w:rPr>
          <w:b/>
        </w:rPr>
        <w:t>Ampirik Katkı (5-Pillar Ekonometrik Kanıt Piramidi):</w:t>
      </w:r>
    </w:p>
    <w:p>
      <w:pPr>
        <w:spacing w:line="360" w:lineRule="auto" w:after="120"/>
        <w:ind w:firstLine="576"/>
      </w:pPr>
      <w:r>
        <w:t>Literatürdeki seçim yanlılığı, içsellik ve mekânsal bağımlılık problemleri; Santos Silva ve Tenreyro (2006) PPML modeli, Cragg (1971) Hurdle iki aşamalı seçilim modeli, Spatial Durbin mesafe bozunumu, 2020 WESCAM ambargoları Farkların Farkı (DiD) doğal deneyi ve 342 başmühendisi izleyen Buluşçu Hareketliliği ağ modeliyle sıfırlanmıştır.</w:t>
      </w:r>
    </w:p>
    <w:p>
      <w:pPr>
        <w:spacing w:line="360" w:lineRule="auto" w:after="80"/>
        <w:ind w:left="576"/>
      </w:pPr>
      <w:r>
        <w:t xml:space="preserve">3.  </w:t>
      </w:r>
      <w:r>
        <w:rPr>
          <w:b/>
        </w:rPr>
        <w:t>Sanayi Politikası Katkısı (Çift Kullanımlı Eşik Değeri):</w:t>
      </w:r>
    </w:p>
    <w:p>
      <w:pPr>
        <w:spacing w:line="360" w:lineRule="auto" w:after="120"/>
        <w:ind w:firstLine="576"/>
      </w:pPr>
      <w:r>
        <w:t>Cumhurbaşkanlığı Savunma Sanayii Başkanlığı (SSB) ve Sanayi ve Teknoloji Bakanlığı için, kamu Ar-Ge kaynaklarının hangi sivil sektörlerde çarpan etkisi yarattığını gösteren somut bir kılavuz ($</w:t>
        <w:tab/>
        <w:t>au^</w:t>
      </w:r>
      <w:r>
        <w:rPr>
          <w:i/>
        </w:rPr>
        <w:t xml:space="preserve"> = 0.2925$) üretilmiştir.</w:t>
      </w:r>
    </w:p>
    <w:p>
      <w:pPr>
        <w:spacing w:before="280" w:after="120"/>
        <w:jc w:val="left"/>
      </w:pPr>
      <w:r>
        <w:rPr>
          <w:b/>
          <w:sz w:val="26"/>
        </w:rPr>
        <w:t>1.4. Türkiye Savunma Sanayiinin Tarihsel Gelişimi ve Kurumsal Yapısı</w:t>
      </w:r>
    </w:p>
    <w:p>
      <w:pPr>
        <w:spacing w:line="360" w:lineRule="auto" w:after="120"/>
        <w:ind w:firstLine="576"/>
      </w:pPr>
      <w:r>
        <w:t>Türkiye savunma sanayiinin tarihsel serüveni dört temel kırılma evresine ayrılmaktadır:</w:t>
      </w:r>
    </w:p>
    <w:p>
      <w:pPr>
        <w:spacing w:line="360" w:lineRule="auto" w:after="80"/>
        <w:ind w:left="576"/>
      </w:pPr>
      <w:r>
        <w:t xml:space="preserve">1.  </w:t>
      </w:r>
      <w:r>
        <w:rPr>
          <w:b/>
        </w:rPr>
        <w:t>1974 Öncesi (Tam Dışa Bağımlılık Dönemi):</w:t>
      </w:r>
      <w:r>
        <w:t xml:space="preserve"> Doğrudan askeri hibe, yardım ve hazır alımlara dayanan; yerli Ar-Ge ve imalatın neredeyse sıfır olduğu dönem.</w:t>
      </w:r>
    </w:p>
    <w:p>
      <w:pPr>
        <w:spacing w:line="360" w:lineRule="auto" w:after="80"/>
        <w:ind w:left="576"/>
      </w:pPr>
      <w:r>
        <w:t xml:space="preserve">2.  </w:t>
      </w:r>
      <w:r>
        <w:rPr>
          <w:b/>
        </w:rPr>
        <w:t>1974–1985 (Kıbrıs Barış Harekâtı ve Ambargo Travması):</w:t>
      </w:r>
      <w:r>
        <w:t xml:space="preserve"> 1974 Kıbrıs Harekâtı sonrası ABD silah ambargosunun yarattığı farkındalıkla Türk Silahlı Kuvvetlerini Güçlendirme Vakıflarının (Kara, Deniz, Hava) kurulması ve ASELSAN'ın (1975) temellerinin atılması.</w:t>
      </w:r>
    </w:p>
    <w:p>
      <w:pPr>
        <w:spacing w:line="360" w:lineRule="auto" w:after="80"/>
        <w:ind w:left="576"/>
      </w:pPr>
      <w:r>
        <w:t xml:space="preserve">3.  </w:t>
      </w:r>
      <w:r>
        <w:rPr>
          <w:b/>
        </w:rPr>
        <w:t>1985–2004 (Savunma Sanayii Müsteşarlığı ve Montaj/Ortak Üretim Dönemi):</w:t>
      </w:r>
      <w:r>
        <w:t xml:space="preserve"> 3238 sayılı Kanun ile Savunma Sanayii Geliştirme ve Destekleme İdaresi Başkanlığı'nın (SAGEB / SSM) kurulması; F-16 montaj fabrikası (TUSAŞ), zırhlı araçlar ve yerel tedarik zincirlerinin ilk filizlenişi.</w:t>
      </w:r>
    </w:p>
    <w:p>
      <w:pPr>
        <w:spacing w:line="360" w:lineRule="auto" w:after="80"/>
        <w:ind w:left="576"/>
      </w:pPr>
      <w:r>
        <w:t xml:space="preserve">4.  </w:t>
      </w:r>
      <w:r>
        <w:rPr>
          <w:b/>
        </w:rPr>
        <w:t>2004 ve Sonrası (Stratejik Yerlileşme ve Özgün Tasarım Dönemi):</w:t>
      </w:r>
      <w:r>
        <w:t xml:space="preserve"> Mayıs 2004 Savunma Sanayii İcra Komitesi (SSİK) kararıyla milyarlarca dolarlık yabancı hazır alım ihalelerinin iptal edilerek 'Özgün Yerli Tasarım' modeline geçilmesi. Bu dönem MİLGEM, ANKA, BAYRAKTAR TB2, HÜRJET, ATAK, ALTAY, KIZILELMA ve Millî Muharip Uçak KAAN gibi stratejik platformların doğuşunu sağlamıştır.</w:t>
      </w:r>
    </w:p>
    <w:p>
      <w:pPr>
        <w:spacing w:line="360" w:lineRule="auto" w:after="120"/>
        <w:ind w:firstLine="576"/>
      </w:pPr>
      <w:r>
        <w:t>Bu dönüşüm, savunma sanayiini sadece askeri donanım üreten kapalı bir alan olmaktan çıkarmış; yazılım, mikroelektronik, optik ve yapay zekâ alanlarında Türkiye'nin en büyük ileri teknoloji Ar-Ge laboratuvarına dönüştürmüştür.</w:t>
      </w:r>
    </w:p>
    <w:p>
      <w:pPr>
        <w:spacing w:after="240"/>
      </w:pPr>
    </w:p>
    <w:p>
      <w:pPr>
        <w:spacing w:before="360" w:after="240"/>
        <w:jc w:val="center"/>
      </w:pPr>
      <w:r>
        <w:rPr>
          <w:b/>
          <w:sz w:val="28"/>
        </w:rPr>
        <w:t>BÖLÜM 2: KURAMSAL ÇERÇEVE VE LİTERATÜR TARAMASI</w:t>
      </w:r>
    </w:p>
    <w:p>
      <w:pPr>
        <w:spacing w:before="280" w:after="120"/>
        <w:jc w:val="left"/>
      </w:pPr>
      <w:r>
        <w:rPr>
          <w:b/>
          <w:sz w:val="26"/>
        </w:rPr>
        <w:t>2.1. İnovasyon Kuramları ve Bilgi Yayılması (Knowledge Spillover)</w:t>
      </w:r>
    </w:p>
    <w:p>
      <w:pPr>
        <w:spacing w:line="360" w:lineRule="auto" w:after="120"/>
        <w:ind w:firstLine="576"/>
      </w:pPr>
      <w:r>
        <w:t>Neoklasik Solow-Swan (1956) büyüme modelinde teknolojik gelişme, modelin dışından gelen ve açıklanamayan dışsal bir tortu (</w:t>
      </w:r>
      <w:r>
        <w:rPr>
          <w:i/>
        </w:rPr>
        <w:t>Solow residual</w:t>
      </w:r>
      <w:r>
        <w:t>) olarak ele alınmıştır. Buna karşılık Paul Romer (1990), Robert Lucas (1988) ve Philippe Aghion ile Peter Howitt (1992) tarafından geliştirilen İçsel Büyüme Kuramı (</w:t>
      </w:r>
      <w:r>
        <w:rPr>
          <w:i/>
        </w:rPr>
        <w:t>Endogenous Growth Theory</w:t>
      </w:r>
      <w:r>
        <w:t>); teknolojik yeniliklerin piyasa teşviklerine, kâr arayışındaki firmaların Ar-Ge yatırımlarına ve beşeri sermaye birikimine dayalı bilinçli bir iktisadi faaliyet olduğunu ortaya koymuştur.</w:t>
      </w:r>
    </w:p>
    <w:p>
      <w:pPr>
        <w:spacing w:line="360" w:lineRule="auto" w:after="120"/>
        <w:ind w:firstLine="576"/>
      </w:pPr>
      <w:r>
        <w:t>Zvi Griliches (1979), Ar-Ge yatırımlarının iki farklı yayılma kanalı oluşturduğunu belirtir:</w:t>
      </w:r>
    </w:p>
    <w:p>
      <w:pPr>
        <w:spacing w:line="360" w:lineRule="auto" w:after="80"/>
        <w:ind w:left="576"/>
      </w:pPr>
      <w:r>
        <w:t xml:space="preserve">1.  </w:t>
      </w:r>
      <w:r>
        <w:rPr>
          <w:b/>
        </w:rPr>
        <w:t>Rant Yayılması (Rent Spillovers):</w:t>
      </w:r>
      <w:r>
        <w:t xml:space="preserve"> İleri teknoloji ürünlerinin (örneğin daha hızlı bir mikroişlemcinin) kalitesindeki artışın ürünün fiyatına tam yansıtılamaması nedeniyle alıcı sivil sektörlerin elde ettiği tüketici ve üretici rantı.</w:t>
      </w:r>
    </w:p>
    <w:p>
      <w:pPr>
        <w:spacing w:line="360" w:lineRule="auto" w:after="80"/>
        <w:ind w:left="576"/>
      </w:pPr>
      <w:r>
        <w:t xml:space="preserve">2.  </w:t>
      </w:r>
      <w:r>
        <w:rPr>
          <w:b/>
        </w:rPr>
        <w:t>Saf Bilgi Yayılması (Pure Knowledge Spillovers):</w:t>
      </w:r>
      <w:r>
        <w:t xml:space="preserve"> Bir firmanın Ar-Ge laboratuvarında üretilen tescilli veya tescilsiz teknik bilginin, diğer firmaların Ar-Ge maliyetlerini düşürmesi ve yeni buluşlar yapmalarını kolaylaştırması.</w:t>
      </w:r>
    </w:p>
    <w:p>
      <w:pPr>
        <w:spacing w:line="360" w:lineRule="auto" w:after="120"/>
        <w:ind w:firstLine="576"/>
      </w:pPr>
      <w:r>
        <w:t>Patentler, Griliches (1990) tarafından ifade edildiği gibi bilgi üretiminin ve tescilli yayılmanın ölçülebildiği en somut iktisadi kaynaktır.</w:t>
      </w:r>
    </w:p>
    <w:p>
      <w:pPr>
        <w:spacing w:before="280" w:after="120"/>
        <w:jc w:val="left"/>
      </w:pPr>
      <w:r>
        <w:rPr>
          <w:b/>
          <w:sz w:val="26"/>
        </w:rPr>
        <w:t>2.2. Benoit vs. Deger-Sen: Savunma Harcamalarında Dışlama ve Büyüme</w:t>
      </w:r>
    </w:p>
    <w:p>
      <w:pPr>
        <w:spacing w:line="360" w:lineRule="auto" w:after="120"/>
        <w:ind w:firstLine="576"/>
      </w:pPr>
      <w:r>
        <w:t>İktisat yazınında savunma harcamalarının büyümeye etkisine dair üç ana yaklaşım bulunmaktadır:</w:t>
      </w:r>
    </w:p>
    <w:p>
      <w:pPr>
        <w:spacing w:line="360" w:lineRule="auto" w:after="80"/>
        <w:ind w:left="576"/>
      </w:pPr>
      <w:r>
        <w:t xml:space="preserve">• </w:t>
      </w:r>
      <w:r>
        <w:rPr>
          <w:i/>
        </w:rPr>
        <w:t>Benoit Modernleşme Hipotezi (Benoit, 1973):</w:t>
      </w:r>
      <w:r>
        <w:t xml:space="preserve"> Askeri harcamalar gelişmekte olan ülkelerde teknolojik altyapıyı modernize eder, nitelikli işgücü yetiştirir ve sivil sanayiye talep yaratarak büyümeyi hızlandırır (</w:t>
      </w:r>
      <w:r>
        <w:rPr>
          <w:i/>
        </w:rPr>
        <w:t>crowding-in</w:t>
      </w:r>
      <w:r>
        <w:t>).</w:t>
      </w:r>
    </w:p>
    <w:p>
      <w:pPr>
        <w:spacing w:line="360" w:lineRule="auto" w:after="80"/>
        <w:ind w:left="576"/>
      </w:pPr>
      <w:r>
        <w:t xml:space="preserve">• </w:t>
      </w:r>
      <w:r>
        <w:rPr>
          <w:i/>
        </w:rPr>
        <w:t>Deger-Sen Yapısal Dışlama Hipotezi (Deger &amp; Sen, 1983):</w:t>
      </w:r>
      <w:r>
        <w:t xml:space="preserve"> Savunma harcamaları bütçe açıklarını artırır, tasarrufları tüketir ve sivil sektörlerin ihtiyaç duyduğu mühendisleri yüksek ücretle istihdam ederek sivil sanayiyi dışlar (</w:t>
      </w:r>
      <w:r>
        <w:rPr>
          <w:i/>
        </w:rPr>
        <w:t>crowding-out</w:t>
      </w:r>
      <w:r>
        <w:t>).</w:t>
      </w:r>
    </w:p>
    <w:p>
      <w:pPr>
        <w:spacing w:line="360" w:lineRule="auto" w:after="80"/>
        <w:ind w:left="576"/>
      </w:pPr>
      <w:r>
        <w:t xml:space="preserve">• </w:t>
      </w:r>
      <w:r>
        <w:rPr>
          <w:i/>
        </w:rPr>
        <w:t>Feder-Ram İki Sektörlü Model (Feder, 1983; Ram, 1986):</w:t>
      </w:r>
      <w:r>
        <w:t xml:space="preserve"> Ekonomiyi savunma ve sivil sektör olarak ikiye ayıran bu model, savunma sektörünün sivil sektöre pozitif marjinal üretkenlik aktardığını varsayar:</w:t>
      </w:r>
    </w:p>
    <w:p>
      <w:pPr>
        <w:spacing w:before="120" w:after="120"/>
        <w:jc w:val="center"/>
      </w:pPr>
      <w:r>
        <w:rPr>
          <w:i/>
          <w:sz w:val="22"/>
        </w:rPr>
        <w:t>Y = C + D, \quad C = C(K_c, L_c, D), \quad D = D(K_d, L_d)</w:t>
      </w:r>
    </w:p>
    <w:p>
      <w:pPr>
        <w:spacing w:before="280" w:after="120"/>
        <w:jc w:val="left"/>
      </w:pPr>
      <w:r>
        <w:rPr>
          <w:b/>
          <w:sz w:val="26"/>
        </w:rPr>
        <w:t>2.3. Çift Kullanımlı (Dual-Use) Teknoloji ve Absorptif Kapasite Kuramı</w:t>
      </w:r>
    </w:p>
    <w:p>
      <w:pPr>
        <w:spacing w:line="360" w:lineRule="auto" w:after="120"/>
        <w:ind w:firstLine="576"/>
      </w:pPr>
      <w:r>
        <w:t xml:space="preserve">Modern savunma teknolojileri artık tek yönlü askeri mühimmat üretiminden ibaret değildir. Yapay zekâ, robotik, aviyonik, otonom sürüş ve kompozit malzemeler </w:t>
      </w:r>
      <w:r>
        <w:rPr>
          <w:b/>
        </w:rPr>
        <w:t>çift kullanımlı (</w:t>
      </w:r>
      <w:r>
        <w:rPr>
          <w:b/>
          <w:i/>
        </w:rPr>
        <w:t>dual-use</w:t>
      </w:r>
      <w:r>
        <w:rPr>
          <w:b/>
        </w:rPr>
        <w:t>)</w:t>
      </w:r>
      <w:r>
        <w:t xml:space="preserve"> niteliktedir. Örneğin ASELSAN'ın askeri gözetleme için geliştirdiği radar ve elektro-optik algoritmaları; sivil alanda sınır güvenliği, yangın tespit sistemleri ve otonom araç seyir kontrol sistemlerine doğrudan adapte edilebilmektedir.</w:t>
      </w:r>
    </w:p>
    <w:p>
      <w:pPr>
        <w:spacing w:line="360" w:lineRule="auto" w:after="120"/>
        <w:ind w:firstLine="576"/>
      </w:pPr>
      <w:r>
        <w:t xml:space="preserve">Ancak Wesley Cohen ve Daniel Levinthal (1990) tarafından ortaya konulan </w:t>
      </w:r>
      <w:r>
        <w:rPr>
          <w:b/>
        </w:rPr>
        <w:t>Absorptif Kapasite Kuramı (</w:t>
      </w:r>
      <w:r>
        <w:rPr>
          <w:b/>
          <w:i/>
        </w:rPr>
        <w:t>Absorptive Capacity</w:t>
      </w:r>
      <w:r>
        <w:rPr>
          <w:b/>
        </w:rPr>
        <w:t>)</w:t>
      </w:r>
      <w:r>
        <w:t>, bir sivil firmanın dışarıdaki bu ileri savunma bilgisini alıp kendi üretimine entegre edebilmesi için firmanın kendisinin de belirli bir düzeyde Ar-Ge faaliyeti yürütüyor olması gerektiğini gösterir. Ar-Ge yapmayan, mühendisi olmayan geleneksel bir firmanın savunma sanayiinin yüksek teknolojisinden yararlanması olanaksızdır.</w:t>
      </w:r>
    </w:p>
    <w:p>
      <w:pPr>
        <w:spacing w:before="280" w:after="120"/>
        <w:jc w:val="left"/>
      </w:pPr>
      <w:r>
        <w:rPr>
          <w:b/>
          <w:sz w:val="26"/>
        </w:rPr>
        <w:t>2.4. Patent İktisadı ve Teknolojik Mesafe Yazını (Jaffe İndeksi)</w:t>
      </w:r>
    </w:p>
    <w:p>
      <w:pPr>
        <w:spacing w:line="360" w:lineRule="auto" w:after="120"/>
        <w:ind w:firstLine="576"/>
      </w:pPr>
      <w:r>
        <w:t>Adam Jaffe (1986, 1993), bilginin sektörler arasında serbestçe ve eşit hızda yayılmadığını kanıtlamıştır. İki sektör veya firma arasındaki bilgi aktarımı, sahip oldukları patentlerin teknolojik sınıflarının benzerliğine bağlıdır. Jaffe Teknolojik Yakınlık İndeksi ($S_{ij}$), firmaların patent dağılım vektörleri arasındaki kosinüs açısı ile hesaplanır:</w:t>
      </w:r>
    </w:p>
    <w:p>
      <w:pPr>
        <w:spacing w:before="120" w:after="120"/>
        <w:jc w:val="center"/>
      </w:pPr>
      <w:r>
        <w:rPr>
          <w:i/>
          <w:sz w:val="22"/>
        </w:rPr>
        <w:t>S_{ij} = \frac{f_i f_j'}{\sqrt{(f_i f_i')(f_j f_j')}}</w:t>
      </w:r>
    </w:p>
    <w:p>
      <w:pPr>
        <w:spacing w:line="360" w:lineRule="auto" w:after="120"/>
        <w:ind w:firstLine="576"/>
      </w:pPr>
      <w:r>
        <w:t>Burada $0 \le S_{ij} \le 1$ arasında değer alır. $S_{ij} = 1$ iki firmanın tıpatıp aynı teknoloji alanında patent ürettiğini, $S_{ij} = 0$ ise tamamen alakasız alanlarda olduğunu gösterir. Bloom, Schankerman ve Van Reenen (2013), bu matrisi kullanarak bilgi yayılmasını ürün pazarı rekabetinden ayrıştırmıştır.</w:t>
      </w:r>
    </w:p>
    <w:p>
      <w:pPr>
        <w:spacing w:before="280" w:after="120"/>
        <w:jc w:val="left"/>
      </w:pPr>
      <w:r>
        <w:rPr>
          <w:b/>
          <w:sz w:val="26"/>
        </w:rPr>
        <w:t>2.5. Dünyada ve Türkiye'de Yapılmış Ampirik Çalışmaların Sentezi</w:t>
      </w:r>
    </w:p>
    <w:p>
      <w:pPr>
        <w:spacing w:line="360" w:lineRule="auto" w:after="120"/>
        <w:ind w:firstLine="576"/>
      </w:pPr>
      <w:r>
        <w:t>Dünya yazınında Mowery (2010), Lichtenberg (1995) ve son olarak Moretti vd. (2023) savunma Ar-Ge'sinin inovasyon üzerindeki etkilerini doğrulamıştır. Moretti vd. (2023), OECD ülkeleri panelinde savunma Ar-Ge harcamalarındaki $\%10$'luk bir artışın, özel sektör Ar-Ge'sinde $\%4$'lük bir genişleme sağladığını belgelemiştir.</w:t>
      </w:r>
    </w:p>
    <w:p>
      <w:pPr>
        <w:spacing w:line="360" w:lineRule="auto" w:after="120"/>
        <w:ind w:firstLine="576"/>
      </w:pPr>
      <w:r>
        <w:t xml:space="preserve">Türkiye literatüründe ise Sezgin (1997, 2004), Özmucur (1996), Karagöl (2006) ve Elveren (2012) konuyu makro zaman serileri (VAR, ARDL, Granger Nedensellik) ile incelemiş; bulgular döneme ve yönteme göre Benoit lehine ya da Deger-Sen lehine çelişkili sonuçlar üretmiştir. Firmalar düzeyinde patent verisiyle Jaffe mesafesi veya PPML modeli kuran </w:t>
      </w:r>
      <w:r>
        <w:rPr>
          <w:b/>
        </w:rPr>
        <w:t>hiçbir ampirik çalışma bulunmamaktadır.</w:t>
      </w:r>
    </w:p>
    <w:p>
      <w:pPr>
        <w:spacing w:after="240"/>
      </w:pPr>
    </w:p>
    <w:p>
      <w:pPr>
        <w:spacing w:before="360" w:after="240"/>
        <w:jc w:val="center"/>
      </w:pPr>
      <w:r>
        <w:rPr>
          <w:b/>
          <w:sz w:val="28"/>
        </w:rPr>
        <w:t>BÖLÜM 3: VERİ SETİ VE EKONOMETRİK METODOLOJİ</w:t>
      </w:r>
    </w:p>
    <w:p>
      <w:pPr>
        <w:spacing w:before="280" w:after="120"/>
        <w:jc w:val="left"/>
      </w:pPr>
      <w:r>
        <w:rPr>
          <w:b/>
          <w:sz w:val="26"/>
        </w:rPr>
        <w:t>3.1. TÜRKPATENT 93.240 Patent Evreni ve Veri Derleme Metodolojisi</w:t>
      </w:r>
    </w:p>
    <w:p>
      <w:pPr>
        <w:spacing w:line="360" w:lineRule="auto" w:after="120"/>
        <w:ind w:firstLine="576"/>
      </w:pPr>
      <w:r>
        <w:t>Araştırmanın veri tabanı, Türk Patent ve Marka Kurumu'nun (TÜRKPATENT) 2010–2024 yılları arasında Resmî Patent Bültenlerinde yayımladığı tüm tescil ve başvuruları kapsamaktadır. TÜRKPATENT'in Avrupa Patent Ofisi (EPO DOCDB) ikili veri paylaşım protokolü üzerinden kamuya açık veri tabanından SQL ile derlenen veri seti; başvuru numarası, tescil tarihi, başvuru sahibi unvanı, 4 haneli IPC ve CPC sınıfları, buluş başlığı ve ileriye dönük atıfları içermektedir.</w:t>
      </w:r>
    </w:p>
    <w:p>
      <w:pPr>
        <w:spacing w:line="360" w:lineRule="auto" w:after="120"/>
        <w:ind w:firstLine="576"/>
      </w:pPr>
      <w:r>
        <w:t>Mükerrer sayım yanlılığını (</w:t>
      </w:r>
      <w:r>
        <w:rPr>
          <w:i/>
        </w:rPr>
        <w:t>duplication bias</w:t>
      </w:r>
      <w:r>
        <w:t xml:space="preserve">) önlemek amacıyla veri seti katı biçimde Türkiye yerel tescilleriyle sınırlandırılmış ($N = 93.240$); firmaların aynı buluş için aldıkları uluslararası patentler (EP, US, WO) sayıyı şişirmek için değil, patent kalitesini ölçen </w:t>
      </w:r>
      <w:r>
        <w:rPr>
          <w:b/>
        </w:rPr>
        <w:t>patent aile büyüklüğü (</w:t>
      </w:r>
      <w:r>
        <w:rPr>
          <w:b/>
          <w:i/>
        </w:rPr>
        <w:t>family size</w:t>
      </w:r>
      <w:r>
        <w:rPr>
          <w:b/>
        </w:rPr>
        <w:t>)</w:t>
      </w:r>
      <w:r>
        <w:t xml:space="preserve"> olarak kullanılmıştır.</w:t>
      </w:r>
    </w:p>
    <w:p>
      <w:pPr>
        <w:spacing w:before="280" w:after="120"/>
        <w:jc w:val="left"/>
      </w:pPr>
      <w:r>
        <w:rPr>
          <w:b/>
          <w:sz w:val="26"/>
        </w:rPr>
        <w:t>3.2. SASAD Savunma Bilançoları ve BIST 100 KAP Veri Entegrasyonu</w:t>
      </w:r>
    </w:p>
    <w:p>
      <w:pPr>
        <w:spacing w:line="360" w:lineRule="auto" w:after="120"/>
        <w:ind w:firstLine="576"/>
      </w:pPr>
      <w:r>
        <w:t>Savunma sektörü Ar-Ge harcamaları ve mühendislik istihdamı, SASAD'ın 2010–2024 Sektör Performans Raporlarından derlenmiştir. Sivil firma tarafında ise Borsa İstanbul'da (BIST 100) işlem gören ve Türkiye sanayi cirosunun ana omurgasını oluşturan 30 büyük sanayi devi (Ford Otosan, Tofaş, Türkcell, Türk Telekom, Arçelik, Vestel, Aselsan, TUSAŞ, Tırsan, Otokar vb.) seçilmiş; Kamuyu Aydınlatma Platformu'ndan (KAP) 15 yıllık bağımsız denetimden geçmiş reel net satış hasılatı ($\ln(</w:t>
        <w:tab/>
        <w:t xml:space="preserve">ext{Sales})$) çekilerek $N </w:t>
        <w:tab/>
        <w:t>imes T = 450$ gözlemli mikro panel inşa edilmiştir.</w:t>
      </w:r>
    </w:p>
    <w:p>
      <w:pPr>
        <w:spacing w:before="280" w:after="120"/>
        <w:jc w:val="left"/>
      </w:pPr>
      <w:r>
        <w:rPr>
          <w:b/>
          <w:sz w:val="26"/>
        </w:rPr>
        <w:t>3.3. Jaffe (1986, 1993) Teknolojik Yakınlık Matrisinin Hesaplanması</w:t>
      </w:r>
    </w:p>
    <w:p>
      <w:pPr>
        <w:spacing w:line="360" w:lineRule="auto" w:after="120"/>
        <w:ind w:firstLine="576"/>
      </w:pPr>
      <w:r>
        <w:t>93.240 patent, WIPO IPC 8 ana sektörü ve 120 alt teknoloji sınıfına ayrıştırılmış; her firmanın teknoloji dağılım vektörü $f_i = (f_{i1}, f_{i2}, \dots, f_{iK})$ oluşturulmuştur. Savunma ana sektörü ile 30 sivil firma arasındaki kosinüs benzerlik matrisi hesaplanarak $Jaffe_i$ endeksi türetilmiştir.</w:t>
      </w:r>
    </w:p>
    <w:p>
      <w:pPr>
        <w:spacing w:before="280" w:after="120"/>
        <w:jc w:val="left"/>
      </w:pPr>
      <w:r>
        <w:rPr>
          <w:b/>
          <w:sz w:val="26"/>
        </w:rPr>
        <w:t>3.4. Çift Sabit Etkili Poisson Pseudo-Maximum Likelihood (PPML) Modeli</w:t>
      </w:r>
    </w:p>
    <w:p>
      <w:pPr>
        <w:spacing w:line="360" w:lineRule="auto" w:after="120"/>
        <w:ind w:firstLine="576"/>
      </w:pPr>
      <w:r>
        <w:t>Patent verileri negatif değer almayan, aşırı yayılımlı (</w:t>
      </w:r>
      <w:r>
        <w:rPr>
          <w:i/>
        </w:rPr>
        <w:t>overdispersed</w:t>
      </w:r>
      <w:r>
        <w:t>) sayma verisidir. Santos Silva ve Tenreyro (2006), heteroskedasite durumunda log-lineer OLS modellerinin tutarsız katsayılar ürettiğini kanıtlamış ve PPML tahmincisini önermiştir:</w:t>
      </w:r>
    </w:p>
    <w:p>
      <w:pPr>
        <w:spacing w:before="120" w:after="120"/>
        <w:jc w:val="center"/>
      </w:pPr>
      <w:r>
        <w:rPr>
          <w:i/>
          <w:sz w:val="22"/>
        </w:rPr>
        <w:t>\mathbb{E}[Y_{it} \mid \mathbf{X}_{it}] = \exp\left( lpha_i + \lambda_t + eta_1 \ln(</w:t>
        <w:tab/>
        <w:t xml:space="preserve">ext{Def\_R\&amp;D}_{t-2}) + eta_2 </w:t>
        <w:tab/>
        <w:t>ext{Jaffe}_i + eta_3 (\ln(</w:t>
        <w:tab/>
        <w:t xml:space="preserve">ext{Def\_R\&amp;D}_{t-2}) </w:t>
        <w:tab/>
        <w:t xml:space="preserve">imes </w:t>
        <w:tab/>
        <w:t>ext{Jaffe}_i) + \gamma \ln(</w:t>
        <w:tab/>
        <w:t xml:space="preserve">ext{Sales}_{it}) </w:t>
        <w:br/>
        <w:t>ight)</w:t>
      </w:r>
    </w:p>
    <w:p>
      <w:pPr>
        <w:spacing w:line="360" w:lineRule="auto" w:after="120"/>
        <w:ind w:firstLine="576"/>
      </w:pPr>
      <w:r>
        <w:t>Burada $lpha_i$ firma sabit etkilerini, $\lambda_t$ yıl sabit etkilerini, $\gamma$ ise bilanço ölçek kontrolünü temsil etmektedir. Standart hatalar firma düzeyinde kümelenmiştir (</w:t>
      </w:r>
      <w:r>
        <w:rPr>
          <w:i/>
        </w:rPr>
        <w:t>clustered robust SE</w:t>
      </w:r>
      <w:r>
        <w:t>).</w:t>
      </w:r>
    </w:p>
    <w:p>
      <w:pPr>
        <w:spacing w:before="280" w:after="120"/>
        <w:jc w:val="left"/>
      </w:pPr>
      <w:r>
        <w:rPr>
          <w:b/>
          <w:sz w:val="26"/>
        </w:rPr>
        <w:t>3.5. Cragg Hurdle İki Aşamalı Seçilim Modeli (Extensive vs. Intensive Margin)</w:t>
      </w:r>
    </w:p>
    <w:p>
      <w:pPr>
        <w:spacing w:line="360" w:lineRule="auto" w:after="120"/>
        <w:ind w:firstLine="576"/>
      </w:pPr>
      <w:r>
        <w:t>Firmaların inovasyona başlama kararı ile tescil hacmi arasındaki davranışsal fark John Cragg (1971) Hurdle modeliyle ayrıştırılmıştır:</w:t>
      </w:r>
    </w:p>
    <w:p>
      <w:pPr>
        <w:spacing w:line="360" w:lineRule="auto" w:after="80"/>
        <w:ind w:left="576"/>
      </w:pPr>
      <w:r>
        <w:t xml:space="preserve">• </w:t>
      </w:r>
      <w:r>
        <w:rPr>
          <w:i/>
        </w:rPr>
        <w:t>Aşama 1 (Geniş Kapsam - Probit):</w:t>
      </w:r>
      <w:r>
        <w:t xml:space="preserve"> $\Pr(Y_{it} &gt; 0 \mid X_{it}) = \Phi(X_{it}' \gamma)$</w:t>
      </w:r>
    </w:p>
    <w:p>
      <w:pPr>
        <w:spacing w:line="360" w:lineRule="auto" w:after="80"/>
        <w:ind w:left="576"/>
      </w:pPr>
      <w:r>
        <w:t xml:space="preserve">• </w:t>
      </w:r>
      <w:r>
        <w:rPr>
          <w:i/>
        </w:rPr>
        <w:t>Aşama 2 (Yoğun Kapsam - Truncated Poisson):</w:t>
      </w:r>
      <w:r>
        <w:t xml:space="preserve"> $\mathbb{E}[Y_{it} \mid Y_{it} &gt; 0, X_{it}] = \exp(X_{it}' eta) \cdot [1 - \exp(-\exp(X_{it}' eta))]^{-1}$</w:t>
      </w:r>
    </w:p>
    <w:p>
      <w:pPr>
        <w:spacing w:before="280" w:after="120"/>
        <w:jc w:val="left"/>
      </w:pPr>
      <w:r>
        <w:rPr>
          <w:b/>
          <w:sz w:val="26"/>
        </w:rPr>
        <w:t>3.6. Mekânsal Ekonometri: Spatial Durbin Modeli (SDM)</w:t>
      </w:r>
    </w:p>
    <w:p>
      <w:pPr>
        <w:spacing w:line="360" w:lineRule="auto" w:after="120"/>
        <w:ind w:firstLine="576"/>
      </w:pPr>
      <w:r>
        <w:t>Ankara savunma kümelenmesinin coğrafi difüzyonu, ters mesafe matrisi $W$ ($w_{ij} = 1/d_{ij}$) kullanılarak LeSage ve Pace (2009) Spatial Durbin Modeliyle tahmin edilmiştir:</w:t>
      </w:r>
    </w:p>
    <w:p>
      <w:pPr>
        <w:spacing w:before="120" w:after="120"/>
        <w:jc w:val="center"/>
      </w:pPr>
      <w:r>
        <w:rPr>
          <w:i/>
          <w:sz w:val="22"/>
        </w:rPr>
        <w:t xml:space="preserve">Y = </w:t>
        <w:br/>
        <w:t xml:space="preserve">ho W Y + X eta + W X </w:t>
        <w:tab/>
        <w:t>heta + \mu + arepsilon</w:t>
      </w:r>
    </w:p>
    <w:p>
      <w:pPr>
        <w:spacing w:before="280" w:after="120"/>
        <w:jc w:val="left"/>
      </w:pPr>
      <w:r>
        <w:rPr>
          <w:b/>
          <w:sz w:val="26"/>
        </w:rPr>
        <w:t>3.7. Dışsal Nedensellik ve Doğal Deney: 2020 Ambargoları (DiD)</w:t>
      </w:r>
    </w:p>
    <w:p>
      <w:pPr>
        <w:spacing w:line="360" w:lineRule="auto" w:after="120"/>
        <w:ind w:firstLine="576"/>
      </w:pPr>
      <w:r>
        <w:t>2020 yılı sonunda yürürlüğe giren Kanada WESCAM elektro-optik ambargosu ve ABD CAATSA yaptırımları dışsal bir jeopolitik şok olarak kurgulanmış; optik/aviyonik sınıfları deney grubu, diğer sınıflar kontrol grubu olarak Farkların Farkı (</w:t>
      </w:r>
      <w:r>
        <w:rPr>
          <w:i/>
        </w:rPr>
        <w:t>Difference-in-Differences</w:t>
      </w:r>
      <w:r>
        <w:t>) modeliyle test edilmiştir:</w:t>
      </w:r>
    </w:p>
    <w:p>
      <w:pPr>
        <w:spacing w:before="120" w:after="120"/>
        <w:jc w:val="center"/>
      </w:pPr>
      <w:r>
        <w:rPr>
          <w:i/>
          <w:sz w:val="22"/>
        </w:rPr>
        <w:t xml:space="preserve">Y_{ijt} = lpha + \gamma </w:t>
        <w:tab/>
        <w:t xml:space="preserve">ext{Treat}_j + \lambda </w:t>
        <w:tab/>
        <w:t>ext{Post2020}_t + eta_{</w:t>
        <w:tab/>
        <w:t>ext{DiD}} (</w:t>
        <w:tab/>
        <w:t xml:space="preserve">ext{Treat}_j </w:t>
        <w:tab/>
        <w:t xml:space="preserve">imes </w:t>
        <w:tab/>
        <w:t>ext{Post2020}_t) + \mathbf{Z}_{it}' \delta + arepsilon_{ijt}</w:t>
      </w:r>
    </w:p>
    <w:p>
      <w:pPr>
        <w:spacing w:before="280" w:after="120"/>
        <w:jc w:val="left"/>
      </w:pPr>
      <w:r>
        <w:rPr>
          <w:b/>
          <w:sz w:val="26"/>
        </w:rPr>
        <w:t>3.8. Buluşçu Hareketliliği (Inventor Mobility) ve Cox Sağkalım Modeli</w:t>
      </w:r>
    </w:p>
    <w:p>
      <w:pPr>
        <w:spacing w:line="360" w:lineRule="auto" w:after="120"/>
        <w:ind w:firstLine="576"/>
      </w:pPr>
      <w:r>
        <w:t>93.240 patentte 342 başmühendisin savunmadan sivile tescilli geçişleri mikro düzeyde izlenmiş; yıllık sicil harcı ödenmeme kaynaklı terk edilme (</w:t>
      </w:r>
      <w:r>
        <w:rPr>
          <w:i/>
        </w:rPr>
        <w:t>lapse</w:t>
      </w:r>
      <w:r>
        <w:t>) riski Cox Orantılı Tehlikeler Modeli ile tahmin edilmiştir:</w:t>
      </w:r>
    </w:p>
    <w:p>
      <w:pPr>
        <w:spacing w:before="120" w:after="120"/>
        <w:jc w:val="center"/>
      </w:pPr>
      <w:r>
        <w:rPr>
          <w:i/>
          <w:sz w:val="22"/>
        </w:rPr>
        <w:t xml:space="preserve">h(t \mid X) = h_0(t) \exp(eta_1 </w:t>
        <w:tab/>
        <w:t xml:space="preserve">ext{SavunmaAkrabalığı} + eta_2 </w:t>
        <w:tab/>
        <w:t>ext{Mühendis} + \mathbf{Z}' oldsymbol{\gamma})</w:t>
      </w:r>
    </w:p>
    <w:p>
      <w:pPr>
        <w:spacing w:after="240"/>
      </w:pPr>
    </w:p>
    <w:p>
      <w:pPr>
        <w:spacing w:line="360" w:lineRule="auto" w:after="120"/>
        <w:ind w:firstLine="576"/>
      </w:pPr>
      <w:r>
        <w:rPr>
          <w:b/>
        </w:rPr>
        <w:t>Araştırmacı:</w:t>
      </w:r>
      <w:r>
        <w:t xml:space="preserve"> Doğukan CİHANBEYOĞLU</w:t>
      </w:r>
    </w:p>
    <w:p>
      <w:pPr>
        <w:spacing w:line="360" w:lineRule="auto" w:after="120"/>
        <w:ind w:firstLine="576"/>
      </w:pPr>
      <w:r>
        <w:rPr>
          <w:b/>
        </w:rPr>
        <w:t>Tez Başlığı:</w:t>
      </w:r>
      <w:r>
        <w:t xml:space="preserve"> </w:t>
      </w:r>
      <w:r>
        <w:rPr>
          <w:i/>
        </w:rPr>
        <w:t>Türkiye Savunma Sanayii Yayılma Dinamiklerinin İleri Teknoloji Patent Ekosistemine Etkileri: Mikro-Ekonometrik ve Mekânsal Bir Analiz (2010–2024)</w:t>
      </w:r>
    </w:p>
    <w:p>
      <w:pPr>
        <w:spacing w:after="240"/>
      </w:pPr>
    </w:p>
    <w:p>
      <w:pPr>
        <w:spacing w:before="280" w:after="120"/>
        <w:jc w:val="left"/>
      </w:pPr>
      <w:r>
        <w:rPr>
          <w:b/>
          <w:sz w:val="26"/>
        </w:rPr>
        <w:t>4.1. Veri Tabanı ve Betimsel İstatistikler (TÜRKPATENT 93.240 Kayıt Evreni)</w:t>
      </w:r>
    </w:p>
    <w:p>
      <w:pPr>
        <w:spacing w:line="360" w:lineRule="auto" w:after="120"/>
        <w:ind w:firstLine="576"/>
      </w:pPr>
      <w:r>
        <w:t xml:space="preserve">Araştırmanın ampirik omurgasını, Türk Patent ve Marka Kurumu'nun (TÜRKPATENT) 2010–2024 döneminde Resmî Patent Bültenlerinde ilan ettiği </w:t>
      </w:r>
      <w:r>
        <w:rPr>
          <w:b/>
        </w:rPr>
        <w:t>93.240 adet tekil tescil ve patent başvurusu</w:t>
      </w:r>
      <w:r>
        <w:t xml:space="preserve"> oluşturmaktadır. Mükerrer sayım yanlılığını (</w:t>
      </w:r>
      <w:r>
        <w:rPr>
          <w:i/>
        </w:rPr>
        <w:t>duplication bias</w:t>
      </w:r>
      <w:r>
        <w:t>) önlemek amacıyla veri seti katı biçimde Türkiye tescilleriyle sınırlandırılmış; uluslararası patent aileleri (EP, US, WO) ise buluşların kalite çarpanı olarak modele dahil edilmiştir.</w:t>
      </w:r>
    </w:p>
    <w:p>
      <w:pPr>
        <w:spacing w:before="200" w:after="80"/>
        <w:jc w:val="left"/>
      </w:pPr>
      <w:r>
        <w:rPr>
          <w:b/>
          <w:sz w:val="24"/>
        </w:rPr>
        <w:t>Tablo 4.1: TÜRKPATENT Evreninin Dönemsel ve Sektörel Dağılımı (2010–2024)</w:t>
      </w:r>
    </w:p>
    <w:tbl>
      <w:tblPr>
        <w:tblW w:type="auto" w:w="0"/>
        <w:jc w:val="center"/>
        <w:tblLook w:firstColumn="1" w:firstRow="1" w:lastColumn="0" w:lastRow="0" w:noHBand="0" w:noVBand="1" w:val="04A0"/>
      </w:tblPr>
      <w:tblGrid>
        <w:gridCol w:w="1708"/>
        <w:gridCol w:w="1708"/>
        <w:gridCol w:w="1708"/>
        <w:gridCol w:w="1708"/>
        <w:gridCol w:w="1708"/>
      </w:tblGrid>
      <w:tr>
        <w:tc>
          <w:tcPr>
            <w:tcW w:type="dxa" w:w="1708"/>
            <w:shd w:fill="EAECEE"/>
          </w:tcPr>
          <w:p>
            <w:pPr>
              <w:spacing w:line="240" w:lineRule="auto" w:before="40" w:after="40"/>
              <w:jc w:val="center"/>
            </w:pPr>
            <w:r>
              <w:rPr>
                <w:rFonts w:ascii="Times New Roman" w:hAnsi="Times New Roman"/>
                <w:b/>
                <w:sz w:val="20"/>
              </w:rPr>
              <w:t>Dönem / Gösterge</w:t>
            </w:r>
          </w:p>
        </w:tc>
        <w:tc>
          <w:tcPr>
            <w:tcW w:type="dxa" w:w="1708"/>
            <w:shd w:fill="EAECEE"/>
          </w:tcPr>
          <w:p>
            <w:pPr>
              <w:spacing w:line="240" w:lineRule="auto" w:before="40" w:after="40"/>
              <w:jc w:val="center"/>
            </w:pPr>
            <w:r>
              <w:rPr>
                <w:rFonts w:ascii="Times New Roman" w:hAnsi="Times New Roman"/>
                <w:b/>
                <w:sz w:val="20"/>
              </w:rPr>
              <w:t>Savunma Sanayii Odaklı Sınıflar</w:t>
            </w:r>
          </w:p>
        </w:tc>
        <w:tc>
          <w:tcPr>
            <w:tcW w:type="dxa" w:w="1708"/>
            <w:shd w:fill="EAECEE"/>
          </w:tcPr>
          <w:p>
            <w:pPr>
              <w:spacing w:line="240" w:lineRule="auto" w:before="40" w:after="40"/>
              <w:jc w:val="center"/>
            </w:pPr>
            <w:r>
              <w:rPr>
                <w:rFonts w:ascii="Times New Roman" w:hAnsi="Times New Roman"/>
                <w:b/>
                <w:sz w:val="20"/>
              </w:rPr>
              <w:t>Sivil Yüksek Teknoloji (Bilişim/Otomotiv)</w:t>
            </w:r>
          </w:p>
        </w:tc>
        <w:tc>
          <w:tcPr>
            <w:tcW w:type="dxa" w:w="1708"/>
            <w:shd w:fill="EAECEE"/>
          </w:tcPr>
          <w:p>
            <w:pPr>
              <w:spacing w:line="240" w:lineRule="auto" w:before="40" w:after="40"/>
              <w:jc w:val="center"/>
            </w:pPr>
            <w:r>
              <w:rPr>
                <w:rFonts w:ascii="Times New Roman" w:hAnsi="Times New Roman"/>
                <w:b/>
                <w:sz w:val="20"/>
              </w:rPr>
              <w:t>Geleneksel İmalat ve Tüketim Malları</w:t>
            </w:r>
          </w:p>
        </w:tc>
        <w:tc>
          <w:tcPr>
            <w:tcW w:type="dxa" w:w="1708"/>
            <w:shd w:fill="EAECEE"/>
          </w:tcPr>
          <w:p>
            <w:pPr>
              <w:spacing w:line="240" w:lineRule="auto" w:before="40" w:after="40"/>
              <w:jc w:val="center"/>
            </w:pPr>
            <w:r>
              <w:rPr>
                <w:rFonts w:ascii="Times New Roman" w:hAnsi="Times New Roman"/>
                <w:b/>
                <w:sz w:val="20"/>
              </w:rPr>
              <w:t>Toplam Tescil Evreni</w:t>
            </w:r>
          </w:p>
        </w:tc>
      </w:tr>
      <w:tr>
        <w:tc>
          <w:tcPr>
            <w:tcW w:type="dxa" w:w="1708"/>
          </w:tcPr>
          <w:p>
            <w:pPr>
              <w:spacing w:line="240" w:lineRule="auto" w:before="40" w:after="40"/>
              <w:jc w:val="left"/>
            </w:pPr>
            <w:r>
              <w:rPr>
                <w:rFonts w:ascii="Times New Roman" w:hAnsi="Times New Roman"/>
                <w:sz w:val="20"/>
              </w:rPr>
              <w:t>**2010–2015 (Kurulum)**</w:t>
            </w:r>
          </w:p>
        </w:tc>
        <w:tc>
          <w:tcPr>
            <w:tcW w:type="dxa" w:w="1708"/>
          </w:tcPr>
          <w:p>
            <w:pPr>
              <w:spacing w:line="240" w:lineRule="auto" w:before="40" w:after="40"/>
              <w:jc w:val="center"/>
            </w:pPr>
            <w:r>
              <w:rPr>
                <w:rFonts w:ascii="Times New Roman" w:hAnsi="Times New Roman"/>
                <w:sz w:val="20"/>
              </w:rPr>
              <w:t>1.842</w:t>
            </w:r>
          </w:p>
        </w:tc>
        <w:tc>
          <w:tcPr>
            <w:tcW w:type="dxa" w:w="1708"/>
          </w:tcPr>
          <w:p>
            <w:pPr>
              <w:spacing w:line="240" w:lineRule="auto" w:before="40" w:after="40"/>
              <w:jc w:val="center"/>
            </w:pPr>
            <w:r>
              <w:rPr>
                <w:rFonts w:ascii="Times New Roman" w:hAnsi="Times New Roman"/>
                <w:sz w:val="20"/>
              </w:rPr>
              <w:t>8.420</w:t>
            </w:r>
          </w:p>
        </w:tc>
        <w:tc>
          <w:tcPr>
            <w:tcW w:type="dxa" w:w="1708"/>
          </w:tcPr>
          <w:p>
            <w:pPr>
              <w:spacing w:line="240" w:lineRule="auto" w:before="40" w:after="40"/>
              <w:jc w:val="center"/>
            </w:pPr>
            <w:r>
              <w:rPr>
                <w:rFonts w:ascii="Times New Roman" w:hAnsi="Times New Roman"/>
                <w:sz w:val="20"/>
              </w:rPr>
              <w:t>11.238</w:t>
            </w:r>
          </w:p>
        </w:tc>
        <w:tc>
          <w:tcPr>
            <w:tcW w:type="dxa" w:w="1708"/>
          </w:tcPr>
          <w:p>
            <w:pPr>
              <w:spacing w:line="240" w:lineRule="auto" w:before="40" w:after="40"/>
              <w:jc w:val="center"/>
            </w:pPr>
            <w:r>
              <w:rPr>
                <w:rFonts w:ascii="Times New Roman" w:hAnsi="Times New Roman"/>
                <w:sz w:val="20"/>
              </w:rPr>
              <w:t>21.500</w:t>
            </w:r>
          </w:p>
        </w:tc>
      </w:tr>
      <w:tr>
        <w:tc>
          <w:tcPr>
            <w:tcW w:type="dxa" w:w="1708"/>
          </w:tcPr>
          <w:p>
            <w:pPr>
              <w:spacing w:line="240" w:lineRule="auto" w:before="40" w:after="40"/>
              <w:jc w:val="left"/>
            </w:pPr>
            <w:r>
              <w:rPr>
                <w:rFonts w:ascii="Times New Roman" w:hAnsi="Times New Roman"/>
                <w:sz w:val="20"/>
              </w:rPr>
              <w:t>**2016–2019 (İvmelenme)**</w:t>
            </w:r>
          </w:p>
        </w:tc>
        <w:tc>
          <w:tcPr>
            <w:tcW w:type="dxa" w:w="1708"/>
          </w:tcPr>
          <w:p>
            <w:pPr>
              <w:spacing w:line="240" w:lineRule="auto" w:before="40" w:after="40"/>
              <w:jc w:val="center"/>
            </w:pPr>
            <w:r>
              <w:rPr>
                <w:rFonts w:ascii="Times New Roman" w:hAnsi="Times New Roman"/>
                <w:sz w:val="20"/>
              </w:rPr>
              <w:t>4.120</w:t>
            </w:r>
          </w:p>
        </w:tc>
        <w:tc>
          <w:tcPr>
            <w:tcW w:type="dxa" w:w="1708"/>
          </w:tcPr>
          <w:p>
            <w:pPr>
              <w:spacing w:line="240" w:lineRule="auto" w:before="40" w:after="40"/>
              <w:jc w:val="center"/>
            </w:pPr>
            <w:r>
              <w:rPr>
                <w:rFonts w:ascii="Times New Roman" w:hAnsi="Times New Roman"/>
                <w:sz w:val="20"/>
              </w:rPr>
              <w:t>12.650</w:t>
            </w:r>
          </w:p>
        </w:tc>
        <w:tc>
          <w:tcPr>
            <w:tcW w:type="dxa" w:w="1708"/>
          </w:tcPr>
          <w:p>
            <w:pPr>
              <w:spacing w:line="240" w:lineRule="auto" w:before="40" w:after="40"/>
              <w:jc w:val="center"/>
            </w:pPr>
            <w:r>
              <w:rPr>
                <w:rFonts w:ascii="Times New Roman" w:hAnsi="Times New Roman"/>
                <w:sz w:val="20"/>
              </w:rPr>
              <w:t>13.230</w:t>
            </w:r>
          </w:p>
        </w:tc>
        <w:tc>
          <w:tcPr>
            <w:tcW w:type="dxa" w:w="1708"/>
          </w:tcPr>
          <w:p>
            <w:pPr>
              <w:spacing w:line="240" w:lineRule="auto" w:before="40" w:after="40"/>
              <w:jc w:val="center"/>
            </w:pPr>
            <w:r>
              <w:rPr>
                <w:rFonts w:ascii="Times New Roman" w:hAnsi="Times New Roman"/>
                <w:sz w:val="20"/>
              </w:rPr>
              <w:t>30.000</w:t>
            </w:r>
          </w:p>
        </w:tc>
      </w:tr>
      <w:tr>
        <w:tc>
          <w:tcPr>
            <w:tcW w:type="dxa" w:w="1708"/>
          </w:tcPr>
          <w:p>
            <w:pPr>
              <w:spacing w:line="240" w:lineRule="auto" w:before="40" w:after="40"/>
              <w:jc w:val="left"/>
            </w:pPr>
            <w:r>
              <w:rPr>
                <w:rFonts w:ascii="Times New Roman" w:hAnsi="Times New Roman"/>
                <w:sz w:val="20"/>
              </w:rPr>
              <w:t>**2020–2024 (Olgunluk)**</w:t>
            </w:r>
          </w:p>
        </w:tc>
        <w:tc>
          <w:tcPr>
            <w:tcW w:type="dxa" w:w="1708"/>
          </w:tcPr>
          <w:p>
            <w:pPr>
              <w:spacing w:line="240" w:lineRule="auto" w:before="40" w:after="40"/>
              <w:jc w:val="center"/>
            </w:pPr>
            <w:r>
              <w:rPr>
                <w:rFonts w:ascii="Times New Roman" w:hAnsi="Times New Roman"/>
                <w:sz w:val="20"/>
              </w:rPr>
              <w:t>8.560</w:t>
            </w:r>
          </w:p>
        </w:tc>
        <w:tc>
          <w:tcPr>
            <w:tcW w:type="dxa" w:w="1708"/>
          </w:tcPr>
          <w:p>
            <w:pPr>
              <w:spacing w:line="240" w:lineRule="auto" w:before="40" w:after="40"/>
              <w:jc w:val="center"/>
            </w:pPr>
            <w:r>
              <w:rPr>
                <w:rFonts w:ascii="Times New Roman" w:hAnsi="Times New Roman"/>
                <w:sz w:val="20"/>
              </w:rPr>
              <w:t>18.940</w:t>
            </w:r>
          </w:p>
        </w:tc>
        <w:tc>
          <w:tcPr>
            <w:tcW w:type="dxa" w:w="1708"/>
          </w:tcPr>
          <w:p>
            <w:pPr>
              <w:spacing w:line="240" w:lineRule="auto" w:before="40" w:after="40"/>
              <w:jc w:val="center"/>
            </w:pPr>
            <w:r>
              <w:rPr>
                <w:rFonts w:ascii="Times New Roman" w:hAnsi="Times New Roman"/>
                <w:sz w:val="20"/>
              </w:rPr>
              <w:t>14.240</w:t>
            </w:r>
          </w:p>
        </w:tc>
        <w:tc>
          <w:tcPr>
            <w:tcW w:type="dxa" w:w="1708"/>
          </w:tcPr>
          <w:p>
            <w:pPr>
              <w:spacing w:line="240" w:lineRule="auto" w:before="40" w:after="40"/>
              <w:jc w:val="center"/>
            </w:pPr>
            <w:r>
              <w:rPr>
                <w:rFonts w:ascii="Times New Roman" w:hAnsi="Times New Roman"/>
                <w:sz w:val="20"/>
              </w:rPr>
              <w:t>41.740</w:t>
            </w:r>
          </w:p>
        </w:tc>
      </w:tr>
      <w:tr>
        <w:tc>
          <w:tcPr>
            <w:tcW w:type="dxa" w:w="1708"/>
          </w:tcPr>
          <w:p>
            <w:pPr>
              <w:spacing w:line="240" w:lineRule="auto" w:before="40" w:after="40"/>
              <w:jc w:val="left"/>
            </w:pPr>
            <w:r>
              <w:rPr>
                <w:rFonts w:ascii="Times New Roman" w:hAnsi="Times New Roman"/>
                <w:sz w:val="20"/>
              </w:rPr>
              <w:t>**TOPLAM**</w:t>
            </w:r>
          </w:p>
        </w:tc>
        <w:tc>
          <w:tcPr>
            <w:tcW w:type="dxa" w:w="1708"/>
          </w:tcPr>
          <w:p>
            <w:pPr>
              <w:spacing w:line="240" w:lineRule="auto" w:before="40" w:after="40"/>
              <w:jc w:val="center"/>
            </w:pPr>
            <w:r>
              <w:rPr>
                <w:rFonts w:ascii="Times New Roman" w:hAnsi="Times New Roman"/>
                <w:sz w:val="20"/>
              </w:rPr>
              <w:t>**14.522**</w:t>
            </w:r>
          </w:p>
        </w:tc>
        <w:tc>
          <w:tcPr>
            <w:tcW w:type="dxa" w:w="1708"/>
          </w:tcPr>
          <w:p>
            <w:pPr>
              <w:spacing w:line="240" w:lineRule="auto" w:before="40" w:after="40"/>
              <w:jc w:val="center"/>
            </w:pPr>
            <w:r>
              <w:rPr>
                <w:rFonts w:ascii="Times New Roman" w:hAnsi="Times New Roman"/>
                <w:sz w:val="20"/>
              </w:rPr>
              <w:t>**40.010**</w:t>
            </w:r>
          </w:p>
        </w:tc>
        <w:tc>
          <w:tcPr>
            <w:tcW w:type="dxa" w:w="1708"/>
          </w:tcPr>
          <w:p>
            <w:pPr>
              <w:spacing w:line="240" w:lineRule="auto" w:before="40" w:after="40"/>
              <w:jc w:val="center"/>
            </w:pPr>
            <w:r>
              <w:rPr>
                <w:rFonts w:ascii="Times New Roman" w:hAnsi="Times New Roman"/>
                <w:sz w:val="20"/>
              </w:rPr>
              <w:t>**38.708**</w:t>
            </w:r>
          </w:p>
        </w:tc>
        <w:tc>
          <w:tcPr>
            <w:tcW w:type="dxa" w:w="1708"/>
          </w:tcPr>
          <w:p>
            <w:pPr>
              <w:spacing w:line="240" w:lineRule="auto" w:before="40" w:after="40"/>
              <w:jc w:val="center"/>
            </w:pPr>
            <w:r>
              <w:rPr>
                <w:rFonts w:ascii="Times New Roman" w:hAnsi="Times New Roman"/>
                <w:sz w:val="20"/>
              </w:rPr>
              <w:t>**93.240**</w:t>
            </w:r>
          </w:p>
        </w:tc>
      </w:tr>
      <w:tr>
        <w:tc>
          <w:tcPr>
            <w:tcW w:type="dxa" w:w="1708"/>
          </w:tcPr>
          <w:p>
            <w:pPr>
              <w:spacing w:line="240" w:lineRule="auto" w:before="40" w:after="40"/>
              <w:jc w:val="left"/>
            </w:pPr>
            <w:r>
              <w:rPr>
                <w:rFonts w:ascii="Times New Roman" w:hAnsi="Times New Roman"/>
                <w:sz w:val="20"/>
              </w:rPr>
              <w:t>*Ortalama Atıf Sayısı*</w:t>
            </w:r>
          </w:p>
        </w:tc>
        <w:tc>
          <w:tcPr>
            <w:tcW w:type="dxa" w:w="1708"/>
          </w:tcPr>
          <w:p>
            <w:pPr>
              <w:spacing w:line="240" w:lineRule="auto" w:before="40" w:after="40"/>
              <w:jc w:val="center"/>
            </w:pPr>
            <w:r>
              <w:rPr>
                <w:rFonts w:ascii="Times New Roman" w:hAnsi="Times New Roman"/>
                <w:sz w:val="20"/>
              </w:rPr>
              <w:t>2.84</w:t>
            </w:r>
          </w:p>
        </w:tc>
        <w:tc>
          <w:tcPr>
            <w:tcW w:type="dxa" w:w="1708"/>
          </w:tcPr>
          <w:p>
            <w:pPr>
              <w:spacing w:line="240" w:lineRule="auto" w:before="40" w:after="40"/>
              <w:jc w:val="center"/>
            </w:pPr>
            <w:r>
              <w:rPr>
                <w:rFonts w:ascii="Times New Roman" w:hAnsi="Times New Roman"/>
                <w:sz w:val="20"/>
              </w:rPr>
              <w:t>1.92</w:t>
            </w:r>
          </w:p>
        </w:tc>
        <w:tc>
          <w:tcPr>
            <w:tcW w:type="dxa" w:w="1708"/>
          </w:tcPr>
          <w:p>
            <w:pPr>
              <w:spacing w:line="240" w:lineRule="auto" w:before="40" w:after="40"/>
              <w:jc w:val="center"/>
            </w:pPr>
            <w:r>
              <w:rPr>
                <w:rFonts w:ascii="Times New Roman" w:hAnsi="Times New Roman"/>
                <w:sz w:val="20"/>
              </w:rPr>
              <w:t>0.41</w:t>
            </w:r>
          </w:p>
        </w:tc>
        <w:tc>
          <w:tcPr>
            <w:tcW w:type="dxa" w:w="1708"/>
          </w:tcPr>
          <w:p>
            <w:pPr>
              <w:spacing w:line="240" w:lineRule="auto" w:before="40" w:after="40"/>
              <w:jc w:val="center"/>
            </w:pPr>
            <w:r>
              <w:rPr>
                <w:rFonts w:ascii="Times New Roman" w:hAnsi="Times New Roman"/>
                <w:sz w:val="20"/>
              </w:rPr>
              <w:t>1.48</w:t>
            </w:r>
          </w:p>
        </w:tc>
      </w:tr>
      <w:tr>
        <w:tc>
          <w:tcPr>
            <w:tcW w:type="dxa" w:w="1708"/>
          </w:tcPr>
          <w:p>
            <w:pPr>
              <w:spacing w:line="240" w:lineRule="auto" w:before="40" w:after="40"/>
              <w:jc w:val="left"/>
            </w:pPr>
            <w:r>
              <w:rPr>
                <w:rFonts w:ascii="Times New Roman" w:hAnsi="Times New Roman"/>
                <w:sz w:val="20"/>
              </w:rPr>
              <w:t>*Patent Ailesi (Family Size)*</w:t>
            </w:r>
          </w:p>
        </w:tc>
        <w:tc>
          <w:tcPr>
            <w:tcW w:type="dxa" w:w="1708"/>
          </w:tcPr>
          <w:p>
            <w:pPr>
              <w:spacing w:line="240" w:lineRule="auto" w:before="40" w:after="40"/>
              <w:jc w:val="center"/>
            </w:pPr>
            <w:r>
              <w:rPr>
                <w:rFonts w:ascii="Times New Roman" w:hAnsi="Times New Roman"/>
                <w:sz w:val="20"/>
              </w:rPr>
              <w:t>3.12</w:t>
            </w:r>
          </w:p>
        </w:tc>
        <w:tc>
          <w:tcPr>
            <w:tcW w:type="dxa" w:w="1708"/>
          </w:tcPr>
          <w:p>
            <w:pPr>
              <w:spacing w:line="240" w:lineRule="auto" w:before="40" w:after="40"/>
              <w:jc w:val="center"/>
            </w:pPr>
            <w:r>
              <w:rPr>
                <w:rFonts w:ascii="Times New Roman" w:hAnsi="Times New Roman"/>
                <w:sz w:val="20"/>
              </w:rPr>
              <w:t>2.45</w:t>
            </w:r>
          </w:p>
        </w:tc>
        <w:tc>
          <w:tcPr>
            <w:tcW w:type="dxa" w:w="1708"/>
          </w:tcPr>
          <w:p>
            <w:pPr>
              <w:spacing w:line="240" w:lineRule="auto" w:before="40" w:after="40"/>
              <w:jc w:val="center"/>
            </w:pPr>
            <w:r>
              <w:rPr>
                <w:rFonts w:ascii="Times New Roman" w:hAnsi="Times New Roman"/>
                <w:sz w:val="20"/>
              </w:rPr>
              <w:t>1.15</w:t>
            </w:r>
          </w:p>
        </w:tc>
        <w:tc>
          <w:tcPr>
            <w:tcW w:type="dxa" w:w="1708"/>
          </w:tcPr>
          <w:p>
            <w:pPr>
              <w:spacing w:line="240" w:lineRule="auto" w:before="40" w:after="40"/>
              <w:jc w:val="center"/>
            </w:pPr>
            <w:r>
              <w:rPr>
                <w:rFonts w:ascii="Times New Roman" w:hAnsi="Times New Roman"/>
                <w:sz w:val="20"/>
              </w:rPr>
              <w:t>2.04</w:t>
            </w:r>
          </w:p>
        </w:tc>
      </w:tr>
    </w:tbl>
    <w:p>
      <w:pPr>
        <w:spacing w:after="120"/>
      </w:pPr>
    </w:p>
    <w:p>
      <w:pPr>
        <w:spacing w:line="360" w:lineRule="auto" w:after="120"/>
        <w:ind w:firstLine="576"/>
      </w:pPr>
      <w:r>
        <w:rPr>
          <w:i/>
        </w:rPr>
        <w:t>Not: Veriler TÜRKPATENT Resmî Patent Sicilinden derlenmiş; 4 haneli IPC ve CPC sınıflarına göre kodlanmıştır.</w:t>
      </w:r>
    </w:p>
    <w:p>
      <w:pPr>
        <w:spacing w:after="240"/>
      </w:pPr>
    </w:p>
    <w:p>
      <w:pPr>
        <w:spacing w:before="280" w:after="120"/>
        <w:jc w:val="left"/>
      </w:pPr>
      <w:r>
        <w:rPr>
          <w:b/>
          <w:sz w:val="26"/>
        </w:rPr>
        <w:t>4.2. Griliches Bilgi Üretim Fonksiyonu ($H_1$)</w:t>
      </w:r>
    </w:p>
    <w:p>
      <w:pPr>
        <w:spacing w:line="360" w:lineRule="auto" w:after="120"/>
        <w:ind w:firstLine="576"/>
      </w:pPr>
      <w:r>
        <w:t>Savunma sektörünün Ar-Ge harcamalarını tescilli bilgi stoğuna dönüştürme kapasitesi, Zvi Griliches (1979) Bilgi Üretim Fonksiyonu (</w:t>
      </w:r>
      <w:r>
        <w:rPr>
          <w:i/>
        </w:rPr>
        <w:t>Knowledge Production Function - KPF</w:t>
      </w:r>
      <w:r>
        <w:t>) çerçevesinde Poisson Pseudo-Maximum Likelihood (PPML) yöntemiyle tahmin edilmiştir:</w:t>
      </w:r>
    </w:p>
    <w:p>
      <w:pPr>
        <w:spacing w:before="120" w:after="120"/>
        <w:jc w:val="center"/>
      </w:pPr>
      <w:r>
        <w:rPr>
          <w:i/>
          <w:sz w:val="22"/>
        </w:rPr>
        <w:t>\ln(\text{Defense\_Patents}_t) = \alpha + \beta_1 \ln(\text{Def\_R\&amp;D}_{t-2}) + \beta_2 \ln(\text{Engineers}_t) + \varepsilon_t</w:t>
      </w:r>
    </w:p>
    <w:p>
      <w:pPr>
        <w:spacing w:before="200" w:after="80"/>
        <w:jc w:val="left"/>
      </w:pPr>
      <w:r>
        <w:rPr>
          <w:b/>
          <w:sz w:val="24"/>
        </w:rPr>
        <w:t>Tablo 4.2: Savunma Sanayii Bilgi Üretim Esnekliği Tahmin Sonuçları</w:t>
      </w:r>
    </w:p>
    <w:tbl>
      <w:tblPr>
        <w:tblW w:type="auto" w:w="0"/>
        <w:jc w:val="center"/>
        <w:tblLook w:firstColumn="1" w:firstRow="1" w:lastColumn="0" w:lastRow="0" w:noHBand="0" w:noVBand="1" w:val="04A0"/>
      </w:tblPr>
      <w:tblGrid>
        <w:gridCol w:w="2135"/>
        <w:gridCol w:w="2135"/>
        <w:gridCol w:w="2135"/>
        <w:gridCol w:w="2135"/>
      </w:tblGrid>
      <w:tr>
        <w:tc>
          <w:tcPr>
            <w:tcW w:type="dxa" w:w="2135"/>
            <w:shd w:fill="EAECEE"/>
          </w:tcPr>
          <w:p>
            <w:pPr>
              <w:spacing w:line="240" w:lineRule="auto" w:before="40" w:after="40"/>
              <w:jc w:val="center"/>
            </w:pPr>
            <w:r>
              <w:rPr>
                <w:rFonts w:ascii="Times New Roman" w:hAnsi="Times New Roman"/>
                <w:b/>
                <w:sz w:val="20"/>
              </w:rPr>
              <w:t>Bağımsız Değişken</w:t>
            </w:r>
          </w:p>
        </w:tc>
        <w:tc>
          <w:tcPr>
            <w:tcW w:type="dxa" w:w="2135"/>
            <w:shd w:fill="EAECEE"/>
          </w:tcPr>
          <w:p>
            <w:pPr>
              <w:spacing w:line="240" w:lineRule="auto" w:before="40" w:after="40"/>
              <w:jc w:val="center"/>
            </w:pPr>
            <w:r>
              <w:rPr>
                <w:rFonts w:ascii="Times New Roman" w:hAnsi="Times New Roman"/>
                <w:b/>
                <w:sz w:val="20"/>
              </w:rPr>
              <w:t>Model 1 (Ham KPF)</w:t>
            </w:r>
          </w:p>
        </w:tc>
        <w:tc>
          <w:tcPr>
            <w:tcW w:type="dxa" w:w="2135"/>
            <w:shd w:fill="EAECEE"/>
          </w:tcPr>
          <w:p>
            <w:pPr>
              <w:spacing w:line="240" w:lineRule="auto" w:before="40" w:after="40"/>
              <w:jc w:val="center"/>
            </w:pPr>
            <w:r>
              <w:rPr>
                <w:rFonts w:ascii="Times New Roman" w:hAnsi="Times New Roman"/>
                <w:b/>
                <w:sz w:val="20"/>
              </w:rPr>
              <w:t>Model 2 (+ Mühendislik Kontrolü)</w:t>
            </w:r>
          </w:p>
        </w:tc>
        <w:tc>
          <w:tcPr>
            <w:tcW w:type="dxa" w:w="2135"/>
            <w:shd w:fill="EAECEE"/>
          </w:tcPr>
          <w:p>
            <w:pPr>
              <w:spacing w:line="240" w:lineRule="auto" w:before="40" w:after="40"/>
              <w:jc w:val="center"/>
            </w:pPr>
            <w:r>
              <w:rPr>
                <w:rFonts w:ascii="Times New Roman" w:hAnsi="Times New Roman"/>
                <w:b/>
                <w:sz w:val="20"/>
              </w:rPr>
              <w:t>Model 3 (TWFE PPML)</w:t>
            </w:r>
          </w:p>
        </w:tc>
      </w:tr>
      <w:tr>
        <w:tc>
          <w:tcPr>
            <w:tcW w:type="dxa" w:w="2135"/>
          </w:tcPr>
          <w:p>
            <w:pPr>
              <w:spacing w:line="240" w:lineRule="auto" w:before="40" w:after="40"/>
              <w:jc w:val="left"/>
            </w:pPr>
            <w:r>
              <w:rPr>
                <w:rFonts w:ascii="Times New Roman" w:hAnsi="Times New Roman"/>
                <w:sz w:val="20"/>
              </w:rPr>
              <w:t>$\ln(\text{Def\_R\&amp;D}_{t-2})$</w:t>
            </w:r>
          </w:p>
        </w:tc>
        <w:tc>
          <w:tcPr>
            <w:tcW w:type="dxa" w:w="2135"/>
          </w:tcPr>
          <w:p>
            <w:pPr>
              <w:spacing w:line="240" w:lineRule="auto" w:before="40" w:after="40"/>
              <w:jc w:val="center"/>
            </w:pPr>
            <w:r>
              <w:rPr>
                <w:rFonts w:ascii="Times New Roman" w:hAnsi="Times New Roman"/>
                <w:sz w:val="20"/>
              </w:rPr>
              <w:t>**$1.5566^{***}$** *(0.241)*</w:t>
            </w:r>
          </w:p>
        </w:tc>
        <w:tc>
          <w:tcPr>
            <w:tcW w:type="dxa" w:w="2135"/>
          </w:tcPr>
          <w:p>
            <w:pPr>
              <w:spacing w:line="240" w:lineRule="auto" w:before="40" w:after="40"/>
              <w:jc w:val="center"/>
            </w:pPr>
            <w:r>
              <w:rPr>
                <w:rFonts w:ascii="Times New Roman" w:hAnsi="Times New Roman"/>
                <w:sz w:val="20"/>
              </w:rPr>
              <w:t>**$1.4120^{***}$** *(0.218)*</w:t>
            </w:r>
          </w:p>
        </w:tc>
        <w:tc>
          <w:tcPr>
            <w:tcW w:type="dxa" w:w="2135"/>
          </w:tcPr>
          <w:p>
            <w:pPr>
              <w:spacing w:line="240" w:lineRule="auto" w:before="40" w:after="40"/>
              <w:jc w:val="center"/>
            </w:pPr>
            <w:r>
              <w:rPr>
                <w:rFonts w:ascii="Times New Roman" w:hAnsi="Times New Roman"/>
                <w:sz w:val="20"/>
              </w:rPr>
              <w:t>**$1.3850^{***}$** *(0.194)*</w:t>
            </w:r>
          </w:p>
        </w:tc>
      </w:tr>
      <w:tr>
        <w:tc>
          <w:tcPr>
            <w:tcW w:type="dxa" w:w="2135"/>
          </w:tcPr>
          <w:p>
            <w:pPr>
              <w:spacing w:line="240" w:lineRule="auto" w:before="40" w:after="40"/>
              <w:jc w:val="left"/>
            </w:pPr>
            <w:r>
              <w:rPr>
                <w:rFonts w:ascii="Times New Roman" w:hAnsi="Times New Roman"/>
                <w:sz w:val="20"/>
              </w:rPr>
              <w:t>$\ln(\text{Engineers}_t)$</w:t>
            </w:r>
          </w:p>
        </w:tc>
        <w:tc>
          <w:tcPr>
            <w:tcW w:type="dxa" w:w="2135"/>
          </w:tcPr>
          <w:p>
            <w:pPr>
              <w:spacing w:line="240" w:lineRule="auto" w:before="40" w:after="40"/>
              <w:jc w:val="center"/>
            </w:pPr>
            <w:r>
              <w:rPr>
                <w:rFonts w:ascii="Times New Roman" w:hAnsi="Times New Roman"/>
                <w:sz w:val="20"/>
              </w:rPr>
              <w:t>—</w:t>
            </w:r>
          </w:p>
        </w:tc>
        <w:tc>
          <w:tcPr>
            <w:tcW w:type="dxa" w:w="2135"/>
          </w:tcPr>
          <w:p>
            <w:pPr>
              <w:spacing w:line="240" w:lineRule="auto" w:before="40" w:after="40"/>
              <w:jc w:val="center"/>
            </w:pPr>
            <w:r>
              <w:rPr>
                <w:rFonts w:ascii="Times New Roman" w:hAnsi="Times New Roman"/>
                <w:sz w:val="20"/>
              </w:rPr>
              <w:t>$0.4125^{**}$ *(0.182)*</w:t>
            </w:r>
          </w:p>
        </w:tc>
        <w:tc>
          <w:tcPr>
            <w:tcW w:type="dxa" w:w="2135"/>
          </w:tcPr>
          <w:p>
            <w:pPr>
              <w:spacing w:line="240" w:lineRule="auto" w:before="40" w:after="40"/>
              <w:jc w:val="center"/>
            </w:pPr>
            <w:r>
              <w:rPr>
                <w:rFonts w:ascii="Times New Roman" w:hAnsi="Times New Roman"/>
                <w:sz w:val="20"/>
              </w:rPr>
              <w:t>$0.3890^{**}$ *(0.171)*</w:t>
            </w:r>
          </w:p>
        </w:tc>
      </w:tr>
      <w:tr>
        <w:tc>
          <w:tcPr>
            <w:tcW w:type="dxa" w:w="2135"/>
          </w:tcPr>
          <w:p>
            <w:pPr>
              <w:spacing w:line="240" w:lineRule="auto" w:before="40" w:after="40"/>
              <w:jc w:val="left"/>
            </w:pPr>
            <w:r>
              <w:rPr>
                <w:rFonts w:ascii="Times New Roman" w:hAnsi="Times New Roman"/>
                <w:sz w:val="20"/>
              </w:rPr>
              <w:t>Gözlem Sayısı ($N \times T$)</w:t>
            </w:r>
          </w:p>
        </w:tc>
        <w:tc>
          <w:tcPr>
            <w:tcW w:type="dxa" w:w="2135"/>
          </w:tcPr>
          <w:p>
            <w:pPr>
              <w:spacing w:line="240" w:lineRule="auto" w:before="40" w:after="40"/>
              <w:jc w:val="center"/>
            </w:pPr>
            <w:r>
              <w:rPr>
                <w:rFonts w:ascii="Times New Roman" w:hAnsi="Times New Roman"/>
                <w:sz w:val="20"/>
              </w:rPr>
              <w:t>15 Yıl (Konsolide)</w:t>
            </w:r>
          </w:p>
        </w:tc>
        <w:tc>
          <w:tcPr>
            <w:tcW w:type="dxa" w:w="2135"/>
          </w:tcPr>
          <w:p>
            <w:pPr>
              <w:spacing w:line="240" w:lineRule="auto" w:before="40" w:after="40"/>
              <w:jc w:val="center"/>
            </w:pPr>
            <w:r>
              <w:rPr>
                <w:rFonts w:ascii="Times New Roman" w:hAnsi="Times New Roman"/>
                <w:sz w:val="20"/>
              </w:rPr>
              <w:t>15 Yıl</w:t>
            </w:r>
          </w:p>
        </w:tc>
        <w:tc>
          <w:tcPr>
            <w:tcW w:type="dxa" w:w="2135"/>
          </w:tcPr>
          <w:p>
            <w:pPr>
              <w:spacing w:line="240" w:lineRule="auto" w:before="40" w:after="40"/>
              <w:jc w:val="center"/>
            </w:pPr>
            <w:r>
              <w:rPr>
                <w:rFonts w:ascii="Times New Roman" w:hAnsi="Times New Roman"/>
                <w:sz w:val="20"/>
              </w:rPr>
              <w:t>90 Firma-Yıl</w:t>
            </w:r>
          </w:p>
        </w:tc>
      </w:tr>
      <w:tr>
        <w:tc>
          <w:tcPr>
            <w:tcW w:type="dxa" w:w="2135"/>
          </w:tcPr>
          <w:p>
            <w:pPr>
              <w:spacing w:line="240" w:lineRule="auto" w:before="40" w:after="40"/>
              <w:jc w:val="left"/>
            </w:pPr>
            <w:r>
              <w:rPr>
                <w:rFonts w:ascii="Times New Roman" w:hAnsi="Times New Roman"/>
                <w:sz w:val="20"/>
              </w:rPr>
              <w:t>$R^2$ / Pseudo-$R^2$</w:t>
            </w:r>
          </w:p>
        </w:tc>
        <w:tc>
          <w:tcPr>
            <w:tcW w:type="dxa" w:w="2135"/>
          </w:tcPr>
          <w:p>
            <w:pPr>
              <w:spacing w:line="240" w:lineRule="auto" w:before="40" w:after="40"/>
              <w:jc w:val="center"/>
            </w:pPr>
            <w:r>
              <w:rPr>
                <w:rFonts w:ascii="Times New Roman" w:hAnsi="Times New Roman"/>
                <w:sz w:val="20"/>
              </w:rPr>
              <w:t>0.884</w:t>
            </w:r>
          </w:p>
        </w:tc>
        <w:tc>
          <w:tcPr>
            <w:tcW w:type="dxa" w:w="2135"/>
          </w:tcPr>
          <w:p>
            <w:pPr>
              <w:spacing w:line="240" w:lineRule="auto" w:before="40" w:after="40"/>
              <w:jc w:val="center"/>
            </w:pPr>
            <w:r>
              <w:rPr>
                <w:rFonts w:ascii="Times New Roman" w:hAnsi="Times New Roman"/>
                <w:sz w:val="20"/>
              </w:rPr>
              <w:t>0.912</w:t>
            </w:r>
          </w:p>
        </w:tc>
        <w:tc>
          <w:tcPr>
            <w:tcW w:type="dxa" w:w="2135"/>
          </w:tcPr>
          <w:p>
            <w:pPr>
              <w:spacing w:line="240" w:lineRule="auto" w:before="40" w:after="40"/>
              <w:jc w:val="center"/>
            </w:pPr>
            <w:r>
              <w:rPr>
                <w:rFonts w:ascii="Times New Roman" w:hAnsi="Times New Roman"/>
                <w:sz w:val="20"/>
              </w:rPr>
              <w:t>0.938</w:t>
            </w:r>
          </w:p>
        </w:tc>
      </w:tr>
    </w:tbl>
    <w:p>
      <w:pPr>
        <w:spacing w:after="120"/>
      </w:pPr>
    </w:p>
    <w:p>
      <w:pPr>
        <w:spacing w:line="360" w:lineRule="auto" w:after="120"/>
        <w:ind w:firstLine="576"/>
      </w:pPr>
      <w:r>
        <w:rPr>
          <w:i/>
        </w:rPr>
        <w:t>Standart hatalar parantez içindedir. $^{</w:t>
      </w:r>
      <w:r>
        <w:rPr>
          <w:b/>
          <w:i/>
        </w:rPr>
        <w:t>} p &lt; 0.01, ^{</w:t>
      </w:r>
      <w:r>
        <w:t>} p &lt; 0.05$.</w:t>
      </w:r>
    </w:p>
    <w:p>
      <w:pPr>
        <w:spacing w:line="360" w:lineRule="auto" w:after="120"/>
        <w:ind w:firstLine="576"/>
      </w:pPr>
      <w:r>
        <w:rPr>
          <w:b/>
        </w:rPr>
        <w:t>İktisadi Yorum:</w:t>
      </w:r>
      <w:r>
        <w:t xml:space="preserve"> Savunma Ar-Ge harcamalarının 2 yıl gecikmeli katsayısı $\beta = 1.5566^{</w:t>
      </w:r>
      <w:r>
        <w:rPr>
          <w:b/>
          <w:i/>
        </w:rPr>
        <w:t>}$ çıkmıştır. Türkiye savunma ekosistemine yatırılan her $\%1$'lik ilave reel Ar-Ge kaynağı, 2 yıl sonra savunma patent tescillerinde $\%1.55$'lik bir artış yaratmaktadır. $\beta &gt; 1$ bulunması, savunma sektöründe ölçeğe göre artan bilgi getirisi (</w:t>
      </w:r>
      <w:r>
        <w:rPr>
          <w:b/>
        </w:rPr>
        <w:t>increasing returns to scale</w:t>
      </w:r>
      <w:r>
        <w:rPr>
          <w:b/>
          <w:i/>
        </w:rPr>
        <w:t>) olduğunu kanıtlamaktadır.</w:t>
      </w:r>
    </w:p>
    <w:p>
      <w:pPr>
        <w:spacing w:after="240"/>
      </w:pPr>
    </w:p>
    <w:p>
      <w:pPr>
        <w:spacing w:before="280" w:after="120"/>
        <w:jc w:val="left"/>
      </w:pPr>
      <w:r>
        <w:rPr>
          <w:b/>
          <w:sz w:val="26"/>
        </w:rPr>
        <w:t>4.3. Sivil Sanayiye Doğrudan Yayılma ve Jaffe Kritik Teknolojik Eşiği ($H_2$ ve $H_3$)</w:t>
      </w:r>
    </w:p>
    <w:p>
      <w:pPr>
        <w:spacing w:line="360" w:lineRule="auto" w:after="120"/>
        <w:ind w:firstLine="576"/>
      </w:pPr>
      <w:r>
        <w:t>Savunma teknolojilerinin sivil firmaların patent üretimini tetikleme gücü ve teknolojik yakınlığın (</w:t>
      </w:r>
      <w:r>
        <w:rPr>
          <w:i/>
        </w:rPr>
        <w:t>technological proximity</w:t>
      </w:r>
      <w:r>
        <w:t>) düzenleyici rolü Jaffe (1986, 1993) etkileşim modeliyle sınanmıştır:</w:t>
      </w:r>
    </w:p>
    <w:p>
      <w:pPr>
        <w:spacing w:before="120" w:after="120"/>
        <w:jc w:val="center"/>
      </w:pPr>
      <w:r>
        <w:rPr>
          <w:i/>
          <w:sz w:val="22"/>
        </w:rPr>
        <w:t>\mathbb{E}[Y_{it}] = \exp\left( \alpha_i + \lambda_t + \beta_1 \ln(\text{Def\_R\&amp;D}_{t-2}) + \beta_2 \text{Jaffe}_i + \beta_3 (\ln(\text{Def\_R\&amp;D}_{t-2}) \times \text{Jaffe}_i) + \gamma \ln(\text{Sales}_{it}) \right)</w:t>
      </w:r>
    </w:p>
    <w:p>
      <w:pPr>
        <w:spacing w:before="200" w:after="80"/>
        <w:jc w:val="left"/>
      </w:pPr>
      <w:r>
        <w:rPr>
          <w:b/>
          <w:sz w:val="24"/>
        </w:rPr>
        <w:t>Tablo 4.3: Çift Sabit Etkili Panel Regresyon ve Eşik Analizi Sonuçları</w:t>
      </w:r>
    </w:p>
    <w:tbl>
      <w:tblPr>
        <w:tblW w:type="auto" w:w="0"/>
        <w:jc w:val="center"/>
        <w:tblLook w:firstColumn="1" w:firstRow="1" w:lastColumn="0" w:lastRow="0" w:noHBand="0" w:noVBand="1" w:val="04A0"/>
      </w:tblPr>
      <w:tblGrid>
        <w:gridCol w:w="1423"/>
        <w:gridCol w:w="1423"/>
        <w:gridCol w:w="1423"/>
        <w:gridCol w:w="1423"/>
        <w:gridCol w:w="1423"/>
        <w:gridCol w:w="1423"/>
      </w:tblGrid>
      <w:tr>
        <w:tc>
          <w:tcPr>
            <w:tcW w:type="dxa" w:w="1423"/>
            <w:shd w:fill="EAECEE"/>
          </w:tcPr>
          <w:p>
            <w:pPr>
              <w:spacing w:line="240" w:lineRule="auto" w:before="40" w:after="40"/>
              <w:jc w:val="center"/>
            </w:pPr>
            <w:r>
              <w:rPr>
                <w:rFonts w:ascii="Times New Roman" w:hAnsi="Times New Roman"/>
                <w:b/>
                <w:sz w:val="20"/>
              </w:rPr>
              <w:t>Parametre</w:t>
            </w:r>
          </w:p>
        </w:tc>
        <w:tc>
          <w:tcPr>
            <w:tcW w:type="dxa" w:w="1423"/>
            <w:shd w:fill="EAECEE"/>
          </w:tcPr>
          <w:p>
            <w:pPr>
              <w:spacing w:line="240" w:lineRule="auto" w:before="40" w:after="40"/>
              <w:jc w:val="center"/>
            </w:pPr>
            <w:r>
              <w:rPr>
                <w:rFonts w:ascii="Times New Roman" w:hAnsi="Times New Roman"/>
                <w:b/>
                <w:sz w:val="20"/>
              </w:rPr>
              <w:t>Katsayı ($\beta$)</w:t>
            </w:r>
          </w:p>
        </w:tc>
        <w:tc>
          <w:tcPr>
            <w:tcW w:type="dxa" w:w="1423"/>
            <w:shd w:fill="EAECEE"/>
          </w:tcPr>
          <w:p>
            <w:pPr>
              <w:spacing w:line="240" w:lineRule="auto" w:before="40" w:after="40"/>
              <w:jc w:val="center"/>
            </w:pPr>
            <w:r>
              <w:rPr>
                <w:rFonts w:ascii="Times New Roman" w:hAnsi="Times New Roman"/>
                <w:b/>
                <w:sz w:val="20"/>
              </w:rPr>
              <w:t>Dirençli Std. Hata</w:t>
            </w:r>
          </w:p>
        </w:tc>
        <w:tc>
          <w:tcPr>
            <w:tcW w:type="dxa" w:w="1423"/>
            <w:shd w:fill="EAECEE"/>
          </w:tcPr>
          <w:p>
            <w:pPr>
              <w:spacing w:line="240" w:lineRule="auto" w:before="40" w:after="40"/>
              <w:jc w:val="center"/>
            </w:pPr>
            <w:r>
              <w:rPr>
                <w:rFonts w:ascii="Times New Roman" w:hAnsi="Times New Roman"/>
                <w:b/>
                <w:sz w:val="20"/>
              </w:rPr>
              <w:t>$z$-Değeri</w:t>
            </w:r>
          </w:p>
        </w:tc>
        <w:tc>
          <w:tcPr>
            <w:tcW w:type="dxa" w:w="1423"/>
            <w:shd w:fill="EAECEE"/>
          </w:tcPr>
          <w:p>
            <w:pPr>
              <w:spacing w:line="240" w:lineRule="auto" w:before="40" w:after="40"/>
              <w:jc w:val="center"/>
            </w:pPr>
            <w:r>
              <w:rPr>
                <w:rFonts w:ascii="Times New Roman" w:hAnsi="Times New Roman"/>
                <w:b/>
                <w:sz w:val="20"/>
              </w:rPr>
              <w:t>$p$-Değeri</w:t>
            </w:r>
          </w:p>
        </w:tc>
        <w:tc>
          <w:tcPr>
            <w:tcW w:type="dxa" w:w="1423"/>
            <w:shd w:fill="EAECEE"/>
          </w:tcPr>
          <w:p>
            <w:pPr>
              <w:spacing w:line="240" w:lineRule="auto" w:before="40" w:after="40"/>
              <w:jc w:val="center"/>
            </w:pPr>
            <w:r>
              <w:rPr>
                <w:rFonts w:ascii="Times New Roman" w:hAnsi="Times New Roman"/>
                <w:b/>
                <w:sz w:val="20"/>
              </w:rPr>
              <w:t>İktisadi Anlamı</w:t>
            </w:r>
          </w:p>
        </w:tc>
      </w:tr>
      <w:tr>
        <w:tc>
          <w:tcPr>
            <w:tcW w:type="dxa" w:w="1423"/>
          </w:tcPr>
          <w:p>
            <w:pPr>
              <w:spacing w:line="240" w:lineRule="auto" w:before="40" w:after="40"/>
              <w:jc w:val="left"/>
            </w:pPr>
            <w:r>
              <w:rPr>
                <w:rFonts w:ascii="Times New Roman" w:hAnsi="Times New Roman"/>
                <w:sz w:val="20"/>
              </w:rPr>
              <w:t>**Savunma Ar-Ge ($\beta_1$)**</w:t>
            </w:r>
          </w:p>
        </w:tc>
        <w:tc>
          <w:tcPr>
            <w:tcW w:type="dxa" w:w="1423"/>
          </w:tcPr>
          <w:p>
            <w:pPr>
              <w:spacing w:line="240" w:lineRule="auto" w:before="40" w:after="40"/>
              <w:jc w:val="center"/>
            </w:pPr>
            <w:r>
              <w:rPr>
                <w:rFonts w:ascii="Times New Roman" w:hAnsi="Times New Roman"/>
                <w:sz w:val="20"/>
              </w:rPr>
              <w:t>**$-1.2161^{***}$**</w:t>
            </w:r>
          </w:p>
        </w:tc>
        <w:tc>
          <w:tcPr>
            <w:tcW w:type="dxa" w:w="1423"/>
          </w:tcPr>
          <w:p>
            <w:pPr>
              <w:spacing w:line="240" w:lineRule="auto" w:before="40" w:after="40"/>
              <w:jc w:val="center"/>
            </w:pPr>
            <w:r>
              <w:rPr>
                <w:rFonts w:ascii="Times New Roman" w:hAnsi="Times New Roman"/>
                <w:sz w:val="20"/>
              </w:rPr>
              <w:t>0.384</w:t>
            </w:r>
          </w:p>
        </w:tc>
        <w:tc>
          <w:tcPr>
            <w:tcW w:type="dxa" w:w="1423"/>
          </w:tcPr>
          <w:p>
            <w:pPr>
              <w:spacing w:line="240" w:lineRule="auto" w:before="40" w:after="40"/>
              <w:jc w:val="center"/>
            </w:pPr>
            <w:r>
              <w:rPr>
                <w:rFonts w:ascii="Times New Roman" w:hAnsi="Times New Roman"/>
                <w:sz w:val="20"/>
              </w:rPr>
              <w:t>-3.17</w:t>
            </w:r>
          </w:p>
        </w:tc>
        <w:tc>
          <w:tcPr>
            <w:tcW w:type="dxa" w:w="1423"/>
          </w:tcPr>
          <w:p>
            <w:pPr>
              <w:spacing w:line="240" w:lineRule="auto" w:before="40" w:after="40"/>
              <w:jc w:val="center"/>
            </w:pPr>
            <w:r>
              <w:rPr>
                <w:rFonts w:ascii="Times New Roman" w:hAnsi="Times New Roman"/>
                <w:sz w:val="20"/>
              </w:rPr>
              <w:t>0.0015</w:t>
            </w:r>
          </w:p>
        </w:tc>
        <w:tc>
          <w:tcPr>
            <w:tcW w:type="dxa" w:w="1423"/>
          </w:tcPr>
          <w:p>
            <w:pPr>
              <w:spacing w:line="240" w:lineRule="auto" w:before="40" w:after="40"/>
              <w:jc w:val="center"/>
            </w:pPr>
            <w:r>
              <w:rPr>
                <w:rFonts w:ascii="Times New Roman" w:hAnsi="Times New Roman"/>
                <w:sz w:val="20"/>
              </w:rPr>
              <w:t>Temel Dışlama (*Base Crowding-Out*)</w:t>
            </w:r>
          </w:p>
        </w:tc>
      </w:tr>
      <w:tr>
        <w:tc>
          <w:tcPr>
            <w:tcW w:type="dxa" w:w="1423"/>
          </w:tcPr>
          <w:p>
            <w:pPr>
              <w:spacing w:line="240" w:lineRule="auto" w:before="40" w:after="40"/>
              <w:jc w:val="left"/>
            </w:pPr>
            <w:r>
              <w:rPr>
                <w:rFonts w:ascii="Times New Roman" w:hAnsi="Times New Roman"/>
                <w:sz w:val="20"/>
              </w:rPr>
              <w:t>**Jaffe Yakınlığı ($\beta_2$)**</w:t>
            </w:r>
          </w:p>
        </w:tc>
        <w:tc>
          <w:tcPr>
            <w:tcW w:type="dxa" w:w="1423"/>
          </w:tcPr>
          <w:p>
            <w:pPr>
              <w:spacing w:line="240" w:lineRule="auto" w:before="40" w:after="40"/>
              <w:jc w:val="center"/>
            </w:pPr>
            <w:r>
              <w:rPr>
                <w:rFonts w:ascii="Times New Roman" w:hAnsi="Times New Roman"/>
                <w:sz w:val="20"/>
              </w:rPr>
              <w:t>**$-2.4150^{**}$**</w:t>
            </w:r>
          </w:p>
        </w:tc>
        <w:tc>
          <w:tcPr>
            <w:tcW w:type="dxa" w:w="1423"/>
          </w:tcPr>
          <w:p>
            <w:pPr>
              <w:spacing w:line="240" w:lineRule="auto" w:before="40" w:after="40"/>
              <w:jc w:val="center"/>
            </w:pPr>
            <w:r>
              <w:rPr>
                <w:rFonts w:ascii="Times New Roman" w:hAnsi="Times New Roman"/>
                <w:sz w:val="20"/>
              </w:rPr>
              <w:t>1.120</w:t>
            </w:r>
          </w:p>
        </w:tc>
        <w:tc>
          <w:tcPr>
            <w:tcW w:type="dxa" w:w="1423"/>
          </w:tcPr>
          <w:p>
            <w:pPr>
              <w:spacing w:line="240" w:lineRule="auto" w:before="40" w:after="40"/>
              <w:jc w:val="center"/>
            </w:pPr>
            <w:r>
              <w:rPr>
                <w:rFonts w:ascii="Times New Roman" w:hAnsi="Times New Roman"/>
                <w:sz w:val="20"/>
              </w:rPr>
              <w:t>-2.16</w:t>
            </w:r>
          </w:p>
        </w:tc>
        <w:tc>
          <w:tcPr>
            <w:tcW w:type="dxa" w:w="1423"/>
          </w:tcPr>
          <w:p>
            <w:pPr>
              <w:spacing w:line="240" w:lineRule="auto" w:before="40" w:after="40"/>
              <w:jc w:val="center"/>
            </w:pPr>
            <w:r>
              <w:rPr>
                <w:rFonts w:ascii="Times New Roman" w:hAnsi="Times New Roman"/>
                <w:sz w:val="20"/>
              </w:rPr>
              <w:t>0.0310</w:t>
            </w:r>
          </w:p>
        </w:tc>
        <w:tc>
          <w:tcPr>
            <w:tcW w:type="dxa" w:w="1423"/>
          </w:tcPr>
          <w:p>
            <w:pPr>
              <w:spacing w:line="240" w:lineRule="auto" w:before="40" w:after="40"/>
              <w:jc w:val="center"/>
            </w:pPr>
            <w:r>
              <w:rPr>
                <w:rFonts w:ascii="Times New Roman" w:hAnsi="Times New Roman"/>
                <w:sz w:val="20"/>
              </w:rPr>
              <w:t>Yapısal Uzaklık Maliyeti</w:t>
            </w:r>
          </w:p>
        </w:tc>
      </w:tr>
      <w:tr>
        <w:tc>
          <w:tcPr>
            <w:tcW w:type="dxa" w:w="1423"/>
          </w:tcPr>
          <w:p>
            <w:pPr>
              <w:spacing w:line="240" w:lineRule="auto" w:before="40" w:after="40"/>
              <w:jc w:val="left"/>
            </w:pPr>
            <w:r>
              <w:rPr>
                <w:rFonts w:ascii="Times New Roman" w:hAnsi="Times New Roman"/>
                <w:sz w:val="20"/>
              </w:rPr>
              <w:t>**Etkileşim Terimi ($\beta_3$)**</w:t>
            </w:r>
          </w:p>
        </w:tc>
        <w:tc>
          <w:tcPr>
            <w:tcW w:type="dxa" w:w="1423"/>
          </w:tcPr>
          <w:p>
            <w:pPr>
              <w:spacing w:line="240" w:lineRule="auto" w:before="40" w:after="40"/>
              <w:jc w:val="center"/>
            </w:pPr>
            <w:r>
              <w:rPr>
                <w:rFonts w:ascii="Times New Roman" w:hAnsi="Times New Roman"/>
                <w:sz w:val="20"/>
              </w:rPr>
              <w:t>**$+4.1579^{***}$**</w:t>
            </w:r>
          </w:p>
        </w:tc>
        <w:tc>
          <w:tcPr>
            <w:tcW w:type="dxa" w:w="1423"/>
          </w:tcPr>
          <w:p>
            <w:pPr>
              <w:spacing w:line="240" w:lineRule="auto" w:before="40" w:after="40"/>
              <w:jc w:val="center"/>
            </w:pPr>
            <w:r>
              <w:rPr>
                <w:rFonts w:ascii="Times New Roman" w:hAnsi="Times New Roman"/>
                <w:sz w:val="20"/>
              </w:rPr>
              <w:t>1.285</w:t>
            </w:r>
          </w:p>
        </w:tc>
        <w:tc>
          <w:tcPr>
            <w:tcW w:type="dxa" w:w="1423"/>
          </w:tcPr>
          <w:p>
            <w:pPr>
              <w:spacing w:line="240" w:lineRule="auto" w:before="40" w:after="40"/>
              <w:jc w:val="center"/>
            </w:pPr>
            <w:r>
              <w:rPr>
                <w:rFonts w:ascii="Times New Roman" w:hAnsi="Times New Roman"/>
                <w:sz w:val="20"/>
              </w:rPr>
              <w:t>+3.24</w:t>
            </w:r>
          </w:p>
        </w:tc>
        <w:tc>
          <w:tcPr>
            <w:tcW w:type="dxa" w:w="1423"/>
          </w:tcPr>
          <w:p>
            <w:pPr>
              <w:spacing w:line="240" w:lineRule="auto" w:before="40" w:after="40"/>
              <w:jc w:val="center"/>
            </w:pPr>
            <w:r>
              <w:rPr>
                <w:rFonts w:ascii="Times New Roman" w:hAnsi="Times New Roman"/>
                <w:sz w:val="20"/>
              </w:rPr>
              <w:t>0.0012</w:t>
            </w:r>
          </w:p>
        </w:tc>
        <w:tc>
          <w:tcPr>
            <w:tcW w:type="dxa" w:w="1423"/>
          </w:tcPr>
          <w:p>
            <w:pPr>
              <w:spacing w:line="240" w:lineRule="auto" w:before="40" w:after="40"/>
              <w:jc w:val="center"/>
            </w:pPr>
            <w:r>
              <w:rPr>
                <w:rFonts w:ascii="Times New Roman" w:hAnsi="Times New Roman"/>
                <w:sz w:val="20"/>
              </w:rPr>
              <w:t>Pozitif Bilgi Yayılması (*Crowding-In*)</w:t>
            </w:r>
          </w:p>
        </w:tc>
      </w:tr>
      <w:tr>
        <w:tc>
          <w:tcPr>
            <w:tcW w:type="dxa" w:w="1423"/>
          </w:tcPr>
          <w:p>
            <w:pPr>
              <w:spacing w:line="240" w:lineRule="auto" w:before="40" w:after="40"/>
              <w:jc w:val="left"/>
            </w:pPr>
            <w:r>
              <w:rPr>
                <w:rFonts w:ascii="Times New Roman" w:hAnsi="Times New Roman"/>
                <w:sz w:val="20"/>
              </w:rPr>
              <w:t>**Reel Net Satış ($\ln(\text{Sales})$)**</w:t>
            </w:r>
          </w:p>
        </w:tc>
        <w:tc>
          <w:tcPr>
            <w:tcW w:type="dxa" w:w="1423"/>
          </w:tcPr>
          <w:p>
            <w:pPr>
              <w:spacing w:line="240" w:lineRule="auto" w:before="40" w:after="40"/>
              <w:jc w:val="center"/>
            </w:pPr>
            <w:r>
              <w:rPr>
                <w:rFonts w:ascii="Times New Roman" w:hAnsi="Times New Roman"/>
                <w:sz w:val="20"/>
              </w:rPr>
              <w:t>**$+0.1842^{**}$**</w:t>
            </w:r>
          </w:p>
        </w:tc>
        <w:tc>
          <w:tcPr>
            <w:tcW w:type="dxa" w:w="1423"/>
          </w:tcPr>
          <w:p>
            <w:pPr>
              <w:spacing w:line="240" w:lineRule="auto" w:before="40" w:after="40"/>
              <w:jc w:val="center"/>
            </w:pPr>
            <w:r>
              <w:rPr>
                <w:rFonts w:ascii="Times New Roman" w:hAnsi="Times New Roman"/>
                <w:sz w:val="20"/>
              </w:rPr>
              <w:t>0.081</w:t>
            </w:r>
          </w:p>
        </w:tc>
        <w:tc>
          <w:tcPr>
            <w:tcW w:type="dxa" w:w="1423"/>
          </w:tcPr>
          <w:p>
            <w:pPr>
              <w:spacing w:line="240" w:lineRule="auto" w:before="40" w:after="40"/>
              <w:jc w:val="center"/>
            </w:pPr>
            <w:r>
              <w:rPr>
                <w:rFonts w:ascii="Times New Roman" w:hAnsi="Times New Roman"/>
                <w:sz w:val="20"/>
              </w:rPr>
              <w:t>+2.27</w:t>
            </w:r>
          </w:p>
        </w:tc>
        <w:tc>
          <w:tcPr>
            <w:tcW w:type="dxa" w:w="1423"/>
          </w:tcPr>
          <w:p>
            <w:pPr>
              <w:spacing w:line="240" w:lineRule="auto" w:before="40" w:after="40"/>
              <w:jc w:val="center"/>
            </w:pPr>
            <w:r>
              <w:rPr>
                <w:rFonts w:ascii="Times New Roman" w:hAnsi="Times New Roman"/>
                <w:sz w:val="20"/>
              </w:rPr>
              <w:t>0.0240</w:t>
            </w:r>
          </w:p>
        </w:tc>
        <w:tc>
          <w:tcPr>
            <w:tcW w:type="dxa" w:w="1423"/>
          </w:tcPr>
          <w:p>
            <w:pPr>
              <w:spacing w:line="240" w:lineRule="auto" w:before="40" w:after="40"/>
              <w:jc w:val="center"/>
            </w:pPr>
            <w:r>
              <w:rPr>
                <w:rFonts w:ascii="Times New Roman" w:hAnsi="Times New Roman"/>
                <w:sz w:val="20"/>
              </w:rPr>
              <w:t>Bilanço ve Firma Ölçek Etkisi</w:t>
            </w:r>
          </w:p>
        </w:tc>
      </w:tr>
      <w:tr>
        <w:tc>
          <w:tcPr>
            <w:tcW w:type="dxa" w:w="1423"/>
          </w:tcPr>
          <w:p>
            <w:pPr>
              <w:spacing w:line="240" w:lineRule="auto" w:before="40" w:after="40"/>
              <w:jc w:val="left"/>
            </w:pPr>
            <w:r>
              <w:rPr>
                <w:rFonts w:ascii="Times New Roman" w:hAnsi="Times New Roman"/>
                <w:sz w:val="20"/>
              </w:rPr>
              <w:t>**Firma Sabit Etkisi (Firm FE)**</w:t>
            </w:r>
          </w:p>
        </w:tc>
        <w:tc>
          <w:tcPr>
            <w:tcW w:type="dxa" w:w="1423"/>
          </w:tcPr>
          <w:p>
            <w:pPr>
              <w:spacing w:line="240" w:lineRule="auto" w:before="40" w:after="40"/>
              <w:jc w:val="center"/>
            </w:pPr>
            <w:r>
              <w:rPr>
                <w:rFonts w:ascii="Times New Roman" w:hAnsi="Times New Roman"/>
                <w:sz w:val="20"/>
              </w:rPr>
              <w:t>EVET</w:t>
            </w:r>
          </w:p>
        </w:tc>
        <w:tc>
          <w:tcPr>
            <w:tcW w:type="dxa" w:w="1423"/>
          </w:tcPr>
          <w:p>
            <w:pPr>
              <w:spacing w:line="240" w:lineRule="auto" w:before="40" w:after="40"/>
              <w:jc w:val="center"/>
            </w:pPr>
            <w:r>
              <w:rPr>
                <w:rFonts w:ascii="Times New Roman" w:hAnsi="Times New Roman"/>
                <w:sz w:val="20"/>
              </w:rPr>
              <w:t>—</w:t>
            </w:r>
          </w:p>
        </w:tc>
        <w:tc>
          <w:tcPr>
            <w:tcW w:type="dxa" w:w="1423"/>
          </w:tcPr>
          <w:p>
            <w:pPr>
              <w:spacing w:line="240" w:lineRule="auto" w:before="40" w:after="40"/>
              <w:jc w:val="center"/>
            </w:pPr>
            <w:r>
              <w:rPr>
                <w:rFonts w:ascii="Times New Roman" w:hAnsi="Times New Roman"/>
                <w:sz w:val="20"/>
              </w:rPr>
              <w:t>—</w:t>
            </w:r>
          </w:p>
        </w:tc>
        <w:tc>
          <w:tcPr>
            <w:tcW w:type="dxa" w:w="1423"/>
          </w:tcPr>
          <w:p>
            <w:pPr>
              <w:spacing w:line="240" w:lineRule="auto" w:before="40" w:after="40"/>
              <w:jc w:val="center"/>
            </w:pPr>
            <w:r>
              <w:rPr>
                <w:rFonts w:ascii="Times New Roman" w:hAnsi="Times New Roman"/>
                <w:sz w:val="20"/>
              </w:rPr>
              <w:t>—</w:t>
            </w:r>
          </w:p>
        </w:tc>
        <w:tc>
          <w:tcPr>
            <w:tcW w:type="dxa" w:w="1423"/>
          </w:tcPr>
          <w:p>
            <w:pPr>
              <w:spacing w:line="240" w:lineRule="auto" w:before="40" w:after="40"/>
              <w:jc w:val="center"/>
            </w:pPr>
            <w:r>
              <w:rPr>
                <w:rFonts w:ascii="Times New Roman" w:hAnsi="Times New Roman"/>
                <w:sz w:val="20"/>
              </w:rPr>
              <w:t>Gözlemlenemeyen heterojenlik kontrolü</w:t>
            </w:r>
          </w:p>
        </w:tc>
      </w:tr>
      <w:tr>
        <w:tc>
          <w:tcPr>
            <w:tcW w:type="dxa" w:w="1423"/>
          </w:tcPr>
          <w:p>
            <w:pPr>
              <w:spacing w:line="240" w:lineRule="auto" w:before="40" w:after="40"/>
              <w:jc w:val="left"/>
            </w:pPr>
            <w:r>
              <w:rPr>
                <w:rFonts w:ascii="Times New Roman" w:hAnsi="Times New Roman"/>
                <w:sz w:val="20"/>
              </w:rPr>
              <w:t>**Yıl Sabit Etkisi (Year FE)**</w:t>
            </w:r>
          </w:p>
        </w:tc>
        <w:tc>
          <w:tcPr>
            <w:tcW w:type="dxa" w:w="1423"/>
          </w:tcPr>
          <w:p>
            <w:pPr>
              <w:spacing w:line="240" w:lineRule="auto" w:before="40" w:after="40"/>
              <w:jc w:val="center"/>
            </w:pPr>
            <w:r>
              <w:rPr>
                <w:rFonts w:ascii="Times New Roman" w:hAnsi="Times New Roman"/>
                <w:sz w:val="20"/>
              </w:rPr>
              <w:t>EVET</w:t>
            </w:r>
          </w:p>
        </w:tc>
        <w:tc>
          <w:tcPr>
            <w:tcW w:type="dxa" w:w="1423"/>
          </w:tcPr>
          <w:p>
            <w:pPr>
              <w:spacing w:line="240" w:lineRule="auto" w:before="40" w:after="40"/>
              <w:jc w:val="center"/>
            </w:pPr>
            <w:r>
              <w:rPr>
                <w:rFonts w:ascii="Times New Roman" w:hAnsi="Times New Roman"/>
                <w:sz w:val="20"/>
              </w:rPr>
              <w:t>—</w:t>
            </w:r>
          </w:p>
        </w:tc>
        <w:tc>
          <w:tcPr>
            <w:tcW w:type="dxa" w:w="1423"/>
          </w:tcPr>
          <w:p>
            <w:pPr>
              <w:spacing w:line="240" w:lineRule="auto" w:before="40" w:after="40"/>
              <w:jc w:val="center"/>
            </w:pPr>
            <w:r>
              <w:rPr>
                <w:rFonts w:ascii="Times New Roman" w:hAnsi="Times New Roman"/>
                <w:sz w:val="20"/>
              </w:rPr>
              <w:t>—</w:t>
            </w:r>
          </w:p>
        </w:tc>
        <w:tc>
          <w:tcPr>
            <w:tcW w:type="dxa" w:w="1423"/>
          </w:tcPr>
          <w:p>
            <w:pPr>
              <w:spacing w:line="240" w:lineRule="auto" w:before="40" w:after="40"/>
              <w:jc w:val="center"/>
            </w:pPr>
            <w:r>
              <w:rPr>
                <w:rFonts w:ascii="Times New Roman" w:hAnsi="Times New Roman"/>
                <w:sz w:val="20"/>
              </w:rPr>
              <w:t>—</w:t>
            </w:r>
          </w:p>
        </w:tc>
        <w:tc>
          <w:tcPr>
            <w:tcW w:type="dxa" w:w="1423"/>
          </w:tcPr>
          <w:p>
            <w:pPr>
              <w:spacing w:line="240" w:lineRule="auto" w:before="40" w:after="40"/>
              <w:jc w:val="center"/>
            </w:pPr>
            <w:r>
              <w:rPr>
                <w:rFonts w:ascii="Times New Roman" w:hAnsi="Times New Roman"/>
                <w:sz w:val="20"/>
              </w:rPr>
              <w:t>Makro konjonktür şokları kontrolü</w:t>
            </w:r>
          </w:p>
        </w:tc>
      </w:tr>
    </w:tbl>
    <w:p>
      <w:pPr>
        <w:spacing w:after="120"/>
      </w:pPr>
    </w:p>
    <w:p>
      <w:pPr>
        <w:spacing w:before="200" w:after="80"/>
        <w:jc w:val="left"/>
      </w:pPr>
      <w:r>
        <w:rPr>
          <w:b/>
          <w:sz w:val="24"/>
        </w:rPr>
        <w:t>Kritik Eşik Türevi ($\tau^*$):</w:t>
      </w:r>
    </w:p>
    <w:p>
      <w:pPr>
        <w:spacing w:line="360" w:lineRule="auto" w:after="120"/>
        <w:ind w:firstLine="576"/>
      </w:pPr>
      <w:r>
        <w:t>Savunma Ar-Ge'sinin sivil firma inovasyonu üzerindeki net marjinal etkisi Jaffe yakınlığına bağlı bir türev fonksiyonudur:</w:t>
      </w:r>
    </w:p>
    <w:p>
      <w:pPr>
        <w:spacing w:before="120" w:after="120"/>
        <w:jc w:val="center"/>
      </w:pPr>
      <w:r>
        <w:rPr>
          <w:i/>
          <w:sz w:val="22"/>
        </w:rPr>
        <w:t>\frac{\partial \mathbb{E}[Y_{it}] / \mathbb{E}[Y_{it}]}{\partial \ln(\text{Def\_R\&amp;D})} = \beta_1 + \beta_3 \cdot \text{Jaffe}_i = -1.2161 + 4.1579 \cdot \text{Jaffe}_i</w:t>
      </w:r>
    </w:p>
    <w:p>
      <w:pPr>
        <w:spacing w:line="360" w:lineRule="auto" w:after="120"/>
        <w:ind w:firstLine="576"/>
      </w:pPr>
      <w:r>
        <w:t>Bu marjinal etkinin sıfıra eşitlendiği başabaş eşiği:</w:t>
      </w:r>
    </w:p>
    <w:p>
      <w:pPr>
        <w:spacing w:before="120" w:after="120"/>
        <w:jc w:val="center"/>
      </w:pPr>
      <w:r>
        <w:rPr>
          <w:i/>
          <w:sz w:val="22"/>
        </w:rPr>
        <w:t>\tau^* = \frac{-\beta_1}{\beta_3} = \frac{1.2161}{4.1579} \approx \mathbf{0.2925} \quad (\text{Model Varyantlarında: } 0.2376 - 0.2925)</w:t>
      </w:r>
    </w:p>
    <w:p>
      <w:pPr>
        <w:spacing w:line="360" w:lineRule="auto" w:after="120"/>
        <w:ind w:firstLine="576"/>
      </w:pPr>
      <w:r>
        <w:rPr>
          <w:b/>
        </w:rPr>
        <w:t>Kuramsal ve Pratik Sonuç:</w:t>
      </w:r>
    </w:p>
    <w:p>
      <w:pPr>
        <w:spacing w:line="360" w:lineRule="auto" w:after="80"/>
        <w:ind w:left="576"/>
      </w:pPr>
      <w:r>
        <w:t xml:space="preserve">• </w:t>
      </w:r>
      <w:r>
        <w:rPr>
          <w:b/>
        </w:rPr>
        <w:t>$\text{Jaffe}_i &gt; 0.2925$ Olan Sektörler:</w:t>
      </w:r>
      <w:r>
        <w:t xml:space="preserve"> Bilişim/Yazılım ($\text{Jaffe} = 0.68$), İleri Otomotiv/Otonom ($\text{Jaffe} = 0.54$) ve Telekomünikasyon ($\text{Jaffe} = 0.61$) sektörlerinde net marjinal etki kuvvetle </w:t>
      </w:r>
      <w:r>
        <w:rPr>
          <w:b/>
        </w:rPr>
        <w:t>pozitiftir</w:t>
      </w:r>
      <w:r>
        <w:t>. Bu sektörlerde savunma sanayii Ar-Ge'si devasa bir tamamlayıcılık ve teknoloji sıçraması yaratmaktadır.</w:t>
      </w:r>
    </w:p>
    <w:p>
      <w:pPr>
        <w:spacing w:line="360" w:lineRule="auto" w:after="80"/>
        <w:ind w:left="576"/>
      </w:pPr>
      <w:r>
        <w:t xml:space="preserve">• </w:t>
      </w:r>
      <w:r>
        <w:rPr>
          <w:b/>
        </w:rPr>
        <w:t>$\text{Jaffe}_i &lt; 0.2925$ Olan Sektörler:</w:t>
      </w:r>
      <w:r>
        <w:t xml:space="preserve"> Geleneksel Beyaz Eşya ($\text{Jaffe} = 0.12$) ve Temel Metal Sanayiinde net marjinal etki </w:t>
      </w:r>
      <w:r>
        <w:rPr>
          <w:b/>
        </w:rPr>
        <w:t>negatiftir</w:t>
      </w:r>
      <w:r>
        <w:t>. Savunma sektörü nitelikli mühendislik işgücünü yüksek ücret primiyle kendine çekerek bu sektörlerde hafif bir dışlama (</w:t>
      </w:r>
      <w:r>
        <w:rPr>
          <w:i/>
        </w:rPr>
        <w:t>crowding-out</w:t>
      </w:r>
      <w:r>
        <w:t>) yaratmaktadır.</w:t>
      </w:r>
    </w:p>
    <w:p>
      <w:pPr>
        <w:spacing w:after="240"/>
      </w:pPr>
    </w:p>
    <w:p>
      <w:pPr>
        <w:spacing w:before="280" w:after="120"/>
        <w:jc w:val="left"/>
      </w:pPr>
      <w:r>
        <w:rPr>
          <w:b/>
          <w:sz w:val="26"/>
        </w:rPr>
        <w:t>4.4. İki Aşamalı Cragg Hurdle Modeli: Extensive vs. Intensive Margin Ayrışımı</w:t>
      </w:r>
    </w:p>
    <w:p>
      <w:pPr>
        <w:spacing w:line="360" w:lineRule="auto" w:after="120"/>
        <w:ind w:firstLine="576"/>
      </w:pPr>
      <w:r>
        <w:t>Sıfır yığılmalı patent dağılımında seçim yanlılığını gidermek amacıyla Cragg (1971) iki aşamalı Hurdle modeli uygulanmıştır:</w:t>
      </w:r>
    </w:p>
    <w:p>
      <w:pPr>
        <w:spacing w:before="200" w:after="80"/>
        <w:jc w:val="left"/>
      </w:pPr>
      <w:r>
        <w:rPr>
          <w:b/>
          <w:sz w:val="24"/>
        </w:rPr>
        <w:t>Tablo 4.4: Cragg İki Aşamalı Hurdle Tahmin Sonuçları</w:t>
      </w:r>
    </w:p>
    <w:tbl>
      <w:tblPr>
        <w:tblW w:type="auto" w:w="0"/>
        <w:jc w:val="center"/>
        <w:tblLook w:firstColumn="1" w:firstRow="1" w:lastColumn="0" w:lastRow="0" w:noHBand="0" w:noVBand="1" w:val="04A0"/>
      </w:tblPr>
      <w:tblGrid>
        <w:gridCol w:w="1708"/>
        <w:gridCol w:w="1708"/>
        <w:gridCol w:w="1708"/>
        <w:gridCol w:w="1708"/>
        <w:gridCol w:w="1708"/>
      </w:tblGrid>
      <w:tr>
        <w:tc>
          <w:tcPr>
            <w:tcW w:type="dxa" w:w="1708"/>
            <w:shd w:fill="EAECEE"/>
          </w:tcPr>
          <w:p>
            <w:pPr>
              <w:spacing w:line="240" w:lineRule="auto" w:before="40" w:after="40"/>
              <w:jc w:val="center"/>
            </w:pPr>
            <w:r>
              <w:rPr>
                <w:rFonts w:ascii="Times New Roman" w:hAnsi="Times New Roman"/>
                <w:b/>
                <w:sz w:val="20"/>
              </w:rPr>
              <w:t>Aşama / Karar Mekanizması</w:t>
            </w:r>
          </w:p>
        </w:tc>
        <w:tc>
          <w:tcPr>
            <w:tcW w:type="dxa" w:w="1708"/>
            <w:shd w:fill="EAECEE"/>
          </w:tcPr>
          <w:p>
            <w:pPr>
              <w:spacing w:line="240" w:lineRule="auto" w:before="40" w:after="40"/>
              <w:jc w:val="center"/>
            </w:pPr>
            <w:r>
              <w:rPr>
                <w:rFonts w:ascii="Times New Roman" w:hAnsi="Times New Roman"/>
                <w:b/>
                <w:sz w:val="20"/>
              </w:rPr>
              <w:t>Bağımlı Değişken</w:t>
            </w:r>
          </w:p>
        </w:tc>
        <w:tc>
          <w:tcPr>
            <w:tcW w:type="dxa" w:w="1708"/>
            <w:shd w:fill="EAECEE"/>
          </w:tcPr>
          <w:p>
            <w:pPr>
              <w:spacing w:line="240" w:lineRule="auto" w:before="40" w:after="40"/>
              <w:jc w:val="center"/>
            </w:pPr>
            <w:r>
              <w:rPr>
                <w:rFonts w:ascii="Times New Roman" w:hAnsi="Times New Roman"/>
                <w:b/>
                <w:sz w:val="20"/>
              </w:rPr>
              <w:t>Katsayı ($\beta$)</w:t>
            </w:r>
          </w:p>
        </w:tc>
        <w:tc>
          <w:tcPr>
            <w:tcW w:type="dxa" w:w="1708"/>
            <w:shd w:fill="EAECEE"/>
          </w:tcPr>
          <w:p>
            <w:pPr>
              <w:spacing w:line="240" w:lineRule="auto" w:before="40" w:after="40"/>
              <w:jc w:val="center"/>
            </w:pPr>
            <w:r>
              <w:rPr>
                <w:rFonts w:ascii="Times New Roman" w:hAnsi="Times New Roman"/>
                <w:b/>
                <w:sz w:val="20"/>
              </w:rPr>
              <w:t>$p$-Değeri</w:t>
            </w:r>
          </w:p>
        </w:tc>
        <w:tc>
          <w:tcPr>
            <w:tcW w:type="dxa" w:w="1708"/>
            <w:shd w:fill="EAECEE"/>
          </w:tcPr>
          <w:p>
            <w:pPr>
              <w:spacing w:line="240" w:lineRule="auto" w:before="40" w:after="40"/>
              <w:jc w:val="center"/>
            </w:pPr>
            <w:r>
              <w:rPr>
                <w:rFonts w:ascii="Times New Roman" w:hAnsi="Times New Roman"/>
                <w:b/>
                <w:sz w:val="20"/>
              </w:rPr>
              <w:t>Ekonometrik Yorum</w:t>
            </w:r>
          </w:p>
        </w:tc>
      </w:tr>
      <w:tr>
        <w:tc>
          <w:tcPr>
            <w:tcW w:type="dxa" w:w="1708"/>
          </w:tcPr>
          <w:p>
            <w:pPr>
              <w:spacing w:line="240" w:lineRule="auto" w:before="40" w:after="40"/>
              <w:jc w:val="left"/>
            </w:pPr>
            <w:r>
              <w:rPr>
                <w:rFonts w:ascii="Times New Roman" w:hAnsi="Times New Roman"/>
                <w:sz w:val="20"/>
              </w:rPr>
              <w:t>**1. Aşama: Geniş Kapsam (Extensive Margin)**</w:t>
            </w:r>
          </w:p>
        </w:tc>
        <w:tc>
          <w:tcPr>
            <w:tcW w:type="dxa" w:w="1708"/>
          </w:tcPr>
          <w:p>
            <w:pPr>
              <w:spacing w:line="240" w:lineRule="auto" w:before="40" w:after="40"/>
              <w:jc w:val="center"/>
            </w:pPr>
            <w:r>
              <w:rPr>
                <w:rFonts w:ascii="Times New Roman" w:hAnsi="Times New Roman"/>
                <w:sz w:val="20"/>
              </w:rPr>
              <w:t>$\Pr(Y_{it} &gt; 0)$ *(Probit)*</w:t>
            </w:r>
          </w:p>
        </w:tc>
        <w:tc>
          <w:tcPr>
            <w:tcW w:type="dxa" w:w="1708"/>
          </w:tcPr>
          <w:p>
            <w:pPr>
              <w:spacing w:line="240" w:lineRule="auto" w:before="40" w:after="40"/>
              <w:jc w:val="center"/>
            </w:pPr>
            <w:r>
              <w:rPr>
                <w:rFonts w:ascii="Times New Roman" w:hAnsi="Times New Roman"/>
                <w:sz w:val="20"/>
              </w:rPr>
              <w:t>$+0.1049$</w:t>
            </w:r>
          </w:p>
        </w:tc>
        <w:tc>
          <w:tcPr>
            <w:tcW w:type="dxa" w:w="1708"/>
          </w:tcPr>
          <w:p>
            <w:pPr>
              <w:spacing w:line="240" w:lineRule="auto" w:before="40" w:after="40"/>
              <w:jc w:val="center"/>
            </w:pPr>
            <w:r>
              <w:rPr>
                <w:rFonts w:ascii="Times New Roman" w:hAnsi="Times New Roman"/>
                <w:sz w:val="20"/>
              </w:rPr>
              <w:t>$0.142$ *(Anlamsız)*</w:t>
            </w:r>
          </w:p>
        </w:tc>
        <w:tc>
          <w:tcPr>
            <w:tcW w:type="dxa" w:w="1708"/>
          </w:tcPr>
          <w:p>
            <w:pPr>
              <w:spacing w:line="240" w:lineRule="auto" w:before="40" w:after="40"/>
              <w:jc w:val="center"/>
            </w:pPr>
            <w:r>
              <w:rPr>
                <w:rFonts w:ascii="Times New Roman" w:hAnsi="Times New Roman"/>
                <w:sz w:val="20"/>
              </w:rPr>
              <w:t>Savunma Ar-Ge'si sıfır patentli firmaları sahaya sokmaz.</w:t>
            </w:r>
          </w:p>
        </w:tc>
      </w:tr>
      <w:tr>
        <w:tc>
          <w:tcPr>
            <w:tcW w:type="dxa" w:w="1708"/>
          </w:tcPr>
          <w:p>
            <w:pPr>
              <w:spacing w:line="240" w:lineRule="auto" w:before="40" w:after="40"/>
              <w:jc w:val="left"/>
            </w:pPr>
            <w:r>
              <w:rPr>
                <w:rFonts w:ascii="Times New Roman" w:hAnsi="Times New Roman"/>
                <w:sz w:val="20"/>
              </w:rPr>
              <w:t>**2. Aşama: Yoğun Kapsam (Intensive Margin)**</w:t>
            </w:r>
          </w:p>
        </w:tc>
        <w:tc>
          <w:tcPr>
            <w:tcW w:type="dxa" w:w="1708"/>
          </w:tcPr>
          <w:p>
            <w:pPr>
              <w:spacing w:line="240" w:lineRule="auto" w:before="40" w:after="40"/>
              <w:jc w:val="center"/>
            </w:pPr>
            <w:r>
              <w:rPr>
                <w:rFonts w:ascii="Times New Roman" w:hAnsi="Times New Roman"/>
                <w:sz w:val="20"/>
              </w:rPr>
              <w:t>$Y_{it} \mid Y_{it} &gt; 0$ *(Truncated)*</w:t>
            </w:r>
          </w:p>
        </w:tc>
        <w:tc>
          <w:tcPr>
            <w:tcW w:type="dxa" w:w="1708"/>
          </w:tcPr>
          <w:p>
            <w:pPr>
              <w:spacing w:line="240" w:lineRule="auto" w:before="40" w:after="40"/>
              <w:jc w:val="center"/>
            </w:pPr>
            <w:r>
              <w:rPr>
                <w:rFonts w:ascii="Times New Roman" w:hAnsi="Times New Roman"/>
                <w:sz w:val="20"/>
              </w:rPr>
              <w:t>**$+3.4322^{***}$**</w:t>
            </w:r>
          </w:p>
        </w:tc>
        <w:tc>
          <w:tcPr>
            <w:tcW w:type="dxa" w:w="1708"/>
          </w:tcPr>
          <w:p>
            <w:pPr>
              <w:spacing w:line="240" w:lineRule="auto" w:before="40" w:after="40"/>
              <w:jc w:val="center"/>
            </w:pPr>
            <w:r>
              <w:rPr>
                <w:rFonts w:ascii="Times New Roman" w:hAnsi="Times New Roman"/>
                <w:sz w:val="20"/>
              </w:rPr>
              <w:t>**$0.0013$**</w:t>
            </w:r>
          </w:p>
        </w:tc>
        <w:tc>
          <w:tcPr>
            <w:tcW w:type="dxa" w:w="1708"/>
          </w:tcPr>
          <w:p>
            <w:pPr>
              <w:spacing w:line="240" w:lineRule="auto" w:before="40" w:after="40"/>
              <w:jc w:val="center"/>
            </w:pPr>
            <w:r>
              <w:rPr>
                <w:rFonts w:ascii="Times New Roman" w:hAnsi="Times New Roman"/>
                <w:sz w:val="20"/>
              </w:rPr>
              <w:t>Tescil eşiğini geçmiş firmalarda patent hacmini katlar.</w:t>
            </w:r>
          </w:p>
        </w:tc>
      </w:tr>
    </w:tbl>
    <w:p>
      <w:pPr>
        <w:spacing w:after="120"/>
      </w:pPr>
    </w:p>
    <w:p>
      <w:pPr>
        <w:spacing w:line="360" w:lineRule="auto" w:after="120"/>
        <w:ind w:firstLine="576"/>
      </w:pPr>
      <w:r>
        <w:rPr>
          <w:b/>
        </w:rPr>
        <w:t>İktisadi Çıkarım:</w:t>
      </w:r>
      <w:r>
        <w:t xml:space="preserve"> Yayılma etkisi rassal bir lütuf değildir. Eşik aşamasını geçmiş, kendi öz Ar-Ge laboratuvarına ve absorptif kapasitesine sahip firmalarda marjinal inovasyon çarpanı </w:t>
      </w:r>
      <w:r>
        <w:rPr>
          <w:b/>
        </w:rPr>
        <w:t>$\exp(3.4322) \approx 30.9$ katlık</w:t>
      </w:r>
      <w:r>
        <w:t xml:space="preserve"> bir hacim derinleşmesi sağlamaktadır.</w:t>
      </w:r>
    </w:p>
    <w:p>
      <w:pPr>
        <w:spacing w:after="240"/>
      </w:pPr>
    </w:p>
    <w:p>
      <w:pPr>
        <w:spacing w:before="280" w:after="120"/>
        <w:jc w:val="left"/>
      </w:pPr>
      <w:r>
        <w:rPr>
          <w:b/>
          <w:sz w:val="26"/>
        </w:rPr>
        <w:t>4.5. Mekânsal Ekonometri ve Mesafe Bozunumu (Spatial Durbin Modeli - SDM)</w:t>
      </w:r>
    </w:p>
    <w:p>
      <w:pPr>
        <w:spacing w:line="360" w:lineRule="auto" w:after="120"/>
        <w:ind w:firstLine="576"/>
      </w:pPr>
      <w:r>
        <w:t>Bilginin coğrafi sürtünmesi, ters mesafe ağırlıklı mekânsal ağırlık matrisi ($W$) kullanılarak Spatial Durbin Modeli ile tahmin edilmiştir:</w:t>
      </w:r>
    </w:p>
    <w:p>
      <w:pPr>
        <w:spacing w:before="200" w:after="80"/>
        <w:jc w:val="left"/>
      </w:pPr>
      <w:r>
        <w:rPr>
          <w:b/>
          <w:sz w:val="24"/>
        </w:rPr>
        <w:t>Tablo 4.5: Spatial Durbin Mesafe Bozunumu Parametreleri</w:t>
      </w:r>
    </w:p>
    <w:tbl>
      <w:tblPr>
        <w:tblW w:type="auto" w:w="0"/>
        <w:jc w:val="center"/>
        <w:tblLook w:firstColumn="1" w:firstRow="1" w:lastColumn="0" w:lastRow="0" w:noHBand="0" w:noVBand="1" w:val="04A0"/>
      </w:tblPr>
      <w:tblGrid>
        <w:gridCol w:w="1708"/>
        <w:gridCol w:w="1708"/>
        <w:gridCol w:w="1708"/>
        <w:gridCol w:w="1708"/>
        <w:gridCol w:w="1708"/>
      </w:tblGrid>
      <w:tr>
        <w:tc>
          <w:tcPr>
            <w:tcW w:type="dxa" w:w="1708"/>
            <w:shd w:fill="EAECEE"/>
          </w:tcPr>
          <w:p>
            <w:pPr>
              <w:spacing w:line="240" w:lineRule="auto" w:before="40" w:after="40"/>
              <w:jc w:val="center"/>
            </w:pPr>
            <w:r>
              <w:rPr>
                <w:rFonts w:ascii="Times New Roman" w:hAnsi="Times New Roman"/>
                <w:b/>
                <w:sz w:val="20"/>
              </w:rPr>
              <w:t>Mekânsal Değişken</w:t>
            </w:r>
          </w:p>
        </w:tc>
        <w:tc>
          <w:tcPr>
            <w:tcW w:type="dxa" w:w="1708"/>
            <w:shd w:fill="EAECEE"/>
          </w:tcPr>
          <w:p>
            <w:pPr>
              <w:spacing w:line="240" w:lineRule="auto" w:before="40" w:after="40"/>
              <w:jc w:val="center"/>
            </w:pPr>
            <w:r>
              <w:rPr>
                <w:rFonts w:ascii="Times New Roman" w:hAnsi="Times New Roman"/>
                <w:b/>
                <w:sz w:val="20"/>
              </w:rPr>
              <w:t>Parametre</w:t>
            </w:r>
          </w:p>
        </w:tc>
        <w:tc>
          <w:tcPr>
            <w:tcW w:type="dxa" w:w="1708"/>
            <w:shd w:fill="EAECEE"/>
          </w:tcPr>
          <w:p>
            <w:pPr>
              <w:spacing w:line="240" w:lineRule="auto" w:before="40" w:after="40"/>
              <w:jc w:val="center"/>
            </w:pPr>
            <w:r>
              <w:rPr>
                <w:rFonts w:ascii="Times New Roman" w:hAnsi="Times New Roman"/>
                <w:b/>
                <w:sz w:val="20"/>
              </w:rPr>
              <w:t>Tahmin Değeri</w:t>
            </w:r>
          </w:p>
        </w:tc>
        <w:tc>
          <w:tcPr>
            <w:tcW w:type="dxa" w:w="1708"/>
            <w:shd w:fill="EAECEE"/>
          </w:tcPr>
          <w:p>
            <w:pPr>
              <w:spacing w:line="240" w:lineRule="auto" w:before="40" w:after="40"/>
              <w:jc w:val="center"/>
            </w:pPr>
            <w:r>
              <w:rPr>
                <w:rFonts w:ascii="Times New Roman" w:hAnsi="Times New Roman"/>
                <w:b/>
                <w:sz w:val="20"/>
              </w:rPr>
              <w:t>$t$-İstatistiği</w:t>
            </w:r>
          </w:p>
        </w:tc>
        <w:tc>
          <w:tcPr>
            <w:tcW w:type="dxa" w:w="1708"/>
            <w:shd w:fill="EAECEE"/>
          </w:tcPr>
          <w:p>
            <w:pPr>
              <w:spacing w:line="240" w:lineRule="auto" w:before="40" w:after="40"/>
              <w:jc w:val="center"/>
            </w:pPr>
            <w:r>
              <w:rPr>
                <w:rFonts w:ascii="Times New Roman" w:hAnsi="Times New Roman"/>
                <w:b/>
                <w:sz w:val="20"/>
              </w:rPr>
              <w:t>$p$-Değeri</w:t>
            </w:r>
          </w:p>
        </w:tc>
      </w:tr>
      <w:tr>
        <w:tc>
          <w:tcPr>
            <w:tcW w:type="dxa" w:w="1708"/>
          </w:tcPr>
          <w:p>
            <w:pPr>
              <w:spacing w:line="240" w:lineRule="auto" w:before="40" w:after="40"/>
              <w:jc w:val="left"/>
            </w:pPr>
            <w:r>
              <w:rPr>
                <w:rFonts w:ascii="Times New Roman" w:hAnsi="Times New Roman"/>
                <w:sz w:val="20"/>
              </w:rPr>
              <w:t>**Mekânsal Otoregresif Parametre**</w:t>
            </w:r>
          </w:p>
        </w:tc>
        <w:tc>
          <w:tcPr>
            <w:tcW w:type="dxa" w:w="1708"/>
          </w:tcPr>
          <w:p>
            <w:pPr>
              <w:spacing w:line="240" w:lineRule="auto" w:before="40" w:after="40"/>
              <w:jc w:val="center"/>
            </w:pPr>
            <w:r>
              <w:rPr>
                <w:rFonts w:ascii="Times New Roman" w:hAnsi="Times New Roman"/>
                <w:sz w:val="20"/>
              </w:rPr>
              <w:t>$\rho$</w:t>
            </w:r>
          </w:p>
        </w:tc>
        <w:tc>
          <w:tcPr>
            <w:tcW w:type="dxa" w:w="1708"/>
          </w:tcPr>
          <w:p>
            <w:pPr>
              <w:spacing w:line="240" w:lineRule="auto" w:before="40" w:after="40"/>
              <w:jc w:val="center"/>
            </w:pPr>
            <w:r>
              <w:rPr>
                <w:rFonts w:ascii="Times New Roman" w:hAnsi="Times New Roman"/>
                <w:sz w:val="20"/>
              </w:rPr>
              <w:t>$0.4120^{***}$</w:t>
            </w:r>
          </w:p>
        </w:tc>
        <w:tc>
          <w:tcPr>
            <w:tcW w:type="dxa" w:w="1708"/>
          </w:tcPr>
          <w:p>
            <w:pPr>
              <w:spacing w:line="240" w:lineRule="auto" w:before="40" w:after="40"/>
              <w:jc w:val="center"/>
            </w:pPr>
            <w:r>
              <w:rPr>
                <w:rFonts w:ascii="Times New Roman" w:hAnsi="Times New Roman"/>
                <w:sz w:val="20"/>
              </w:rPr>
              <w:t>$3.85$</w:t>
            </w:r>
          </w:p>
        </w:tc>
        <w:tc>
          <w:tcPr>
            <w:tcW w:type="dxa" w:w="1708"/>
          </w:tcPr>
          <w:p>
            <w:pPr>
              <w:spacing w:line="240" w:lineRule="auto" w:before="40" w:after="40"/>
              <w:jc w:val="center"/>
            </w:pPr>
            <w:r>
              <w:rPr>
                <w:rFonts w:ascii="Times New Roman" w:hAnsi="Times New Roman"/>
                <w:sz w:val="20"/>
              </w:rPr>
              <w:t>$0.0002$</w:t>
            </w:r>
          </w:p>
        </w:tc>
      </w:tr>
      <w:tr>
        <w:tc>
          <w:tcPr>
            <w:tcW w:type="dxa" w:w="1708"/>
          </w:tcPr>
          <w:p>
            <w:pPr>
              <w:spacing w:line="240" w:lineRule="auto" w:before="40" w:after="40"/>
              <w:jc w:val="left"/>
            </w:pPr>
            <w:r>
              <w:rPr>
                <w:rFonts w:ascii="Times New Roman" w:hAnsi="Times New Roman"/>
                <w:sz w:val="20"/>
              </w:rPr>
              <w:t>**Mekânsal Gecikmeli Yayılma ($W \times \text{Def}$)**</w:t>
            </w:r>
          </w:p>
        </w:tc>
        <w:tc>
          <w:tcPr>
            <w:tcW w:type="dxa" w:w="1708"/>
          </w:tcPr>
          <w:p>
            <w:pPr>
              <w:spacing w:line="240" w:lineRule="auto" w:before="40" w:after="40"/>
              <w:jc w:val="center"/>
            </w:pPr>
            <w:r>
              <w:rPr>
                <w:rFonts w:ascii="Times New Roman" w:hAnsi="Times New Roman"/>
                <w:sz w:val="20"/>
              </w:rPr>
              <w:t>$\theta$</w:t>
            </w:r>
          </w:p>
        </w:tc>
        <w:tc>
          <w:tcPr>
            <w:tcW w:type="dxa" w:w="1708"/>
          </w:tcPr>
          <w:p>
            <w:pPr>
              <w:spacing w:line="240" w:lineRule="auto" w:before="40" w:after="40"/>
              <w:jc w:val="center"/>
            </w:pPr>
            <w:r>
              <w:rPr>
                <w:rFonts w:ascii="Times New Roman" w:hAnsi="Times New Roman"/>
                <w:sz w:val="20"/>
              </w:rPr>
              <w:t>**$23.8651^{***}$**</w:t>
            </w:r>
          </w:p>
        </w:tc>
        <w:tc>
          <w:tcPr>
            <w:tcW w:type="dxa" w:w="1708"/>
          </w:tcPr>
          <w:p>
            <w:pPr>
              <w:spacing w:line="240" w:lineRule="auto" w:before="40" w:after="40"/>
              <w:jc w:val="center"/>
            </w:pPr>
            <w:r>
              <w:rPr>
                <w:rFonts w:ascii="Times New Roman" w:hAnsi="Times New Roman"/>
                <w:sz w:val="20"/>
              </w:rPr>
              <w:t>$3.18$</w:t>
            </w:r>
          </w:p>
        </w:tc>
        <w:tc>
          <w:tcPr>
            <w:tcW w:type="dxa" w:w="1708"/>
          </w:tcPr>
          <w:p>
            <w:pPr>
              <w:spacing w:line="240" w:lineRule="auto" w:before="40" w:after="40"/>
              <w:jc w:val="center"/>
            </w:pPr>
            <w:r>
              <w:rPr>
                <w:rFonts w:ascii="Times New Roman" w:hAnsi="Times New Roman"/>
                <w:sz w:val="20"/>
              </w:rPr>
              <w:t>**$0.00148$**</w:t>
            </w:r>
          </w:p>
        </w:tc>
      </w:tr>
      <w:tr>
        <w:tc>
          <w:tcPr>
            <w:tcW w:type="dxa" w:w="1708"/>
          </w:tcPr>
          <w:p>
            <w:pPr>
              <w:spacing w:line="240" w:lineRule="auto" w:before="40" w:after="40"/>
              <w:jc w:val="left"/>
            </w:pPr>
            <w:r>
              <w:rPr>
                <w:rFonts w:ascii="Times New Roman" w:hAnsi="Times New Roman"/>
                <w:sz w:val="20"/>
              </w:rPr>
              <w:t>Doğrudan Etki (Direct Impact)</w:t>
            </w:r>
          </w:p>
        </w:tc>
        <w:tc>
          <w:tcPr>
            <w:tcW w:type="dxa" w:w="1708"/>
          </w:tcPr>
          <w:p>
            <w:pPr>
              <w:spacing w:line="240" w:lineRule="auto" w:before="40" w:after="40"/>
              <w:jc w:val="center"/>
            </w:pPr>
            <w:r>
              <w:rPr>
                <w:rFonts w:ascii="Times New Roman" w:hAnsi="Times New Roman"/>
                <w:sz w:val="20"/>
              </w:rPr>
              <w:t>—</w:t>
            </w:r>
          </w:p>
        </w:tc>
        <w:tc>
          <w:tcPr>
            <w:tcW w:type="dxa" w:w="1708"/>
          </w:tcPr>
          <w:p>
            <w:pPr>
              <w:spacing w:line="240" w:lineRule="auto" w:before="40" w:after="40"/>
              <w:jc w:val="center"/>
            </w:pPr>
            <w:r>
              <w:rPr>
                <w:rFonts w:ascii="Times New Roman" w:hAnsi="Times New Roman"/>
                <w:sz w:val="20"/>
              </w:rPr>
              <w:t>$4.1205^{***}$</w:t>
            </w:r>
          </w:p>
        </w:tc>
        <w:tc>
          <w:tcPr>
            <w:tcW w:type="dxa" w:w="1708"/>
          </w:tcPr>
          <w:p>
            <w:pPr>
              <w:spacing w:line="240" w:lineRule="auto" w:before="40" w:after="40"/>
              <w:jc w:val="center"/>
            </w:pPr>
            <w:r>
              <w:rPr>
                <w:rFonts w:ascii="Times New Roman" w:hAnsi="Times New Roman"/>
                <w:sz w:val="20"/>
              </w:rPr>
              <w:t>$3.42$</w:t>
            </w:r>
          </w:p>
        </w:tc>
        <w:tc>
          <w:tcPr>
            <w:tcW w:type="dxa" w:w="1708"/>
          </w:tcPr>
          <w:p>
            <w:pPr>
              <w:spacing w:line="240" w:lineRule="auto" w:before="40" w:after="40"/>
              <w:jc w:val="center"/>
            </w:pPr>
            <w:r>
              <w:rPr>
                <w:rFonts w:ascii="Times New Roman" w:hAnsi="Times New Roman"/>
                <w:sz w:val="20"/>
              </w:rPr>
              <w:t>$0.0008$</w:t>
            </w:r>
          </w:p>
        </w:tc>
      </w:tr>
      <w:tr>
        <w:tc>
          <w:tcPr>
            <w:tcW w:type="dxa" w:w="1708"/>
          </w:tcPr>
          <w:p>
            <w:pPr>
              <w:spacing w:line="240" w:lineRule="auto" w:before="40" w:after="40"/>
              <w:jc w:val="left"/>
            </w:pPr>
            <w:r>
              <w:rPr>
                <w:rFonts w:ascii="Times New Roman" w:hAnsi="Times New Roman"/>
                <w:sz w:val="20"/>
              </w:rPr>
              <w:t>Dolaylı Mekânsal Etki (Indirect Spillover)</w:t>
            </w:r>
          </w:p>
        </w:tc>
        <w:tc>
          <w:tcPr>
            <w:tcW w:type="dxa" w:w="1708"/>
          </w:tcPr>
          <w:p>
            <w:pPr>
              <w:spacing w:line="240" w:lineRule="auto" w:before="40" w:after="40"/>
              <w:jc w:val="center"/>
            </w:pPr>
            <w:r>
              <w:rPr>
                <w:rFonts w:ascii="Times New Roman" w:hAnsi="Times New Roman"/>
                <w:sz w:val="20"/>
              </w:rPr>
              <w:t>—</w:t>
            </w:r>
          </w:p>
        </w:tc>
        <w:tc>
          <w:tcPr>
            <w:tcW w:type="dxa" w:w="1708"/>
          </w:tcPr>
          <w:p>
            <w:pPr>
              <w:spacing w:line="240" w:lineRule="auto" w:before="40" w:after="40"/>
              <w:jc w:val="center"/>
            </w:pPr>
            <w:r>
              <w:rPr>
                <w:rFonts w:ascii="Times New Roman" w:hAnsi="Times New Roman"/>
                <w:sz w:val="20"/>
              </w:rPr>
              <w:t>$19.7446^{***}$</w:t>
            </w:r>
          </w:p>
        </w:tc>
        <w:tc>
          <w:tcPr>
            <w:tcW w:type="dxa" w:w="1708"/>
          </w:tcPr>
          <w:p>
            <w:pPr>
              <w:spacing w:line="240" w:lineRule="auto" w:before="40" w:after="40"/>
              <w:jc w:val="center"/>
            </w:pPr>
            <w:r>
              <w:rPr>
                <w:rFonts w:ascii="Times New Roman" w:hAnsi="Times New Roman"/>
                <w:sz w:val="20"/>
              </w:rPr>
              <w:t>$2.95$</w:t>
            </w:r>
          </w:p>
        </w:tc>
        <w:tc>
          <w:tcPr>
            <w:tcW w:type="dxa" w:w="1708"/>
          </w:tcPr>
          <w:p>
            <w:pPr>
              <w:spacing w:line="240" w:lineRule="auto" w:before="40" w:after="40"/>
              <w:jc w:val="center"/>
            </w:pPr>
            <w:r>
              <w:rPr>
                <w:rFonts w:ascii="Times New Roman" w:hAnsi="Times New Roman"/>
                <w:sz w:val="20"/>
              </w:rPr>
              <w:t>$0.0032$</w:t>
            </w:r>
          </w:p>
        </w:tc>
      </w:tr>
    </w:tbl>
    <w:p>
      <w:pPr>
        <w:spacing w:after="120"/>
      </w:pPr>
    </w:p>
    <w:p>
      <w:pPr>
        <w:spacing w:line="360" w:lineRule="auto" w:after="120"/>
        <w:ind w:firstLine="576"/>
      </w:pPr>
      <w:r>
        <w:rPr>
          <w:b/>
        </w:rPr>
        <w:t>İktisadi Çıkarım:</w:t>
      </w:r>
      <w:r>
        <w:t xml:space="preserve"> Ankara merkezli savunma çekirdeği (ASELSAN, TUSAŞ, ROKETSAN, HAVELSAN); Kocaeli, Bursa ve İstanbul sanayi aksında yerleşik sivil teknoloji tedarikçileriyle çok güçlü bir mekânsal kümelenme sergilemektedir. Coğrafi yakınlık, teknolojik absorpsiyonu $23.86$ birimlik katsayıyla ivmelendirmektedir.</w:t>
      </w:r>
    </w:p>
    <w:p>
      <w:pPr>
        <w:spacing w:after="240"/>
      </w:pPr>
    </w:p>
    <w:p>
      <w:pPr>
        <w:spacing w:before="280" w:after="120"/>
        <w:jc w:val="left"/>
      </w:pPr>
      <w:r>
        <w:rPr>
          <w:b/>
          <w:sz w:val="26"/>
        </w:rPr>
        <w:t>4.6. Dışsal Nedensellik ve Doğal Deney: 2020 WESCAM/CAATSA Ambargoları (DiD)</w:t>
      </w:r>
    </w:p>
    <w:p>
      <w:pPr>
        <w:spacing w:line="360" w:lineRule="auto" w:after="120"/>
        <w:ind w:firstLine="576"/>
      </w:pPr>
      <w:r>
        <w:t>İçsellik ve ters nedensellik eleştirilerini bertaraf etmek üzere 2020 yılındaki Kanada elektro-optik ambargosu ve ABD yaptırımları dışsal doğal deney olarak kurgulanmıştır:</w:t>
      </w:r>
    </w:p>
    <w:p>
      <w:pPr>
        <w:spacing w:before="200" w:after="80"/>
        <w:jc w:val="left"/>
      </w:pPr>
      <w:r>
        <w:rPr>
          <w:b/>
          <w:sz w:val="24"/>
        </w:rPr>
        <w:t>Tablo 4.6: Farkların Farkı (Difference-in-Differences) Regresyon Sonuçları</w:t>
      </w:r>
    </w:p>
    <w:tbl>
      <w:tblPr>
        <w:tblW w:type="auto" w:w="0"/>
        <w:jc w:val="center"/>
        <w:tblLook w:firstColumn="1" w:firstRow="1" w:lastColumn="0" w:lastRow="0" w:noHBand="0" w:noVBand="1" w:val="04A0"/>
      </w:tblPr>
      <w:tblGrid>
        <w:gridCol w:w="1708"/>
        <w:gridCol w:w="1708"/>
        <w:gridCol w:w="1708"/>
        <w:gridCol w:w="1708"/>
        <w:gridCol w:w="1708"/>
      </w:tblGrid>
      <w:tr>
        <w:tc>
          <w:tcPr>
            <w:tcW w:type="dxa" w:w="1708"/>
            <w:shd w:fill="EAECEE"/>
          </w:tcPr>
          <w:p>
            <w:pPr>
              <w:spacing w:line="240" w:lineRule="auto" w:before="40" w:after="40"/>
              <w:jc w:val="center"/>
            </w:pPr>
            <w:r>
              <w:rPr>
                <w:rFonts w:ascii="Times New Roman" w:hAnsi="Times New Roman"/>
                <w:b/>
                <w:sz w:val="20"/>
              </w:rPr>
              <w:t>Değişken</w:t>
            </w:r>
          </w:p>
        </w:tc>
        <w:tc>
          <w:tcPr>
            <w:tcW w:type="dxa" w:w="1708"/>
            <w:shd w:fill="EAECEE"/>
          </w:tcPr>
          <w:p>
            <w:pPr>
              <w:spacing w:line="240" w:lineRule="auto" w:before="40" w:after="40"/>
              <w:jc w:val="center"/>
            </w:pPr>
            <w:r>
              <w:rPr>
                <w:rFonts w:ascii="Times New Roman" w:hAnsi="Times New Roman"/>
                <w:b/>
                <w:sz w:val="20"/>
              </w:rPr>
              <w:t>Katsayı ($\beta$)</w:t>
            </w:r>
          </w:p>
        </w:tc>
        <w:tc>
          <w:tcPr>
            <w:tcW w:type="dxa" w:w="1708"/>
            <w:shd w:fill="EAECEE"/>
          </w:tcPr>
          <w:p>
            <w:pPr>
              <w:spacing w:line="240" w:lineRule="auto" w:before="40" w:after="40"/>
              <w:jc w:val="center"/>
            </w:pPr>
            <w:r>
              <w:rPr>
                <w:rFonts w:ascii="Times New Roman" w:hAnsi="Times New Roman"/>
                <w:b/>
                <w:sz w:val="20"/>
              </w:rPr>
              <w:t>Standart Hata</w:t>
            </w:r>
          </w:p>
        </w:tc>
        <w:tc>
          <w:tcPr>
            <w:tcW w:type="dxa" w:w="1708"/>
            <w:shd w:fill="EAECEE"/>
          </w:tcPr>
          <w:p>
            <w:pPr>
              <w:spacing w:line="240" w:lineRule="auto" w:before="40" w:after="40"/>
              <w:jc w:val="center"/>
            </w:pPr>
            <w:r>
              <w:rPr>
                <w:rFonts w:ascii="Times New Roman" w:hAnsi="Times New Roman"/>
                <w:b/>
                <w:sz w:val="20"/>
              </w:rPr>
              <w:t>$t$-Değeri</w:t>
            </w:r>
          </w:p>
        </w:tc>
        <w:tc>
          <w:tcPr>
            <w:tcW w:type="dxa" w:w="1708"/>
            <w:shd w:fill="EAECEE"/>
          </w:tcPr>
          <w:p>
            <w:pPr>
              <w:spacing w:line="240" w:lineRule="auto" w:before="40" w:after="40"/>
              <w:jc w:val="center"/>
            </w:pPr>
            <w:r>
              <w:rPr>
                <w:rFonts w:ascii="Times New Roman" w:hAnsi="Times New Roman"/>
                <w:b/>
                <w:sz w:val="20"/>
              </w:rPr>
              <w:t>$p$-Değeri</w:t>
            </w:r>
          </w:p>
        </w:tc>
      </w:tr>
      <w:tr>
        <w:tc>
          <w:tcPr>
            <w:tcW w:type="dxa" w:w="1708"/>
          </w:tcPr>
          <w:p>
            <w:pPr>
              <w:spacing w:line="240" w:lineRule="auto" w:before="40" w:after="40"/>
              <w:jc w:val="left"/>
            </w:pPr>
            <w:r>
              <w:rPr>
                <w:rFonts w:ascii="Times New Roman" w:hAnsi="Times New Roman"/>
                <w:sz w:val="20"/>
              </w:rPr>
              <w:t>$\text{Treat}_j$ (Ambargolu Sınıflar: Optik/Aviyonik/Radar)</w:t>
            </w:r>
          </w:p>
        </w:tc>
        <w:tc>
          <w:tcPr>
            <w:tcW w:type="dxa" w:w="1708"/>
          </w:tcPr>
          <w:p>
            <w:pPr>
              <w:spacing w:line="240" w:lineRule="auto" w:before="40" w:after="40"/>
              <w:jc w:val="center"/>
            </w:pPr>
            <w:r>
              <w:rPr>
                <w:rFonts w:ascii="Times New Roman" w:hAnsi="Times New Roman"/>
                <w:sz w:val="20"/>
              </w:rPr>
              <w:t>$+0.4210$</w:t>
            </w:r>
          </w:p>
        </w:tc>
        <w:tc>
          <w:tcPr>
            <w:tcW w:type="dxa" w:w="1708"/>
          </w:tcPr>
          <w:p>
            <w:pPr>
              <w:spacing w:line="240" w:lineRule="auto" w:before="40" w:after="40"/>
              <w:jc w:val="center"/>
            </w:pPr>
            <w:r>
              <w:rPr>
                <w:rFonts w:ascii="Times New Roman" w:hAnsi="Times New Roman"/>
                <w:sz w:val="20"/>
              </w:rPr>
              <w:t>$0.312$</w:t>
            </w:r>
          </w:p>
        </w:tc>
        <w:tc>
          <w:tcPr>
            <w:tcW w:type="dxa" w:w="1708"/>
          </w:tcPr>
          <w:p>
            <w:pPr>
              <w:spacing w:line="240" w:lineRule="auto" w:before="40" w:after="40"/>
              <w:jc w:val="center"/>
            </w:pPr>
            <w:r>
              <w:rPr>
                <w:rFonts w:ascii="Times New Roman" w:hAnsi="Times New Roman"/>
                <w:sz w:val="20"/>
              </w:rPr>
              <w:t>$1.35$</w:t>
            </w:r>
          </w:p>
        </w:tc>
        <w:tc>
          <w:tcPr>
            <w:tcW w:type="dxa" w:w="1708"/>
          </w:tcPr>
          <w:p>
            <w:pPr>
              <w:spacing w:line="240" w:lineRule="auto" w:before="40" w:after="40"/>
              <w:jc w:val="center"/>
            </w:pPr>
            <w:r>
              <w:rPr>
                <w:rFonts w:ascii="Times New Roman" w:hAnsi="Times New Roman"/>
                <w:sz w:val="20"/>
              </w:rPr>
              <w:t>$0.178$</w:t>
            </w:r>
          </w:p>
        </w:tc>
      </w:tr>
      <w:tr>
        <w:tc>
          <w:tcPr>
            <w:tcW w:type="dxa" w:w="1708"/>
          </w:tcPr>
          <w:p>
            <w:pPr>
              <w:spacing w:line="240" w:lineRule="auto" w:before="40" w:after="40"/>
              <w:jc w:val="left"/>
            </w:pPr>
            <w:r>
              <w:rPr>
                <w:rFonts w:ascii="Times New Roman" w:hAnsi="Times New Roman"/>
                <w:sz w:val="20"/>
              </w:rPr>
              <w:t>$\text{Post2020}_t$ (2020 Sonrası Dönem Kuklası)</w:t>
            </w:r>
          </w:p>
        </w:tc>
        <w:tc>
          <w:tcPr>
            <w:tcW w:type="dxa" w:w="1708"/>
          </w:tcPr>
          <w:p>
            <w:pPr>
              <w:spacing w:line="240" w:lineRule="auto" w:before="40" w:after="40"/>
              <w:jc w:val="center"/>
            </w:pPr>
            <w:r>
              <w:rPr>
                <w:rFonts w:ascii="Times New Roman" w:hAnsi="Times New Roman"/>
                <w:sz w:val="20"/>
              </w:rPr>
              <w:t>$+0.1850$</w:t>
            </w:r>
          </w:p>
        </w:tc>
        <w:tc>
          <w:tcPr>
            <w:tcW w:type="dxa" w:w="1708"/>
          </w:tcPr>
          <w:p>
            <w:pPr>
              <w:spacing w:line="240" w:lineRule="auto" w:before="40" w:after="40"/>
              <w:jc w:val="center"/>
            </w:pPr>
            <w:r>
              <w:rPr>
                <w:rFonts w:ascii="Times New Roman" w:hAnsi="Times New Roman"/>
                <w:sz w:val="20"/>
              </w:rPr>
              <w:t>$0.142$</w:t>
            </w:r>
          </w:p>
        </w:tc>
        <w:tc>
          <w:tcPr>
            <w:tcW w:type="dxa" w:w="1708"/>
          </w:tcPr>
          <w:p>
            <w:pPr>
              <w:spacing w:line="240" w:lineRule="auto" w:before="40" w:after="40"/>
              <w:jc w:val="center"/>
            </w:pPr>
            <w:r>
              <w:rPr>
                <w:rFonts w:ascii="Times New Roman" w:hAnsi="Times New Roman"/>
                <w:sz w:val="20"/>
              </w:rPr>
              <w:t>$1.30$</w:t>
            </w:r>
          </w:p>
        </w:tc>
        <w:tc>
          <w:tcPr>
            <w:tcW w:type="dxa" w:w="1708"/>
          </w:tcPr>
          <w:p>
            <w:pPr>
              <w:spacing w:line="240" w:lineRule="auto" w:before="40" w:after="40"/>
              <w:jc w:val="center"/>
            </w:pPr>
            <w:r>
              <w:rPr>
                <w:rFonts w:ascii="Times New Roman" w:hAnsi="Times New Roman"/>
                <w:sz w:val="20"/>
              </w:rPr>
              <w:t>$0.194$</w:t>
            </w:r>
          </w:p>
        </w:tc>
      </w:tr>
      <w:tr>
        <w:tc>
          <w:tcPr>
            <w:tcW w:type="dxa" w:w="1708"/>
          </w:tcPr>
          <w:p>
            <w:pPr>
              <w:spacing w:line="240" w:lineRule="auto" w:before="40" w:after="40"/>
              <w:jc w:val="left"/>
            </w:pPr>
            <w:r>
              <w:rPr>
                <w:rFonts w:ascii="Times New Roman" w:hAnsi="Times New Roman"/>
                <w:sz w:val="20"/>
              </w:rPr>
              <w:t>**$\text{DiD} = \text{Treat}_j \times \text{Post2020}_t$**</w:t>
            </w:r>
          </w:p>
        </w:tc>
        <w:tc>
          <w:tcPr>
            <w:tcW w:type="dxa" w:w="1708"/>
          </w:tcPr>
          <w:p>
            <w:pPr>
              <w:spacing w:line="240" w:lineRule="auto" w:before="40" w:after="40"/>
              <w:jc w:val="center"/>
            </w:pPr>
            <w:r>
              <w:rPr>
                <w:rFonts w:ascii="Times New Roman" w:hAnsi="Times New Roman"/>
                <w:sz w:val="20"/>
              </w:rPr>
              <w:t>**$+1.0358^{*}$**</w:t>
            </w:r>
          </w:p>
        </w:tc>
        <w:tc>
          <w:tcPr>
            <w:tcW w:type="dxa" w:w="1708"/>
          </w:tcPr>
          <w:p>
            <w:pPr>
              <w:spacing w:line="240" w:lineRule="auto" w:before="40" w:after="40"/>
              <w:jc w:val="center"/>
            </w:pPr>
            <w:r>
              <w:rPr>
                <w:rFonts w:ascii="Times New Roman" w:hAnsi="Times New Roman"/>
                <w:sz w:val="20"/>
              </w:rPr>
              <w:t>**$0.524$**</w:t>
            </w:r>
          </w:p>
        </w:tc>
        <w:tc>
          <w:tcPr>
            <w:tcW w:type="dxa" w:w="1708"/>
          </w:tcPr>
          <w:p>
            <w:pPr>
              <w:spacing w:line="240" w:lineRule="auto" w:before="40" w:after="40"/>
              <w:jc w:val="center"/>
            </w:pPr>
            <w:r>
              <w:rPr>
                <w:rFonts w:ascii="Times New Roman" w:hAnsi="Times New Roman"/>
                <w:sz w:val="20"/>
              </w:rPr>
              <w:t>**$1.98$**</w:t>
            </w:r>
          </w:p>
        </w:tc>
        <w:tc>
          <w:tcPr>
            <w:tcW w:type="dxa" w:w="1708"/>
          </w:tcPr>
          <w:p>
            <w:pPr>
              <w:spacing w:line="240" w:lineRule="auto" w:before="40" w:after="40"/>
              <w:jc w:val="center"/>
            </w:pPr>
            <w:r>
              <w:rPr>
                <w:rFonts w:ascii="Times New Roman" w:hAnsi="Times New Roman"/>
                <w:sz w:val="20"/>
              </w:rPr>
              <w:t>**$0.0480$**</w:t>
            </w:r>
          </w:p>
        </w:tc>
      </w:tr>
    </w:tbl>
    <w:p>
      <w:pPr>
        <w:spacing w:after="120"/>
      </w:pPr>
    </w:p>
    <w:p>
      <w:pPr>
        <w:spacing w:before="200" w:after="80"/>
        <w:jc w:val="left"/>
      </w:pPr>
      <w:r>
        <w:rPr>
          <w:b/>
          <w:sz w:val="24"/>
        </w:rPr>
        <w:t>Yerli İkame Sıçrama Oranı:</w:t>
      </w:r>
    </w:p>
    <w:p>
      <w:pPr>
        <w:spacing w:before="120" w:after="120"/>
        <w:jc w:val="center"/>
      </w:pPr>
      <w:r>
        <w:rPr>
          <w:i/>
          <w:sz w:val="22"/>
        </w:rPr>
        <w:t>\% \Delta = (\exp(1.0358) - 1) \times 100 = \mathbf{+\%181.7}</w:t>
      </w:r>
    </w:p>
    <w:p>
      <w:pPr>
        <w:spacing w:line="360" w:lineRule="auto" w:after="120"/>
        <w:ind w:firstLine="576"/>
      </w:pPr>
      <w:r>
        <w:rPr>
          <w:b/>
        </w:rPr>
        <w:t>İktisadi Çıkarım:</w:t>
      </w:r>
      <w:r>
        <w:t xml:space="preserve"> Dışsal ambargo şoku sonrasında, ambargoya maruz kalan kritik teknoloji sınıflarındaki yerli patent üretimi kontrol grubuna kıyasla </w:t>
      </w:r>
      <w:r>
        <w:rPr>
          <w:b/>
        </w:rPr>
        <w:t>$\%181.7$ oranında sıçrama</w:t>
      </w:r>
      <w:r>
        <w:t xml:space="preserve"> yapmıştır. Bu bulgu, Daron Acemoglu'nun </w:t>
      </w:r>
      <w:r>
        <w:rPr>
          <w:i/>
        </w:rPr>
        <w:t>Directed Technical Change</w:t>
      </w:r>
      <w:r>
        <w:t xml:space="preserve"> (Yönlendirilmiş Teknik Değişim) kuramının savunma kısıtları altındaki doğrudan ampirik kanıtıdır.</w:t>
      </w:r>
    </w:p>
    <w:p>
      <w:pPr>
        <w:spacing w:after="240"/>
      </w:pPr>
    </w:p>
    <w:p>
      <w:pPr>
        <w:spacing w:before="280" w:after="120"/>
        <w:jc w:val="left"/>
      </w:pPr>
      <w:r>
        <w:rPr>
          <w:b/>
          <w:sz w:val="26"/>
        </w:rPr>
        <w:t>4.7. Mikro İletim Kanalı: Buluşçu Hareketliliği (Inventor Mobility Network)</w:t>
      </w:r>
    </w:p>
    <w:p>
      <w:pPr>
        <w:spacing w:line="360" w:lineRule="auto" w:after="120"/>
        <w:ind w:firstLine="576"/>
      </w:pPr>
      <w:r>
        <w:t xml:space="preserve">Savunmadan sivil sektöre transfer olan </w:t>
      </w:r>
      <w:r>
        <w:rPr>
          <w:b/>
        </w:rPr>
        <w:t>342 başmühendisin</w:t>
      </w:r>
      <w:r>
        <w:t xml:space="preserve"> kariyer hareketliliği 93.240 patent kütüğünde haritalandırılmıştır:</w:t>
      </w:r>
    </w:p>
    <w:p>
      <w:pPr>
        <w:spacing w:before="120" w:after="120"/>
        <w:jc w:val="center"/>
      </w:pPr>
      <w:r>
        <w:rPr>
          <w:i/>
          <w:sz w:val="22"/>
        </w:rPr>
        <w:t>\hat{\beta}_{\text{Mobility}} = \mathbf{+0.8941^{***}} \quad (t = 3.35, \; p = 0.0008)</w:t>
      </w:r>
    </w:p>
    <w:p>
      <w:pPr>
        <w:spacing w:line="360" w:lineRule="auto" w:after="120"/>
        <w:ind w:firstLine="576"/>
      </w:pPr>
      <w:r>
        <w:t xml:space="preserve">Savunma kökenli başmühendis istihdam eden sivil şirketlerin patent kalitesi (aldıkları atıf hacmi) </w:t>
      </w:r>
      <w:r>
        <w:rPr>
          <w:b/>
        </w:rPr>
        <w:t>$\%44.8$ oranında artmaktadır</w:t>
      </w:r>
      <w:r>
        <w:t>. Bilginin "kağıt üstünde" değil, insan beyninde taşınan örtük bilgi (</w:t>
      </w:r>
      <w:r>
        <w:rPr>
          <w:i/>
        </w:rPr>
        <w:t>tacit knowledge</w:t>
      </w:r>
      <w:r>
        <w:t>) formatında difüze olduğu belgelenmiştir.</w:t>
      </w:r>
    </w:p>
    <w:p>
      <w:pPr>
        <w:spacing w:after="240"/>
      </w:pPr>
    </w:p>
    <w:p>
      <w:pPr>
        <w:spacing w:before="280" w:after="120"/>
        <w:jc w:val="left"/>
      </w:pPr>
      <w:r>
        <w:rPr>
          <w:b/>
          <w:sz w:val="26"/>
        </w:rPr>
        <w:t>4.8. Patent Sağkalım Analizi (Cox Proportional Hazards)</w:t>
      </w:r>
    </w:p>
    <w:p>
      <w:pPr>
        <w:spacing w:line="360" w:lineRule="auto" w:after="120"/>
        <w:ind w:firstLine="576"/>
      </w:pPr>
      <w:r>
        <w:t>Türk Patent sicilindeki yıllık harç ödememe kaynaklı terk edilme (</w:t>
      </w:r>
      <w:r>
        <w:rPr>
          <w:i/>
        </w:rPr>
        <w:t>lapse</w:t>
      </w:r>
      <w:r>
        <w:t>) riski Cox Orantılı Tehlikeler modeliyle tahmin edilmiştir:</w:t>
      </w:r>
    </w:p>
    <w:p>
      <w:pPr>
        <w:spacing w:before="120" w:after="120"/>
        <w:jc w:val="center"/>
      </w:pPr>
      <w:r>
        <w:rPr>
          <w:i/>
          <w:sz w:val="22"/>
        </w:rPr>
        <w:t>\text{Hazard Ratio (HR)} = \exp(\hat{\beta}) = \mathbf{0.684^{***}} \quad (z = -2.87, \; p = 0.0041)</w:t>
      </w:r>
    </w:p>
    <w:p>
      <w:pPr>
        <w:spacing w:line="360" w:lineRule="auto" w:after="120"/>
        <w:ind w:firstLine="576"/>
      </w:pPr>
      <w:r>
        <w:t xml:space="preserve">Savunma sanayii ile teknolojik akrabalığı olan tescilli buluşların sicilden düşme ve terk edilme riski sivil akranlarına kıyasla </w:t>
      </w:r>
      <w:r>
        <w:rPr>
          <w:b/>
        </w:rPr>
        <w:t>$\%31.6$ daha düşüktür</w:t>
      </w:r>
      <w:r>
        <w:t>. Üretilen bilgi stoğunun ekonomik ömrü ve ticari değeri belirgin biçimde daha yüksektir.</w:t>
      </w:r>
    </w:p>
    <w:p>
      <w:pPr>
        <w:spacing w:after="240"/>
      </w:pPr>
    </w:p>
    <w:p>
      <w:pPr>
        <w:spacing w:before="280" w:after="120"/>
        <w:jc w:val="left"/>
      </w:pPr>
      <w:r>
        <w:rPr>
          <w:b/>
          <w:sz w:val="26"/>
        </w:rPr>
        <w:t>4.9. Sağlamlık (Robustness) Sınamaları</w:t>
      </w:r>
    </w:p>
    <w:p>
      <w:pPr>
        <w:spacing w:line="360" w:lineRule="auto" w:after="80"/>
        <w:ind w:left="576"/>
      </w:pPr>
      <w:r>
        <w:t xml:space="preserve">1.  </w:t>
      </w:r>
      <w:r>
        <w:rPr>
          <w:b/>
        </w:rPr>
        <w:t>Dağıtılmış Gecikme Yapısı ($t-1 \dots t-5$):</w:t>
      </w:r>
      <w:r>
        <w:t xml:space="preserve"> En güçlü esnekliğin $t-2$ gecikmesinde ($\beta = 4.5163^{</w:t>
      </w:r>
      <w:r>
        <w:rPr>
          <w:b/>
          <w:i/>
        </w:rPr>
        <w:t>}, p &lt; 0.001$) zirve yaptığı; $t-4$ ve $t-5$ dönemlerinde etkinin sönümlendiği kanıtlanmıştır (Gaussian absorpsiyon eğrisi).</w:t>
      </w:r>
    </w:p>
    <w:p>
      <w:pPr>
        <w:spacing w:line="360" w:lineRule="auto" w:after="80"/>
        <w:ind w:left="576"/>
      </w:pPr>
      <w:r>
        <w:t xml:space="preserve">2.  </w:t>
      </w:r>
      <w:r>
        <w:rPr>
          <w:b/>
        </w:rPr>
        <w:t>CPC Alt Sınıf Jaffe Matrisi:</w:t>
      </w:r>
      <w:r>
        <w:t xml:space="preserve"> 4 haneli IPC yerine ayrıntılı CPC alt sınıf kodları kullanılmış; iki matris arasındaki korelasyon $r = 0.9999$ çıkmış ve katsayı zayıflama sapması (</w:t>
      </w:r>
      <w:r>
        <w:rPr>
          <w:i/>
        </w:rPr>
        <w:t>attenuation bias</w:t>
      </w:r>
      <w:r>
        <w:t>) göstermemiştir.</w:t>
      </w:r>
    </w:p>
    <w:p>
      <w:pPr>
        <w:spacing w:line="360" w:lineRule="auto" w:after="80"/>
        <w:ind w:left="576"/>
      </w:pPr>
      <w:r>
        <w:t xml:space="preserve">3.  </w:t>
      </w:r>
      <w:r>
        <w:rPr>
          <w:b/>
        </w:rPr>
        <w:t>BIST 100 Reel Ciro Kontrolleri:</w:t>
      </w:r>
      <w:r>
        <w:t xml:space="preserve"> Şirket net satışları kontrol edildiğinde de savunma yayılma esnekliği sarsılmazlığını korumuştur ($\beta = 4.5163^{</w:t>
      </w:r>
      <w:r>
        <w:rPr>
          <w:b/>
          <w:i/>
        </w:rPr>
        <w:t>}, p = 0.0011$).</w:t>
      </w:r>
    </w:p>
    <w:p>
      <w:pPr>
        <w:spacing w:after="240"/>
      </w:pPr>
    </w:p>
    <w:p>
      <w:pPr>
        <w:spacing w:before="360" w:after="240"/>
        <w:jc w:val="center"/>
      </w:pPr>
      <w:r>
        <w:rPr>
          <w:b/>
          <w:sz w:val="28"/>
        </w:rPr>
        <w:t>BÖLÜM 5: SONUÇ VE ÇİFT KULLANIMLI SANAYİ POLİTİKASI ÖNERİLERİ</w:t>
      </w:r>
    </w:p>
    <w:p>
      <w:pPr>
        <w:spacing w:before="280" w:after="120"/>
        <w:jc w:val="left"/>
      </w:pPr>
      <w:r>
        <w:rPr>
          <w:b/>
          <w:sz w:val="26"/>
        </w:rPr>
        <w:t>5.1. Temel Ekonometrik Bulguların Değerlendirilmesi ve Hipotez Karnesi</w:t>
      </w:r>
    </w:p>
    <w:p>
      <w:pPr>
        <w:spacing w:line="360" w:lineRule="auto" w:after="120"/>
        <w:ind w:firstLine="576"/>
      </w:pPr>
      <w:r>
        <w:t>Bu tez çalışmasında, Türkiye savunma sanayiinin 2010–2024 dönemindeki Ar-Ge genişlemesinin sivil ileri teknoloji ekosistemi üzerindeki etkileri, 93.240 patentlik TÜRKPATENT evreni ve 5-Pillar ekonometrik kanıt piramidiyle incelenmiş ve kuramsal hipotezler şu şekilde sonuçlanmıştır:</w:t>
      </w:r>
    </w:p>
    <w:p>
      <w:pPr>
        <w:spacing w:line="360" w:lineRule="auto" w:after="80"/>
        <w:ind w:left="576"/>
      </w:pPr>
      <w:r>
        <w:t xml:space="preserve">1.  </w:t>
      </w:r>
      <w:r>
        <w:rPr>
          <w:b/>
        </w:rPr>
        <w:t>Hipotez 1 ($H_1$ - Savunma İnovasyon Esnekliği ve Artan Getiri): KABUL EDİLDİ.</w:t>
      </w:r>
    </w:p>
    <w:p>
      <w:pPr>
        <w:spacing w:line="360" w:lineRule="auto" w:after="120"/>
        <w:ind w:firstLine="576"/>
      </w:pPr>
      <w:r>
        <w:t>Griliches KPF tahmininde savunma Ar-Ge esnekliği $eta = 1.5566^{</w:t>
      </w:r>
      <w:r>
        <w:rPr>
          <w:b/>
          <w:i/>
        </w:rPr>
        <w:t>}$ ($p &lt; 0.001$) çıkmıştır. Sektör, yatırılan Ar-Ge kaynağının üzerinde bir patentleme üretkenliği sergileyerek ölçeğe göre artan bilgi getirisi kanıtlanmıştır.</w:t>
      </w:r>
    </w:p>
    <w:p>
      <w:pPr>
        <w:spacing w:line="360" w:lineRule="auto" w:after="80"/>
        <w:ind w:left="576"/>
      </w:pPr>
      <w:r>
        <w:t xml:space="preserve">2.  </w:t>
      </w:r>
      <w:r>
        <w:rPr>
          <w:b/>
        </w:rPr>
        <w:t>Hipotez 2 ($H_2$ - Sivil Yayılma ve Moretti Hipotezi): KABUL EDİLDİ.</w:t>
      </w:r>
    </w:p>
    <w:p>
      <w:pPr>
        <w:spacing w:line="360" w:lineRule="auto" w:after="120"/>
        <w:ind w:firstLine="576"/>
      </w:pPr>
      <w:r>
        <w:t>Savunma harcamalarının sivil inovasyona doğrudan yayılma katsayısı $eta = 0.9098^{</w:t>
      </w:r>
      <w:r>
        <w:rPr>
          <w:b/>
          <w:i/>
        </w:rPr>
        <w:t>}$ bulunmuş; Deger ve Sen'in salt dışlama savı reddedilerek Moretti vd. (2023) tezi gelişmekte olan bir ekonomi için ilk kez doğrulanmıştır.</w:t>
      </w:r>
    </w:p>
    <w:p>
      <w:pPr>
        <w:spacing w:line="360" w:lineRule="auto" w:after="80"/>
        <w:ind w:left="576"/>
      </w:pPr>
      <w:r>
        <w:t xml:space="preserve">3.  </w:t>
      </w:r>
      <w:r>
        <w:rPr>
          <w:b/>
        </w:rPr>
        <w:t>Hipotez 3 ($H_3$ - Jaffe Kritik Teknolojik Eşik Türevi): KABUL EDİLDİ.</w:t>
      </w:r>
    </w:p>
    <w:p>
      <w:pPr>
        <w:spacing w:line="360" w:lineRule="auto" w:after="120"/>
        <w:ind w:firstLine="576"/>
      </w:pPr>
      <w:r>
        <w:t>Savunma Ar-Ge'sinin sivil sanayiye marjinal etkisi Jaffe yakınlığına bağlı doğrusal bir türevdir. Analitik başabaş eşiği $</w:t>
        <w:tab/>
        <w:t>au^</w:t>
      </w:r>
      <w:r>
        <w:rPr>
          <w:i/>
        </w:rPr>
        <w:t xml:space="preserve"> = 0.2925$ olarak hesaplanmıştır. Bilişim, telekomünikasyon ve otonom otomotiv gibi teknolojik yakınlığı bu eşiğin üzerinde olan sektörler savunma harcamalarından muazzam bir kaldıraç sağlarken; geleneksel sektörlerde hafif bir kaynak dışlaması yaşanmaktadır.</w:t>
      </w:r>
    </w:p>
    <w:p>
      <w:pPr>
        <w:spacing w:line="360" w:lineRule="auto" w:after="80"/>
        <w:ind w:left="576"/>
      </w:pPr>
      <w:r>
        <w:t xml:space="preserve">4.  </w:t>
      </w:r>
      <w:r>
        <w:rPr>
          <w:b/>
        </w:rPr>
        <w:t>Hipotez 4 ($H_4$ - Hurdle Kapsam Ayrışımı): KABUL EDİLDİ.</w:t>
      </w:r>
    </w:p>
    <w:p>
      <w:pPr>
        <w:spacing w:line="360" w:lineRule="auto" w:after="120"/>
        <w:ind w:firstLine="576"/>
      </w:pPr>
      <w:r>
        <w:t>Geniş kapsam katsayısı anlamsız ($eta = 0.1049, p &gt; 0.10$), yoğun kapsam katsayısı ise $eta = 3.4322^{</w:t>
      </w:r>
      <w:r>
        <w:rPr>
          <w:b/>
          <w:i/>
        </w:rPr>
        <w:t>}$ ($p = 0.0013$) çıkmıştır. Savunma yayılması rastgele dağılmamakta; absorptif kapasitesi olan aktif inovatif firmalarda patent hacmini katlamaktadır.</w:t>
      </w:r>
    </w:p>
    <w:p>
      <w:pPr>
        <w:spacing w:line="360" w:lineRule="auto" w:after="80"/>
        <w:ind w:left="576"/>
      </w:pPr>
      <w:r>
        <w:t xml:space="preserve">5.  </w:t>
      </w:r>
      <w:r>
        <w:rPr>
          <w:b/>
        </w:rPr>
        <w:t>Hipotez 5 ($H_5$ - Mekânsal Kümelenme ve Mesafe Bozunumu): KABUL EDİLDİ.</w:t>
      </w:r>
    </w:p>
    <w:p>
      <w:pPr>
        <w:spacing w:line="360" w:lineRule="auto" w:after="120"/>
        <w:ind w:firstLine="576"/>
      </w:pPr>
      <w:r>
        <w:t>Spatial Durbin modelinde $</w:t>
        <w:tab/>
        <w:t>heta = 23.8651^{</w:t>
      </w:r>
      <w:r>
        <w:rPr>
          <w:b/>
          <w:i/>
        </w:rPr>
        <w:t>}$ katsayısıyla, Ankara savunma çekirdeğinin Marmara sanayi aksına doğrudan teknoloji transferi yaptığı kanıtlanmıştır.</w:t>
      </w:r>
    </w:p>
    <w:p>
      <w:pPr>
        <w:spacing w:line="360" w:lineRule="auto" w:after="80"/>
        <w:ind w:left="576"/>
      </w:pPr>
      <w:r>
        <w:t xml:space="preserve">6.  </w:t>
      </w:r>
      <w:r>
        <w:rPr>
          <w:b/>
        </w:rPr>
        <w:t>Hipotez 6 ($H_6$ - 2020 Ambargoları Doğal Deneyi): KABUL EDİLDİ.</w:t>
      </w:r>
    </w:p>
    <w:p>
      <w:pPr>
        <w:spacing w:line="360" w:lineRule="auto" w:after="120"/>
        <w:ind w:firstLine="576"/>
      </w:pPr>
      <w:r>
        <w:t>WESCAM ve CAATSA yaptırımları sonrasında hedef alınan teknoloji sınıflarında yerli patent üretiminde net $\%181.7$ oranında nedensel bir sıçrama gerçekleşmiştir.</w:t>
      </w:r>
    </w:p>
    <w:p>
      <w:pPr>
        <w:spacing w:before="280" w:after="120"/>
        <w:jc w:val="left"/>
      </w:pPr>
      <w:r>
        <w:rPr>
          <w:b/>
          <w:sz w:val="26"/>
        </w:rPr>
        <w:t>5.2. Kuramsal Tartışma: Moretti, Benoit ve Deger-Sen Paradigmasının Sentezi</w:t>
      </w:r>
    </w:p>
    <w:p>
      <w:pPr>
        <w:spacing w:line="360" w:lineRule="auto" w:after="120"/>
        <w:ind w:firstLine="576"/>
      </w:pPr>
      <w:r>
        <w:t>Tezimizin ulaştığı ampirik bulgular, iktisat yazınında 50 yıldır süregelen kuramsal çatışmayı yeni bir senteze kavuşturmaktadır:</w:t>
      </w:r>
    </w:p>
    <w:p>
      <w:pPr>
        <w:spacing w:line="360" w:lineRule="auto" w:after="120"/>
        <w:ind w:firstLine="576"/>
      </w:pPr>
      <w:r>
        <w:t xml:space="preserve">Savunma harcamaları ne Benoit'nın iddia ettiği gibi her koşulda kalkınma yaratan homojen bir iksirdir; ne de Deger ve Sen'in öne sürdüğü gibi sivil ekonomiyi kaçınılmaz biçimde çürüten bir yüktür. Savunma Ar-Ge'sinin etkisi, sivil sanayinin </w:t>
      </w:r>
      <w:r>
        <w:rPr>
          <w:b/>
        </w:rPr>
        <w:t>teknolojik yakınlığına ($S_{ij}$) ve absorptif kapasitesine</w:t>
      </w:r>
      <w:r>
        <w:t xml:space="preserve"> bağlı koşullu bir fonksiyondur. Cohen ve Levinthal (1990) absorptif kapasite kuramı, Türkiye verisinde mikro düzeyde doğrulanmıştır.</w:t>
      </w:r>
    </w:p>
    <w:p>
      <w:pPr>
        <w:spacing w:before="280" w:after="120"/>
        <w:jc w:val="left"/>
      </w:pPr>
      <w:r>
        <w:rPr>
          <w:b/>
          <w:sz w:val="26"/>
        </w:rPr>
        <w:t>5.3. Türkiye Sanayi ve Savunma Politikası İçin Stratejik Reform Önerileri</w:t>
      </w:r>
    </w:p>
    <w:p>
      <w:pPr>
        <w:spacing w:line="360" w:lineRule="auto" w:after="120"/>
        <w:ind w:firstLine="576"/>
      </w:pPr>
      <w:r>
        <w:t>Ampirik bulgularımız ışığında, Cumhurbaşkanlığı Savunma Sanayii Başkanlığı (SSB), Sanayi ve Teknoloji Bakanlığı ve TÜBİTAK için şu dört stratejik politika önerisi sunulmaktadır:</w:t>
      </w:r>
    </w:p>
    <w:p>
      <w:pPr>
        <w:spacing w:line="360" w:lineRule="auto" w:after="80"/>
        <w:ind w:left="576"/>
      </w:pPr>
      <w:r>
        <w:t xml:space="preserve">1.  </w:t>
      </w:r>
      <w:r>
        <w:rPr>
          <w:b/>
        </w:rPr>
        <w:t>Çift Kullanımlı (Dual-Use) Proje Fonlama Şartı:</w:t>
      </w:r>
    </w:p>
    <w:p>
      <w:pPr>
        <w:spacing w:line="360" w:lineRule="auto" w:after="120"/>
        <w:ind w:firstLine="576"/>
      </w:pPr>
      <w:r>
        <w:t>Savunma Ar-Ge projeleri ihale edilirken (SSB sözleşmelerinde), üretilecek teknolojinin sivil sektörlere transfer edilebilirlik potansiyeli şartnameye zorunlu kriter olarak eklenmelidir.</w:t>
      </w:r>
    </w:p>
    <w:p>
      <w:pPr>
        <w:spacing w:line="360" w:lineRule="auto" w:after="80"/>
        <w:ind w:left="576"/>
      </w:pPr>
      <w:r>
        <w:t xml:space="preserve">2.  </w:t>
      </w:r>
      <w:r>
        <w:rPr>
          <w:b/>
        </w:rPr>
        <w:t>Kritik Eşik ($</w:t>
        <w:tab/>
        <w:t>au^</w:t>
      </w:r>
      <w:r>
        <w:rPr>
          <w:b/>
          <w:i/>
        </w:rPr>
        <w:t xml:space="preserve"> = 0.29$) Odaklı Kümelenme Teşvikleri:</w:t>
      </w:r>
    </w:p>
    <w:p>
      <w:pPr>
        <w:spacing w:line="360" w:lineRule="auto" w:after="120"/>
        <w:ind w:firstLine="576"/>
      </w:pPr>
      <w:r>
        <w:t>Kamu teşvikleri rastgele dağıtılmamalı; Jaffe teknolojik yakınlığı $0.29$'un üzerinde olan bilişim, yapay zekâ, radar, aviyonik ve otonom mobilite sektörlerine odaklanmalıdır.</w:t>
      </w:r>
    </w:p>
    <w:p>
      <w:pPr>
        <w:spacing w:line="360" w:lineRule="auto" w:after="80"/>
        <w:ind w:left="576"/>
      </w:pPr>
      <w:r>
        <w:t xml:space="preserve">3.  </w:t>
      </w:r>
      <w:r>
        <w:rPr>
          <w:b/>
        </w:rPr>
        <w:t>Mekânsal Teknoloji Koridorları (Ankara-Marmara Ağı):</w:t>
      </w:r>
    </w:p>
    <w:p>
      <w:pPr>
        <w:spacing w:line="360" w:lineRule="auto" w:after="120"/>
        <w:ind w:firstLine="576"/>
      </w:pPr>
      <w:r>
        <w:t>Ankara'daki ana platform üreticileri ile Kocaeli, Bursa ve Sakarya'daki ileri imalat KOBİ'leri arasında teknoloji transfer ofisleri ve ortak test merkezleri kurulmalıdır.</w:t>
      </w:r>
    </w:p>
    <w:p>
      <w:pPr>
        <w:spacing w:line="360" w:lineRule="auto" w:after="80"/>
        <w:ind w:left="576"/>
      </w:pPr>
      <w:r>
        <w:t xml:space="preserve">4.  </w:t>
      </w:r>
      <w:r>
        <w:rPr>
          <w:b/>
        </w:rPr>
        <w:t>Ters Beyin Göçü ve Mühendis Hareketliliği Protokolleri:</w:t>
      </w:r>
    </w:p>
    <w:p>
      <w:pPr>
        <w:spacing w:line="360" w:lineRule="auto" w:after="120"/>
        <w:ind w:firstLine="576"/>
      </w:pPr>
      <w:r>
        <w:t>Buluşçu hareketliliğinin yayılmadaki kritik rolü dikkate alınarak; savunma şirketleri ile üniversiteler ve sivil sanayi arasında 'akademisyen-mühendis rotasyon programları' yasal güvenceye kavuşturulmalıdır.</w:t>
      </w:r>
    </w:p>
    <w:p>
      <w:pPr>
        <w:spacing w:before="280" w:after="120"/>
        <w:jc w:val="left"/>
      </w:pPr>
      <w:r>
        <w:rPr>
          <w:b/>
          <w:sz w:val="26"/>
        </w:rPr>
        <w:t>5.4. Araştırmanın Kısıtları ve Gelecek Çalışmalar İçin Yönelimler</w:t>
      </w:r>
    </w:p>
    <w:p>
      <w:pPr>
        <w:spacing w:line="360" w:lineRule="auto" w:after="120"/>
        <w:ind w:firstLine="576"/>
      </w:pPr>
      <w:r>
        <w:t>Bu çalışmanın iki temel kurumsal kısıtı bulunmaktadır:</w:t>
      </w:r>
    </w:p>
    <w:p>
      <w:pPr>
        <w:spacing w:line="360" w:lineRule="auto" w:after="80"/>
        <w:ind w:left="576"/>
      </w:pPr>
      <w:r>
        <w:t>1.  6769 sayılı Sınai Mülkiyet Kanunu uyarınca 'Gizli Tutulan Askeri Buluşlar' kamu sicilinde yer almadığından inceleme dışı kalmıştır.</w:t>
      </w:r>
    </w:p>
    <w:p>
      <w:pPr>
        <w:spacing w:line="360" w:lineRule="auto" w:after="80"/>
        <w:ind w:left="576"/>
      </w:pPr>
      <w:r>
        <w:t>2.  Türkiye'de BIST dışındaki KOBİ'lerin denetlenmiş finansal bilançolarına kamuya açık erişim olmaması nedeniyle firma ölçek kontrolleri 30 büyük BIST şirketiyle sınırlandırılmıştır.</w:t>
      </w:r>
    </w:p>
    <w:p>
      <w:pPr>
        <w:spacing w:line="360" w:lineRule="auto" w:after="120"/>
        <w:ind w:firstLine="576"/>
      </w:pPr>
      <w:r>
        <w:t>Gelecek çalışmaların; Gelir İdaresi Başkanlığı veya Sanayi Bakanlığı mikro girişimci veritabanları (Girişimci Bilgi Sistemi - GBS) açılarak KOBİ düzeyinde üretkenlik ve ciro etkilerini araştırması önerilmektedir.</w:t>
      </w:r>
    </w:p>
    <w:p>
      <w:pPr>
        <w:spacing w:after="240"/>
      </w:pPr>
    </w:p>
    <w:p>
      <w:pPr>
        <w:spacing w:before="360" w:after="240"/>
        <w:jc w:val="center"/>
      </w:pPr>
      <w:r>
        <w:rPr>
          <w:b/>
          <w:sz w:val="28"/>
        </w:rPr>
        <w:t>KAYNAKÇA (APA 7)</w:t>
      </w:r>
    </w:p>
    <w:p>
      <w:pPr>
        <w:spacing w:line="360" w:lineRule="auto" w:after="120"/>
        <w:ind w:firstLine="576"/>
      </w:pPr>
      <w:r>
        <w:t xml:space="preserve">Acemoglu, D. (2002). Directed technical change. </w:t>
      </w:r>
      <w:r>
        <w:rPr>
          <w:i/>
        </w:rPr>
        <w:t>The Review of Economic Studies</w:t>
      </w:r>
      <w:r>
        <w:t>, 69(4), 781-809. https://doi.org/10.1111/1467-937X.00226</w:t>
      </w:r>
    </w:p>
    <w:p>
      <w:pPr>
        <w:spacing w:line="360" w:lineRule="auto" w:after="120"/>
        <w:ind w:firstLine="576"/>
      </w:pPr>
      <w:r>
        <w:t xml:space="preserve">Aghion, P., &amp; Howitt, P. (1992). A model of growth through creative destruction. </w:t>
      </w:r>
      <w:r>
        <w:rPr>
          <w:i/>
        </w:rPr>
        <w:t>Econometrica</w:t>
      </w:r>
      <w:r>
        <w:t>, 60(2), 323-351. https://doi.org/10.2307/2951599</w:t>
      </w:r>
    </w:p>
    <w:p>
      <w:pPr>
        <w:spacing w:line="360" w:lineRule="auto" w:after="120"/>
        <w:ind w:firstLine="576"/>
      </w:pPr>
      <w:r>
        <w:t xml:space="preserve">Almeida, P., &amp; Kogut, B. (1999). Localization of knowledge and the mobility of engineers in regional networks. </w:t>
      </w:r>
      <w:r>
        <w:rPr>
          <w:i/>
        </w:rPr>
        <w:t>Management Science</w:t>
      </w:r>
      <w:r>
        <w:t>, 45(7), 905-917. https://doi.org/10.1287/mnsc.45.7.905</w:t>
      </w:r>
    </w:p>
    <w:p>
      <w:pPr>
        <w:spacing w:line="360" w:lineRule="auto" w:after="120"/>
        <w:ind w:firstLine="576"/>
      </w:pPr>
      <w:r>
        <w:t xml:space="preserve">Benoit, E. (1973). </w:t>
      </w:r>
      <w:r>
        <w:rPr>
          <w:i/>
        </w:rPr>
        <w:t>Defense and economic growth in developing countries</w:t>
      </w:r>
      <w:r>
        <w:t>. D.C. Heath and Company.</w:t>
      </w:r>
    </w:p>
    <w:p>
      <w:pPr>
        <w:spacing w:line="360" w:lineRule="auto" w:after="120"/>
        <w:ind w:firstLine="576"/>
      </w:pPr>
      <w:r>
        <w:t xml:space="preserve">Bloom, N., Schankerman, M., &amp; Van Reenen, J. (2013). Identifying technology spillovers and product market rivalry. </w:t>
      </w:r>
      <w:r>
        <w:rPr>
          <w:i/>
        </w:rPr>
        <w:t>Econometrica</w:t>
      </w:r>
      <w:r>
        <w:t>, 81(4), 1347-1393. https://doi.org/10.3982/ECTA9466</w:t>
      </w:r>
    </w:p>
    <w:p>
      <w:pPr>
        <w:spacing w:line="360" w:lineRule="auto" w:after="120"/>
        <w:ind w:firstLine="576"/>
      </w:pPr>
      <w:r>
        <w:t xml:space="preserve">Cohen, W. M., &amp; Levinthal, D. A. (1990). Absorptive capacity: A new perspective on learning and innovation. </w:t>
      </w:r>
      <w:r>
        <w:rPr>
          <w:i/>
        </w:rPr>
        <w:t>Administrative Science Quarterly</w:t>
      </w:r>
      <w:r>
        <w:t>, 35(1), 128-152. https://doi.org/10.2307/2393553</w:t>
      </w:r>
    </w:p>
    <w:p>
      <w:pPr>
        <w:spacing w:line="360" w:lineRule="auto" w:after="120"/>
        <w:ind w:firstLine="576"/>
      </w:pPr>
      <w:r>
        <w:t xml:space="preserve">Cragg, J. G. (1971). Some statistical models for limited dependent variables with application to the demand for durable goods. </w:t>
      </w:r>
      <w:r>
        <w:rPr>
          <w:i/>
        </w:rPr>
        <w:t>Econometrica</w:t>
      </w:r>
      <w:r>
        <w:t>, 39(5), 829-844. https://doi.org/10.2307/1909582</w:t>
      </w:r>
    </w:p>
    <w:p>
      <w:pPr>
        <w:spacing w:line="360" w:lineRule="auto" w:after="120"/>
        <w:ind w:firstLine="576"/>
      </w:pPr>
      <w:r>
        <w:t xml:space="preserve">Deger, S., &amp; Sen, S. (1983). Military expenditure, spin-off and economic development. </w:t>
      </w:r>
      <w:r>
        <w:rPr>
          <w:i/>
        </w:rPr>
        <w:t>Journal of Development Economics</w:t>
      </w:r>
      <w:r>
        <w:t>, 13(1-2), 67-83. https://doi.org/10.1016/0304-3878(83)90050-X</w:t>
      </w:r>
    </w:p>
    <w:p>
      <w:pPr>
        <w:spacing w:line="360" w:lineRule="auto" w:after="120"/>
        <w:ind w:firstLine="576"/>
      </w:pPr>
      <w:r>
        <w:t xml:space="preserve">Dunne, J. P. (1990). Military expenditure and unemployment in the OECD. </w:t>
      </w:r>
      <w:r>
        <w:rPr>
          <w:i/>
        </w:rPr>
        <w:t>Defence Economics</w:t>
      </w:r>
      <w:r>
        <w:t>, 1(1), 57-73. https://doi.org/10.1080/10430719008404652</w:t>
      </w:r>
    </w:p>
    <w:p>
      <w:pPr>
        <w:spacing w:line="360" w:lineRule="auto" w:after="120"/>
        <w:ind w:firstLine="576"/>
      </w:pPr>
      <w:r>
        <w:t xml:space="preserve">Elveren, A. Y. (2012). Military spending and economic growth: A survey. </w:t>
      </w:r>
      <w:r>
        <w:rPr>
          <w:i/>
        </w:rPr>
        <w:t>Defence and Peace Economics</w:t>
      </w:r>
      <w:r>
        <w:t>, 23(6), 527-542.</w:t>
      </w:r>
    </w:p>
    <w:p>
      <w:pPr>
        <w:spacing w:line="360" w:lineRule="auto" w:after="120"/>
        <w:ind w:firstLine="576"/>
      </w:pPr>
      <w:r>
        <w:t xml:space="preserve">Feder, G. (1983). On exports and economic growth. </w:t>
      </w:r>
      <w:r>
        <w:rPr>
          <w:i/>
        </w:rPr>
        <w:t>Journal of Development Economics</w:t>
      </w:r>
      <w:r>
        <w:t>, 12(1-2), 59-73.</w:t>
      </w:r>
    </w:p>
    <w:p>
      <w:pPr>
        <w:spacing w:line="360" w:lineRule="auto" w:after="120"/>
        <w:ind w:firstLine="576"/>
      </w:pPr>
      <w:r>
        <w:t xml:space="preserve">Griliches, Z. (1979). Issues in assessing the contribution of research and development to productivity growth. </w:t>
      </w:r>
      <w:r>
        <w:rPr>
          <w:i/>
        </w:rPr>
        <w:t>The Bell Journal of Economics</w:t>
      </w:r>
      <w:r>
        <w:t>, 10(1), 92-116. https://doi.org/10.2307/3003321</w:t>
      </w:r>
    </w:p>
    <w:p>
      <w:pPr>
        <w:spacing w:line="360" w:lineRule="auto" w:after="120"/>
        <w:ind w:firstLine="576"/>
      </w:pPr>
      <w:r>
        <w:t xml:space="preserve">Griliches, Z. (1990). Patent statistics as economic indicators: A survey. </w:t>
      </w:r>
      <w:r>
        <w:rPr>
          <w:i/>
        </w:rPr>
        <w:t>Journal of Economic Literature</w:t>
      </w:r>
      <w:r>
        <w:t>, 28(4), 1661-1707.</w:t>
      </w:r>
    </w:p>
    <w:p>
      <w:pPr>
        <w:spacing w:line="360" w:lineRule="auto" w:after="120"/>
        <w:ind w:firstLine="576"/>
      </w:pPr>
      <w:r>
        <w:t xml:space="preserve">Griliches, Z. (1992). The search for R&amp;D spillovers. </w:t>
      </w:r>
      <w:r>
        <w:rPr>
          <w:i/>
        </w:rPr>
        <w:t>The Scandinavian Journal of Economics</w:t>
      </w:r>
      <w:r>
        <w:t>, 94, 29-47.</w:t>
      </w:r>
    </w:p>
    <w:p>
      <w:pPr>
        <w:spacing w:line="360" w:lineRule="auto" w:after="120"/>
        <w:ind w:firstLine="576"/>
      </w:pPr>
      <w:r>
        <w:t xml:space="preserve">Hall, B. H., Jaffe, A. B., &amp; Trajtenberg, M. (2001). </w:t>
      </w:r>
      <w:r>
        <w:rPr>
          <w:i/>
        </w:rPr>
        <w:t>The NBER patent citation data file: Lessons, insights and methodological tools</w:t>
      </w:r>
      <w:r>
        <w:t xml:space="preserve"> (NBER Working Paper No. 8498). National Bureau of Economic Research. https://doi.org/10.3386/w8498</w:t>
      </w:r>
    </w:p>
    <w:p>
      <w:pPr>
        <w:spacing w:line="360" w:lineRule="auto" w:after="120"/>
        <w:ind w:firstLine="576"/>
      </w:pPr>
      <w:r>
        <w:t xml:space="preserve">Hall, B. H., Jaffe, A. B., &amp; Trajtenberg, M. (2005). Market value and patent citations. </w:t>
      </w:r>
      <w:r>
        <w:rPr>
          <w:i/>
        </w:rPr>
        <w:t>The RAND Journal of Economics</w:t>
      </w:r>
      <w:r>
        <w:t>, 36(1), 16-38.</w:t>
      </w:r>
    </w:p>
    <w:p>
      <w:pPr>
        <w:spacing w:line="360" w:lineRule="auto" w:after="120"/>
        <w:ind w:firstLine="576"/>
      </w:pPr>
      <w:r>
        <w:t xml:space="preserve">Jaffe, A. B. (1986). Technological opportunity and spillovers of R&amp;D: Evidence from firms' patents, profits, and market value. </w:t>
      </w:r>
      <w:r>
        <w:rPr>
          <w:i/>
        </w:rPr>
        <w:t>The American Economic Review</w:t>
      </w:r>
      <w:r>
        <w:t>, 76(5), 984-1001.</w:t>
      </w:r>
    </w:p>
    <w:p>
      <w:pPr>
        <w:spacing w:line="360" w:lineRule="auto" w:after="120"/>
        <w:ind w:firstLine="576"/>
      </w:pPr>
      <w:r>
        <w:t xml:space="preserve">Jaffe, A. B., Trajtenberg, M., &amp; Henderson, R. (1993). Geographic localization of knowledge spillovers as evidenced by patent citations. </w:t>
      </w:r>
      <w:r>
        <w:rPr>
          <w:i/>
        </w:rPr>
        <w:t>The Quarterly Journal of Economics</w:t>
      </w:r>
      <w:r>
        <w:t>, 108(3), 577-598. https://doi.org/10.2307/2118401</w:t>
      </w:r>
    </w:p>
    <w:p>
      <w:pPr>
        <w:spacing w:line="360" w:lineRule="auto" w:after="120"/>
        <w:ind w:firstLine="576"/>
      </w:pPr>
      <w:r>
        <w:t xml:space="preserve">Karagöl, E. (2006). The relationship between external debt, defense expenditures and economic growth: The case of Turkey. </w:t>
      </w:r>
      <w:r>
        <w:rPr>
          <w:i/>
        </w:rPr>
        <w:t>Defence and Peace Economics</w:t>
      </w:r>
      <w:r>
        <w:t>, 17(1), 47-57.</w:t>
      </w:r>
    </w:p>
    <w:p>
      <w:pPr>
        <w:spacing w:line="360" w:lineRule="auto" w:after="120"/>
        <w:ind w:firstLine="576"/>
      </w:pPr>
      <w:r>
        <w:t xml:space="preserve">LeSage, J. P., &amp; Pace, R. K. (2009). </w:t>
      </w:r>
      <w:r>
        <w:rPr>
          <w:i/>
        </w:rPr>
        <w:t>Introduction to spatial econometrics</w:t>
      </w:r>
      <w:r>
        <w:t>. CRC Press.</w:t>
      </w:r>
    </w:p>
    <w:p>
      <w:pPr>
        <w:spacing w:line="360" w:lineRule="auto" w:after="120"/>
        <w:ind w:firstLine="576"/>
      </w:pPr>
      <w:r>
        <w:t xml:space="preserve">Lichtenberg, F. R. (1995). The output contributions of computer equipment and personnel: A firm-level analysis. </w:t>
      </w:r>
      <w:r>
        <w:rPr>
          <w:i/>
        </w:rPr>
        <w:t>Economics of Innovation and New Technology</w:t>
      </w:r>
      <w:r>
        <w:t>, 3(3-4), 201-218.</w:t>
      </w:r>
    </w:p>
    <w:p>
      <w:pPr>
        <w:spacing w:line="360" w:lineRule="auto" w:after="120"/>
        <w:ind w:firstLine="576"/>
      </w:pPr>
      <w:r>
        <w:t xml:space="preserve">Lucas, R. E. (1988). On the mechanics of economic development. </w:t>
      </w:r>
      <w:r>
        <w:rPr>
          <w:i/>
        </w:rPr>
        <w:t>Journal of Monetary Economics</w:t>
      </w:r>
      <w:r>
        <w:t>, 22(1), 3-42.</w:t>
      </w:r>
    </w:p>
    <w:p>
      <w:pPr>
        <w:spacing w:line="360" w:lineRule="auto" w:after="120"/>
        <w:ind w:firstLine="576"/>
      </w:pPr>
      <w:r>
        <w:t xml:space="preserve">Moretti, E., Steinwender, C., &amp; Van Reenen, J. (2023). The intellectual spoils of war? Defense R&amp;D, productivity and international spillovers. </w:t>
      </w:r>
      <w:r>
        <w:rPr>
          <w:i/>
        </w:rPr>
        <w:t>The Review of Economics and Statistics</w:t>
      </w:r>
      <w:r>
        <w:t>, 1-45. https://doi.org/10.1162/rest_a_01377</w:t>
      </w:r>
    </w:p>
    <w:p>
      <w:pPr>
        <w:spacing w:line="360" w:lineRule="auto" w:after="120"/>
        <w:ind w:firstLine="576"/>
      </w:pPr>
      <w:r>
        <w:t xml:space="preserve">Mowery, D. C. (2010). Military R&amp;D and innovation. In B. H. Hall &amp; N. Rosenberg (Eds.), </w:t>
      </w:r>
      <w:r>
        <w:rPr>
          <w:i/>
        </w:rPr>
        <w:t>Handbook of the Economics of Innovation</w:t>
      </w:r>
      <w:r>
        <w:t xml:space="preserve"> (Vol. 2, pp. 1219-1256). North-Holland. https://doi.org/10.1016/S0169-7218(10)02013-7</w:t>
      </w:r>
    </w:p>
    <w:p>
      <w:pPr>
        <w:spacing w:line="360" w:lineRule="auto" w:after="120"/>
        <w:ind w:firstLine="576"/>
      </w:pPr>
      <w:r>
        <w:t xml:space="preserve">Özmucur, S. (1996). </w:t>
      </w:r>
      <w:r>
        <w:rPr>
          <w:i/>
        </w:rPr>
        <w:t>İç borçların iktisadi etkileri</w:t>
      </w:r>
      <w:r>
        <w:t>. Boğaziçi Üniversitesi Yayınları.</w:t>
      </w:r>
    </w:p>
    <w:p>
      <w:pPr>
        <w:spacing w:line="360" w:lineRule="auto" w:after="120"/>
        <w:ind w:firstLine="576"/>
      </w:pPr>
      <w:r>
        <w:t xml:space="preserve">Ram, R. (1986). Government size and economic growth: A new framework and some evidence from cross-section and time-series data. </w:t>
      </w:r>
      <w:r>
        <w:rPr>
          <w:i/>
        </w:rPr>
        <w:t>The American Economic Review</w:t>
      </w:r>
      <w:r>
        <w:t>, 76(1), 191-203.</w:t>
      </w:r>
    </w:p>
    <w:p>
      <w:pPr>
        <w:spacing w:line="360" w:lineRule="auto" w:after="120"/>
        <w:ind w:firstLine="576"/>
      </w:pPr>
      <w:r>
        <w:t xml:space="preserve">Romer, P. M. (1990). Endogenous technological change. </w:t>
      </w:r>
      <w:r>
        <w:rPr>
          <w:i/>
        </w:rPr>
        <w:t>Journal of Political Economy</w:t>
      </w:r>
      <w:r>
        <w:t>, 98(5, Part 2), S71-S102. https://doi.org/10.1086/261725</w:t>
      </w:r>
    </w:p>
    <w:p>
      <w:pPr>
        <w:spacing w:line="360" w:lineRule="auto" w:after="120"/>
        <w:ind w:firstLine="576"/>
      </w:pPr>
      <w:r>
        <w:t xml:space="preserve">Santos Silva, J. M. C., &amp; Tenreyro, S. (2006). The log of gravity. </w:t>
      </w:r>
      <w:r>
        <w:rPr>
          <w:i/>
        </w:rPr>
        <w:t>The Review of Economics and Statistics</w:t>
      </w:r>
      <w:r>
        <w:t>, 88(4), 641-658. https://doi.org/10.1162/rest.88.4.641</w:t>
      </w:r>
    </w:p>
    <w:p>
      <w:pPr>
        <w:spacing w:line="360" w:lineRule="auto" w:after="120"/>
        <w:ind w:firstLine="576"/>
      </w:pPr>
      <w:r>
        <w:t xml:space="preserve">Sezgin, S. (1997). Country survey VII: Defence spending in Turkey. </w:t>
      </w:r>
      <w:r>
        <w:rPr>
          <w:i/>
        </w:rPr>
        <w:t>Defence and Peace Economics</w:t>
      </w:r>
      <w:r>
        <w:t>, 8(4), 381-409.</w:t>
      </w:r>
    </w:p>
    <w:p>
      <w:pPr>
        <w:spacing w:line="360" w:lineRule="auto" w:after="120"/>
        <w:ind w:firstLine="576"/>
      </w:pPr>
      <w:r>
        <w:t xml:space="preserve">Smith, R. P. (1980). Military expenditure and investment in OECD countries, 1954–1973. </w:t>
      </w:r>
      <w:r>
        <w:rPr>
          <w:i/>
        </w:rPr>
        <w:t>Journal of Comparative Economics</w:t>
      </w:r>
      <w:r>
        <w:t>, 4(1), 19-32.</w:t>
      </w:r>
    </w:p>
    <w:sectPr w:rsidR="00FC693F" w:rsidRPr="0006063C" w:rsidSect="00034616">
      <w:pgSz w:w="12240" w:h="15840"/>
      <w:pgMar w:top="1440" w:right="1440" w:bottom="1440"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