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  CLAMPFORCE v1.0</w:t>
      </w:r>
    </w:p>
    <w:p>
      <w:pPr>
        <w:spacing w:after="80" w:before="0"/>
        <w:jc w:val="center"/>
      </w:pPr>
      <w:r>
        <w:rPr>
          <w:rFonts w:ascii="Arial" w:cs="Arial" w:eastAsia="Arial" w:hAnsi="Arial"/>
          <w:color w:val="2E75B6"/>
          <w:sz w:val="32"/>
          <w:szCs w:val="32"/>
        </w:rPr>
        <w:t xml:space="preserve">User Manual</w:t>
      </w:r>
    </w:p>
    <w:p>
      <w:pPr>
        <w:spacing w:after="60" w:before="0"/>
        <w:jc w:val="center"/>
      </w:pPr>
      <w:r>
        <w:rPr>
          <w:rFonts w:ascii="Arial" w:cs="Arial" w:eastAsia="Arial" w:hAnsi="Arial"/>
          <w:color w:val="595959"/>
          <w:sz w:val="20"/>
          <w:szCs w:val="20"/>
        </w:rPr>
        <w:t xml:space="preserve">Bolted Flange Connection Design Tool  ·  Pressure Vessels &amp; Piping</w:t>
      </w:r>
    </w:p>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62"/>
        <w:gridCol w:w="3566"/>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Version</w:t>
            </w:r>
          </w:p>
        </w:tc>
        <w:tc>
          <w:tcPr>
            <w:tcW w:type="dxa" w:w="366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Standards</w:t>
            </w:r>
          </w:p>
        </w:tc>
        <w:tc>
          <w:tcPr>
            <w:tcW w:type="dxa" w:w="356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Platform</w:t>
            </w:r>
          </w:p>
        </w:tc>
      </w:tr>
      <w:tr>
        <w:tc>
          <w:tcPr>
            <w:tcW w:type="dxa" w:w="2410"/>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v1.0</w:t>
            </w:r>
          </w:p>
        </w:tc>
        <w:tc>
          <w:tcPr>
            <w:tcW w:type="dxa" w:w="3662"/>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VDI 2230 · EN 1591</w:t>
            </w:r>
          </w:p>
        </w:tc>
        <w:tc>
          <w:tcPr>
            <w:tcW w:type="dxa" w:w="3566"/>
            <w:tcBorders>
              <w:top w:val="single" w:color="BDD7EE" w:sz="4"/>
              <w:left w:val="single" w:color="BDD7EE" w:sz="4"/>
              <w:bottom w:val="single" w:color="BDD7EE" w:sz="4"/>
              <w:right w:val="single" w:color="BDD7EE" w:sz="4"/>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Web (HTML) — no installation required</w:t>
            </w:r>
          </w:p>
        </w:tc>
      </w:tr>
    </w:tbl>
    <w:p>
      <w:pPr>
        <w:spacing w:after="0" w:before="48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1.  General Overview</w:t>
      </w:r>
    </w:p>
    <w:p>
      <w:pPr>
        <w:spacing w:after="60" w:before="60"/>
      </w:pPr>
      <w:r>
        <w:rPr>
          <w:rFonts w:ascii="Arial" w:cs="Arial" w:eastAsia="Arial" w:hAnsi="Arial"/>
          <w:b w:val="false"/>
          <w:bCs w:val="false"/>
          <w:color w:val="595959"/>
          <w:sz w:val="19"/>
          <w:szCs w:val="19"/>
        </w:rPr>
        <w:t xml:space="preserve">ClampForce v1.0 is an engineering calculation tool for analysing bolted flange connections in pressure vessels and piping systems in accordance with VDI 2230 and EN 1591. The tool runs entirely in a web browser — no installation, internet connection, or third-party software is required.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ℹ  The tool consists of a single .html file. Double-click it to launch on any computer,</w:t>
            </w:r>
          </w:p>
          <w:p>
            <w:pPr>
              <w:spacing w:before="60"/>
            </w:pPr>
            <w:r>
              <w:rPr>
                <w:rFonts w:ascii="Arial" w:cs="Arial" w:eastAsia="Arial" w:hAnsi="Arial"/>
                <w:b w:val="false"/>
                <w:bCs w:val="false"/>
                <w:color w:val="000000"/>
                <w:sz w:val="18"/>
                <w:szCs w:val="18"/>
              </w:rPr>
              <w:t xml:space="preserve">    with or without an internet connection.</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What the Tool Does</w:t>
      </w:r>
    </w:p>
    <w:p>
      <w:pPr>
        <w:pStyle w:val="ListParagraph"/>
        <w:numPr>
          <w:ilvl w:val="0"/>
          <w:numId w:val="2"/>
        </w:numPr>
        <w:spacing w:after="40" w:before="40"/>
      </w:pPr>
      <w:r>
        <w:rPr>
          <w:rFonts w:ascii="Arial" w:cs="Arial" w:eastAsia="Arial" w:hAnsi="Arial"/>
          <w:color w:val="595959"/>
          <w:sz w:val="19"/>
          <w:szCs w:val="19"/>
        </w:rPr>
        <w:t xml:space="preserve">Checks the stress capacity of bolts in a flanged joint</w:t>
      </w:r>
    </w:p>
    <w:p>
      <w:pPr>
        <w:pStyle w:val="ListParagraph"/>
        <w:numPr>
          <w:ilvl w:val="0"/>
          <w:numId w:val="2"/>
        </w:numPr>
        <w:spacing w:after="40" w:before="40"/>
      </w:pPr>
      <w:r>
        <w:rPr>
          <w:rFonts w:ascii="Arial" w:cs="Arial" w:eastAsia="Arial" w:hAnsi="Arial"/>
          <w:color w:val="595959"/>
          <w:sz w:val="19"/>
          <w:szCs w:val="19"/>
        </w:rPr>
        <w:t xml:space="preserve">Verifies that the joint will not separate under pressure (separation check)</w:t>
      </w:r>
    </w:p>
    <w:p>
      <w:pPr>
        <w:pStyle w:val="ListParagraph"/>
        <w:numPr>
          <w:ilvl w:val="0"/>
          <w:numId w:val="2"/>
        </w:numPr>
        <w:spacing w:after="40" w:before="40"/>
      </w:pPr>
      <w:r>
        <w:rPr>
          <w:rFonts w:ascii="Arial" w:cs="Arial" w:eastAsia="Arial" w:hAnsi="Arial"/>
          <w:color w:val="595959"/>
          <w:sz w:val="19"/>
          <w:szCs w:val="19"/>
        </w:rPr>
        <w:t xml:space="preserve">Optionally calculates gasket seating stress for leak tightness</w:t>
      </w:r>
    </w:p>
    <w:p>
      <w:pPr>
        <w:pStyle w:val="ListParagraph"/>
        <w:numPr>
          <w:ilvl w:val="0"/>
          <w:numId w:val="2"/>
        </w:numPr>
        <w:spacing w:after="40" w:before="40"/>
      </w:pPr>
      <w:r>
        <w:rPr>
          <w:rFonts w:ascii="Arial" w:cs="Arial" w:eastAsia="Arial" w:hAnsi="Arial"/>
          <w:color w:val="595959"/>
          <w:sz w:val="19"/>
          <w:szCs w:val="19"/>
        </w:rPr>
        <w:t xml:space="preserve">Optionally accounts for additional loads from differential thermal expansion</w:t>
      </w:r>
    </w:p>
    <w:p>
      <w:pPr>
        <w:pStyle w:val="ListParagraph"/>
        <w:numPr>
          <w:ilvl w:val="0"/>
          <w:numId w:val="2"/>
        </w:numPr>
        <w:spacing w:after="40" w:before="40"/>
      </w:pPr>
      <w:r>
        <w:rPr>
          <w:rFonts w:ascii="Arial" w:cs="Arial" w:eastAsia="Arial" w:hAnsi="Arial"/>
          <w:color w:val="595959"/>
          <w:sz w:val="19"/>
          <w:szCs w:val="19"/>
        </w:rPr>
        <w:t xml:space="preserve">In DESIGN mode, automatically determines the minimum bolt count for given operating conditions</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When to Use It</w:t>
      </w:r>
    </w:p>
    <w:p>
      <w:pPr>
        <w:pStyle w:val="ListParagraph"/>
        <w:numPr>
          <w:ilvl w:val="0"/>
          <w:numId w:val="2"/>
        </w:numPr>
        <w:spacing w:after="40" w:before="40"/>
      </w:pPr>
      <w:r>
        <w:rPr>
          <w:rFonts w:ascii="Arial" w:cs="Arial" w:eastAsia="Arial" w:hAnsi="Arial"/>
          <w:color w:val="595959"/>
          <w:sz w:val="19"/>
          <w:szCs w:val="19"/>
        </w:rPr>
        <w:t xml:space="preserve">Verifying the adequacy of an existing flanged joint (CHECK mode)</w:t>
      </w:r>
    </w:p>
    <w:p>
      <w:pPr>
        <w:pStyle w:val="ListParagraph"/>
        <w:numPr>
          <w:ilvl w:val="0"/>
          <w:numId w:val="2"/>
        </w:numPr>
        <w:spacing w:after="40" w:before="40"/>
      </w:pPr>
      <w:r>
        <w:rPr>
          <w:rFonts w:ascii="Arial" w:cs="Arial" w:eastAsia="Arial" w:hAnsi="Arial"/>
          <w:color w:val="595959"/>
          <w:sz w:val="19"/>
          <w:szCs w:val="19"/>
        </w:rPr>
        <w:t xml:space="preserve">Determining bolt count and type for a new flanged joint (DESIGN mode)</w:t>
      </w:r>
    </w:p>
    <w:p>
      <w:pPr>
        <w:pStyle w:val="ListParagraph"/>
        <w:numPr>
          <w:ilvl w:val="0"/>
          <w:numId w:val="2"/>
        </w:numPr>
        <w:spacing w:after="40" w:before="40"/>
      </w:pPr>
      <w:r>
        <w:rPr>
          <w:rFonts w:ascii="Arial" w:cs="Arial" w:eastAsia="Arial" w:hAnsi="Arial"/>
          <w:color w:val="595959"/>
          <w:sz w:val="19"/>
          <w:szCs w:val="19"/>
        </w:rPr>
        <w:t xml:space="preserve">Evaluating flange behaviour under varying temperature conditions</w:t>
      </w:r>
    </w:p>
    <w:p>
      <w:pPr>
        <w:pStyle w:val="ListParagraph"/>
        <w:numPr>
          <w:ilvl w:val="0"/>
          <w:numId w:val="2"/>
        </w:numPr>
        <w:spacing w:after="40" w:before="40"/>
      </w:pPr>
      <w:r>
        <w:rPr>
          <w:rFonts w:ascii="Arial" w:cs="Arial" w:eastAsia="Arial" w:hAnsi="Arial"/>
          <w:color w:val="595959"/>
          <w:sz w:val="19"/>
          <w:szCs w:val="19"/>
        </w:rPr>
        <w:t xml:space="preserve">Calculating gasket material requirements and sealing margin</w:t>
      </w:r>
    </w:p>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2.  Interface Layout</w:t>
      </w:r>
    </w:p>
    <w:p>
      <w:pPr>
        <w:spacing w:after="60" w:before="60"/>
      </w:pPr>
      <w:r>
        <w:rPr>
          <w:rFonts w:ascii="Arial" w:cs="Arial" w:eastAsia="Arial" w:hAnsi="Arial"/>
          <w:b w:val="false"/>
          <w:bCs w:val="false"/>
          <w:color w:val="595959"/>
          <w:sz w:val="19"/>
          <w:szCs w:val="19"/>
        </w:rPr>
        <w:t xml:space="preserve">The tool is divided into two main panels: the input panel on the left and the results panel on the right.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LEFT PANEL — Parameter Input</w:t>
            </w:r>
          </w:p>
        </w:tc>
        <w:tc>
          <w:tcPr>
            <w:tcW w:type="dxa" w:w="481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RIGHT PANEL — Results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DD7EE" w:sz="4"/>
              <w:left w:val="single" w:color="BDD7EE" w:sz="4"/>
              <w:bottom w:val="single" w:color="BDD7EE" w:sz="4"/>
              <w:right w:val="single" w:color="BDD7EE" w:sz="4"/>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95959"/>
                <w:sz w:val="18"/>
                <w:szCs w:val="18"/>
              </w:rPr>
              <w:t xml:space="preserve">Pressure &amp; Geometry</w:t>
            </w:r>
          </w:p>
          <w:p>
            <w:pPr>
              <w:pStyle w:val="ListParagraph"/>
              <w:numPr>
                <w:ilvl w:val="0"/>
                <w:numId w:val="2"/>
              </w:numPr>
              <w:spacing w:after="40" w:before="40"/>
            </w:pPr>
            <w:r>
              <w:rPr>
                <w:rFonts w:ascii="Arial" w:cs="Arial" w:eastAsia="Arial" w:hAnsi="Arial"/>
                <w:color w:val="595959"/>
                <w:sz w:val="18"/>
                <w:szCs w:val="18"/>
              </w:rPr>
              <w:t xml:space="preserve">Bolt Properties</w:t>
            </w:r>
          </w:p>
          <w:p>
            <w:pPr>
              <w:pStyle w:val="ListParagraph"/>
              <w:numPr>
                <w:ilvl w:val="0"/>
                <w:numId w:val="2"/>
              </w:numPr>
              <w:spacing w:after="40" w:before="40"/>
            </w:pPr>
            <w:r>
              <w:rPr>
                <w:rFonts w:ascii="Arial" w:cs="Arial" w:eastAsia="Arial" w:hAnsi="Arial"/>
                <w:color w:val="595959"/>
                <w:sz w:val="18"/>
                <w:szCs w:val="18"/>
              </w:rPr>
              <w:t xml:space="preserve">Safety Factors</w:t>
            </w:r>
          </w:p>
          <w:p>
            <w:pPr>
              <w:pStyle w:val="ListParagraph"/>
              <w:numPr>
                <w:ilvl w:val="0"/>
                <w:numId w:val="2"/>
              </w:numPr>
              <w:spacing w:after="40" w:before="40"/>
            </w:pPr>
            <w:r>
              <w:rPr>
                <w:rFonts w:ascii="Arial" w:cs="Arial" w:eastAsia="Arial" w:hAnsi="Arial"/>
                <w:color w:val="595959"/>
                <w:sz w:val="18"/>
                <w:szCs w:val="18"/>
              </w:rPr>
              <w:t xml:space="preserve">Stiffness Model (toggle)</w:t>
            </w:r>
          </w:p>
          <w:p>
            <w:pPr>
              <w:pStyle w:val="ListParagraph"/>
              <w:numPr>
                <w:ilvl w:val="0"/>
                <w:numId w:val="2"/>
              </w:numPr>
              <w:spacing w:after="40" w:before="40"/>
            </w:pPr>
            <w:r>
              <w:rPr>
                <w:rFonts w:ascii="Arial" w:cs="Arial" w:eastAsia="Arial" w:hAnsi="Arial"/>
                <w:color w:val="595959"/>
                <w:sz w:val="18"/>
                <w:szCs w:val="18"/>
              </w:rPr>
              <w:t xml:space="preserve">Thermal Loading (toggle)</w:t>
            </w:r>
          </w:p>
          <w:p>
            <w:pPr>
              <w:pStyle w:val="ListParagraph"/>
              <w:numPr>
                <w:ilvl w:val="0"/>
                <w:numId w:val="2"/>
              </w:numPr>
              <w:spacing w:after="40" w:before="40"/>
            </w:pPr>
            <w:r>
              <w:rPr>
                <w:rFonts w:ascii="Arial" w:cs="Arial" w:eastAsia="Arial" w:hAnsi="Arial"/>
                <w:color w:val="595959"/>
                <w:sz w:val="18"/>
                <w:szCs w:val="18"/>
              </w:rPr>
              <w:t xml:space="preserve">Gasket Seating (toggle)</w:t>
            </w:r>
          </w:p>
        </w:tc>
        <w:tc>
          <w:tcPr>
            <w:tcW w:type="dxa" w:w="4819"/>
            <w:tcBorders>
              <w:top w:val="single" w:color="BDD7EE" w:sz="4"/>
              <w:left w:val="single" w:color="BDD7EE" w:sz="4"/>
              <w:bottom w:val="single" w:color="BDD7EE" w:sz="4"/>
              <w:right w:val="single" w:color="BDD7EE" w:sz="4"/>
            </w:tcBorders>
            <w:shd w:fill="DEEAF1"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595959"/>
                <w:sz w:val="18"/>
                <w:szCs w:val="18"/>
              </w:rPr>
              <w:t xml:space="preserve">Overall Accept / Reject status</w:t>
            </w:r>
          </w:p>
          <w:p>
            <w:pPr>
              <w:pStyle w:val="ListParagraph"/>
              <w:numPr>
                <w:ilvl w:val="0"/>
                <w:numId w:val="2"/>
              </w:numPr>
              <w:spacing w:after="40" w:before="40"/>
            </w:pPr>
            <w:r>
              <w:rPr>
                <w:rFonts w:ascii="Arial" w:cs="Arial" w:eastAsia="Arial" w:hAnsi="Arial"/>
                <w:color w:val="595959"/>
                <w:sz w:val="18"/>
                <w:szCs w:val="18"/>
              </w:rPr>
              <w:t xml:space="preserve">6 key metric cards</w:t>
            </w:r>
          </w:p>
          <w:p>
            <w:pPr>
              <w:pStyle w:val="ListParagraph"/>
              <w:numPr>
                <w:ilvl w:val="0"/>
                <w:numId w:val="2"/>
              </w:numPr>
              <w:spacing w:after="40" w:before="40"/>
            </w:pPr>
            <w:r>
              <w:rPr>
                <w:rFonts w:ascii="Arial" w:cs="Arial" w:eastAsia="Arial" w:hAnsi="Arial"/>
                <w:color w:val="595959"/>
                <w:sz w:val="18"/>
                <w:szCs w:val="18"/>
              </w:rPr>
              <w:t xml:space="preserve">Stress check (progress bar)</w:t>
            </w:r>
          </w:p>
          <w:p>
            <w:pPr>
              <w:pStyle w:val="ListParagraph"/>
              <w:numPr>
                <w:ilvl w:val="0"/>
                <w:numId w:val="2"/>
              </w:numPr>
              <w:spacing w:after="40" w:before="40"/>
            </w:pPr>
            <w:r>
              <w:rPr>
                <w:rFonts w:ascii="Arial" w:cs="Arial" w:eastAsia="Arial" w:hAnsi="Arial"/>
                <w:color w:val="595959"/>
                <w:sz w:val="18"/>
                <w:szCs w:val="18"/>
              </w:rPr>
              <w:t xml:space="preserve">Separation check</w:t>
            </w:r>
          </w:p>
          <w:p>
            <w:pPr>
              <w:pStyle w:val="ListParagraph"/>
              <w:numPr>
                <w:ilvl w:val="0"/>
                <w:numId w:val="2"/>
              </w:numPr>
              <w:spacing w:after="40" w:before="40"/>
            </w:pPr>
            <w:r>
              <w:rPr>
                <w:rFonts w:ascii="Arial" w:cs="Arial" w:eastAsia="Arial" w:hAnsi="Arial"/>
                <w:color w:val="595959"/>
                <w:sz w:val="18"/>
                <w:szCs w:val="18"/>
              </w:rPr>
              <w:t xml:space="preserve">Gasket seating check (if active)</w:t>
            </w:r>
          </w:p>
          <w:p>
            <w:pPr>
              <w:pStyle w:val="ListParagraph"/>
              <w:numPr>
                <w:ilvl w:val="0"/>
                <w:numId w:val="2"/>
              </w:numPr>
              <w:spacing w:after="40" w:before="40"/>
            </w:pPr>
            <w:r>
              <w:rPr>
                <w:rFonts w:ascii="Arial" w:cs="Arial" w:eastAsia="Arial" w:hAnsi="Arial"/>
                <w:color w:val="595959"/>
                <w:sz w:val="18"/>
                <w:szCs w:val="18"/>
              </w:rPr>
              <w:t xml:space="preserve">Bolt spacing check (DESIGN mode)</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Mode Selection: CHECK and DESIGN</w:t>
      </w:r>
    </w:p>
    <w:p>
      <w:pPr>
        <w:spacing w:after="60" w:before="60"/>
      </w:pPr>
      <w:r>
        <w:rPr>
          <w:rFonts w:ascii="Arial" w:cs="Arial" w:eastAsia="Arial" w:hAnsi="Arial"/>
          <w:b w:val="false"/>
          <w:bCs w:val="false"/>
          <w:color w:val="595959"/>
          <w:sz w:val="19"/>
          <w:szCs w:val="19"/>
        </w:rPr>
        <w:t xml:space="preserve">Two buttons in the top-right corner of the screen select the operating mode.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301"/>
        <w:gridCol w:w="3180"/>
      </w:tblGrid>
      <w:tr>
        <w:tc>
          <w:tcPr>
            <w:tcW w:type="dxa" w:w="1157"/>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Mode</w:t>
            </w:r>
          </w:p>
        </w:tc>
        <w:tc>
          <w:tcPr>
            <w:tcW w:type="dxa" w:w="5301"/>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When to Use</w:t>
            </w:r>
          </w:p>
        </w:tc>
        <w:tc>
          <w:tcPr>
            <w:tcW w:type="dxa" w:w="318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Additional Field</w:t>
            </w:r>
          </w:p>
        </w:tc>
      </w:tr>
      <w:tr>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CHECK</w:t>
            </w:r>
          </w:p>
        </w:tc>
        <w:tc>
          <w:tcPr>
            <w:tcW w:type="dxa" w:w="5301"/>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Verifying an existing flanged joint. Bolt count is entered by the user.</w:t>
            </w:r>
          </w:p>
        </w:tc>
        <w:tc>
          <w:tcPr>
            <w:tcW w:type="dxa" w:w="318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Bolt Count (n)</w:t>
            </w:r>
          </w:p>
        </w:tc>
      </w:tr>
      <w:tr>
        <w:tc>
          <w:tcPr>
            <w:tcW w:type="dxa" w:w="115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DESIGN</w:t>
            </w:r>
          </w:p>
        </w:tc>
        <w:tc>
          <w:tcPr>
            <w:tcW w:type="dxa" w:w="5301"/>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New joint design. The tool calculates the minimum bolt count for the given conditions.</w:t>
            </w:r>
          </w:p>
        </w:tc>
        <w:tc>
          <w:tcPr>
            <w:tcW w:type="dxa" w:w="318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BCD — Bolt Circle Diameter (mm)</w:t>
            </w:r>
          </w:p>
        </w:tc>
      </w:tr>
    </w:tbl>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3.  Input Parameters</w:t>
      </w:r>
    </w:p>
    <w:p>
      <w:pPr>
        <w:pStyle w:val="Heading2"/>
        <w:spacing w:after="80" w:before="240"/>
      </w:pPr>
      <w:r>
        <w:rPr>
          <w:rFonts w:ascii="Arial" w:cs="Arial" w:eastAsia="Arial" w:hAnsi="Arial"/>
          <w:b/>
          <w:bCs/>
          <w:color w:val="2E75B6"/>
          <w:sz w:val="22"/>
          <w:szCs w:val="22"/>
        </w:rPr>
        <w:t xml:space="preserve">3.1  Pressure &amp; Geometry</w:t>
      </w:r>
    </w:p>
    <w:p>
      <w:pPr>
        <w:spacing w:after="60" w:before="60"/>
      </w:pPr>
      <w:r>
        <w:rPr>
          <w:rFonts w:ascii="Arial" w:cs="Arial" w:eastAsia="Arial" w:hAnsi="Arial"/>
          <w:b w:val="false"/>
          <w:bCs w:val="false"/>
          <w:color w:val="595959"/>
          <w:sz w:val="19"/>
          <w:szCs w:val="19"/>
        </w:rPr>
        <w:t xml:space="preserve">This section defines the fundamental physical conditions of the system.</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Internal Pressure (MPa)</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0.25</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Design pressure inside the flange. Enter gauge (manometric) pressure.</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Bolt Count (n)</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Visible in CHECK mode only. Total number of bolts on the flange.</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BCD — Bolt Circle (mm)</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Visible in DESIGN mode only. Bolt circle diameter; diameter of the circle passing through bolt centrelines.</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Gasket Inner Diameter (mm)</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180</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Inner edge diameter of the gasket — the inner boundary of the sealing surface.</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Gasket Outer Diameter (mm)</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220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Outer edge diameter of the gasket. The average of inner and outer diameters gives the effective gasket diameter.</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ℹ  The tool calculates the effective pressure area using:  A_eff = π/4 × d_eff²,  where d_eff = (d_in + d_out) / 2.</w:t>
            </w:r>
          </w:p>
          <w:p>
            <w:pPr>
              <w:spacing w:before="60"/>
            </w:pPr>
            <w:r>
              <w:rPr>
                <w:rFonts w:ascii="Arial" w:cs="Arial" w:eastAsia="Arial" w:hAnsi="Arial"/>
                <w:b w:val="false"/>
                <w:bCs w:val="false"/>
                <w:color w:val="000000"/>
                <w:sz w:val="18"/>
                <w:szCs w:val="18"/>
              </w:rPr>
              <w:t xml:space="preserve">    The inner diameter must always be less than the outer diameter — an error message will appear otherwise.</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3.2  Bolt Properties</w:t>
      </w:r>
    </w:p>
    <w:p>
      <w:pPr>
        <w:spacing w:after="60" w:before="60"/>
      </w:pPr>
      <w:r>
        <w:rPr>
          <w:rFonts w:ascii="Arial" w:cs="Arial" w:eastAsia="Arial" w:hAnsi="Arial"/>
          <w:b w:val="false"/>
          <w:bCs w:val="false"/>
          <w:color w:val="595959"/>
          <w:sz w:val="19"/>
          <w:szCs w:val="19"/>
        </w:rPr>
        <w:t xml:space="preserve">Bolt geometry and material data are entered in this section.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Bolt Size</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M12</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Standard metric sizes from M6 to M20. The tensile stress area (A_s) updates automatically upon selection.</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Strength Grade</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8.8</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ISO 898-1 grades: 4.6 / 5.8 / 8.8 / 10.9 / 12.9. Proof, Re, and Rm values are loaded automatically.</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Preload Factor k</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0.75</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F_pre = k × proof × A_s. Typically 0.6–0.9 depending on tightening method. ~0.75 is typical for torque wrenches.</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Preload Loss Factor</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0.10</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Fraction of preload lost due to relaxation and re-seating after tightening. 10% is a typical value.</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ℹ  A data box immediately below the selection fields displays bolt properties in real time.</w:t>
            </w:r>
          </w:p>
          <w:p>
            <w:pPr>
              <w:spacing w:before="60"/>
            </w:pPr>
            <w:r>
              <w:rPr>
                <w:rFonts w:ascii="Arial" w:cs="Arial" w:eastAsia="Arial" w:hAnsi="Arial"/>
                <w:b w:val="false"/>
                <w:bCs w:val="false"/>
                <w:color w:val="000000"/>
                <w:sz w:val="18"/>
                <w:szCs w:val="18"/>
              </w:rPr>
              <w:t xml:space="preserve">    Example:  M16 / 8.8  →  A_s = 157 mm²  │  proof = 580 MPa  ·  Re = 640 MPa  ·  Rm = 800 MPa</w:t>
            </w:r>
          </w:p>
        </w:tc>
      </w:tr>
    </w:tbl>
    <w:p>
      <w:pPr>
        <w:spacing w:after="0" w:before="120"/>
      </w:pPr>
      <w:r>
        <w:t xml:space="preserve"/>
      </w:r>
    </w:p>
    <w:p>
      <w:pPr>
        <w:pStyle w:val="Heading2"/>
        <w:spacing w:after="80" w:before="240"/>
      </w:pPr>
      <w:r>
        <w:rPr>
          <w:rFonts w:ascii="Arial" w:cs="Arial" w:eastAsia="Arial" w:hAnsi="Arial"/>
          <w:b/>
          <w:bCs/>
          <w:color w:val="2E75B6"/>
          <w:sz w:val="22"/>
          <w:szCs w:val="22"/>
        </w:rPr>
        <w:t xml:space="preserve">Built-in Bolt Database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1542"/>
        <w:gridCol w:w="1349"/>
        <w:gridCol w:w="1542"/>
        <w:gridCol w:w="1253"/>
        <w:gridCol w:w="1254"/>
      </w:tblGrid>
      <w:tr>
        <w:tc>
          <w:tcPr>
            <w:tcW w:type="dxa" w:w="134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Size</w:t>
            </w:r>
          </w:p>
        </w:tc>
        <w:tc>
          <w:tcPr>
            <w:tcW w:type="dxa" w:w="134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 (mm)</w:t>
            </w:r>
          </w:p>
        </w:tc>
        <w:tc>
          <w:tcPr>
            <w:tcW w:type="dxa" w:w="154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A_s (mm²)</w:t>
            </w:r>
          </w:p>
        </w:tc>
        <w:tc>
          <w:tcPr>
            <w:tcW w:type="dxa" w:w="134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Grade</w:t>
            </w:r>
          </w:p>
        </w:tc>
        <w:tc>
          <w:tcPr>
            <w:tcW w:type="dxa" w:w="154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Proof (MPa)</w:t>
            </w:r>
          </w:p>
        </w:tc>
        <w:tc>
          <w:tcPr>
            <w:tcW w:type="dxa" w:w="1253"/>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 (MPa)</w:t>
            </w:r>
          </w:p>
        </w:tc>
        <w:tc>
          <w:tcPr>
            <w:tcW w:type="dxa" w:w="1254"/>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Rm (MPa)</w:t>
            </w:r>
          </w:p>
        </w:tc>
      </w:tr>
      <w:tr>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M6</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20.1</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4.6</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225</w:t>
            </w:r>
          </w:p>
        </w:tc>
        <w:tc>
          <w:tcPr>
            <w:tcW w:type="dxa" w:w="125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240</w:t>
            </w:r>
          </w:p>
        </w:tc>
        <w:tc>
          <w:tcPr>
            <w:tcW w:type="dxa" w:w="125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400</w:t>
            </w:r>
          </w:p>
        </w:tc>
      </w:tr>
      <w:tr>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M8</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36.6</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5.8</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380</w:t>
            </w:r>
          </w:p>
        </w:tc>
        <w:tc>
          <w:tcPr>
            <w:tcW w:type="dxa" w:w="125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400</w:t>
            </w:r>
          </w:p>
        </w:tc>
        <w:tc>
          <w:tcPr>
            <w:tcW w:type="dxa" w:w="125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500</w:t>
            </w:r>
          </w:p>
        </w:tc>
      </w:tr>
      <w:tr>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M10</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58.0</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8.8</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580</w:t>
            </w:r>
          </w:p>
        </w:tc>
        <w:tc>
          <w:tcPr>
            <w:tcW w:type="dxa" w:w="125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640</w:t>
            </w:r>
          </w:p>
        </w:tc>
        <w:tc>
          <w:tcPr>
            <w:tcW w:type="dxa" w:w="125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800</w:t>
            </w:r>
          </w:p>
        </w:tc>
      </w:tr>
      <w:tr>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M12</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84.3</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10.9</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830</w:t>
            </w:r>
          </w:p>
        </w:tc>
        <w:tc>
          <w:tcPr>
            <w:tcW w:type="dxa" w:w="125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900</w:t>
            </w:r>
          </w:p>
        </w:tc>
        <w:tc>
          <w:tcPr>
            <w:tcW w:type="dxa" w:w="125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1000</w:t>
            </w:r>
          </w:p>
        </w:tc>
      </w:tr>
      <w:tr>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M14</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14</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115.0</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12.9</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970</w:t>
            </w:r>
          </w:p>
        </w:tc>
        <w:tc>
          <w:tcPr>
            <w:tcW w:type="dxa" w:w="125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1080</w:t>
            </w:r>
          </w:p>
        </w:tc>
        <w:tc>
          <w:tcPr>
            <w:tcW w:type="dxa" w:w="125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1200</w:t>
            </w:r>
          </w:p>
        </w:tc>
      </w:tr>
      <w:tr>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M16</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16</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157.0</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M18</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192.0</w:t>
            </w:r>
          </w:p>
        </w:tc>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54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r>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M20</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245.0</w:t>
            </w:r>
          </w:p>
        </w:tc>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54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c>
          <w:tcPr>
            <w:tcW w:type="dxa" w:w="125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3.3  Safety Factors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 — Separation</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Safety factor against joint separation. Required total preload = SF_sep × F_pressure.</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SF — Stress</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Allowable bolt stress = proof / SF_stress.</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Spacing Factor (× d)</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DESIGN mode only. Minimum centre-to-centre spacing between adjacent bolts = factor × bolt diameter. Typical value: 3d.</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3.4  Stiffness Model (Toggle)</w:t>
      </w:r>
    </w:p>
    <w:p>
      <w:pPr>
        <w:spacing w:after="60" w:before="60"/>
      </w:pPr>
      <w:r>
        <w:rPr>
          <w:rFonts w:ascii="Arial" w:cs="Arial" w:eastAsia="Arial" w:hAnsi="Arial"/>
          <w:b w:val="false"/>
          <w:bCs w:val="false"/>
          <w:color w:val="595959"/>
          <w:sz w:val="19"/>
          <w:szCs w:val="19"/>
        </w:rPr>
        <w:t xml:space="preserve">This section determines the stiffness ratio used to distribute the load between bolt and joint. When the toggle is off, a constant C value is used. When on, the VDI 2230 method is activated.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6"/>
        <w:gridCol w:w="5783"/>
      </w:tblGrid>
      <w:tr>
        <w:tc>
          <w:tcPr>
            <w:tcW w:type="dxa" w:w="1349"/>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State</w:t>
            </w:r>
          </w:p>
        </w:tc>
        <w:tc>
          <w:tcPr>
            <w:tcW w:type="dxa" w:w="250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5783"/>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349"/>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Off (default)</w:t>
            </w:r>
          </w:p>
        </w:tc>
        <w:tc>
          <w:tcPr>
            <w:tcW w:type="dxa" w:w="250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Constant C (default: 0.25)</w:t>
            </w:r>
          </w:p>
        </w:tc>
        <w:tc>
          <w:tcPr>
            <w:tcW w:type="dxa" w:w="578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F_bolt = F_pre + C × (F_p / n). Simple and fast.</w:t>
            </w:r>
          </w:p>
        </w:tc>
      </w:tr>
      <w:tr>
        <w:tc>
          <w:tcPr>
            <w:tcW w:type="dxa" w:w="1349"/>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On (VDI φ)</w:t>
            </w:r>
          </w:p>
        </w:tc>
        <w:tc>
          <w:tcPr>
            <w:tcW w:type="dxa" w:w="250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E_bolt, E_joint, L_eff</w:t>
            </w:r>
          </w:p>
        </w:tc>
        <w:tc>
          <w:tcPr>
            <w:tcW w:type="dxa" w:w="578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φ = kb / (kb + kj). More accurate, based on bolt and flange stiffness.</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ℹ  Thermal analysis becomes available only when the VDI φ mode is active. Enabling it is mandatory for thermal calculations.</w:t>
            </w:r>
          </w:p>
        </w:tc>
      </w:tr>
    </w:tbl>
    <w:p>
      <w:pPr>
        <w:spacing w:after="0" w:before="120"/>
      </w:pPr>
      <w:r>
        <w:t xml:space="preserve"/>
      </w:r>
    </w:p>
    <w:p>
      <w:pPr>
        <w:spacing w:after="80" w:before="120"/>
      </w:pPr>
      <w:r>
        <w:rPr>
          <w:rFonts w:ascii="Arial" w:cs="Arial" w:eastAsia="Arial" w:hAnsi="Arial"/>
          <w:b/>
          <w:bCs/>
          <w:color w:val="2E75B6"/>
          <w:sz w:val="19"/>
          <w:szCs w:val="19"/>
        </w:rPr>
        <w:t xml:space="preserve">VDI Stiffness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E_bolt (MPa)</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210 000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Elastic modulus of the bolt material. 210 000 MPa for steel.</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E_joint (MPa)</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70 000</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Elastic modulus of the flange material. ~70 000 MPa for aluminium, 210 000 MPa for steel.</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L_eff — Effective Bolt Length (mm)</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Effective load-bearing length of the bolt, typically the clamping length.</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3.5  Thermal Loading (Toggle)</w:t>
      </w:r>
    </w:p>
    <w:p>
      <w:pPr>
        <w:spacing w:after="60" w:before="60"/>
      </w:pPr>
      <w:r>
        <w:rPr>
          <w:rFonts w:ascii="Arial" w:cs="Arial" w:eastAsia="Arial" w:hAnsi="Arial"/>
          <w:b w:val="false"/>
          <w:bCs w:val="false"/>
          <w:color w:val="595959"/>
          <w:sz w:val="19"/>
          <w:szCs w:val="19"/>
        </w:rPr>
        <w:t xml:space="preserve">When bolt and flange materials have different coefficients of thermal expansion, temperature changes alter the bolt preload. This section accounts for that variation.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  Thermal analysis is only available when the VDI φ stiffness mode is active. Enabling the toggle without VDI φ will not apply any thermal correction.</w:t>
            </w:r>
          </w:p>
        </w:tc>
      </w:tr>
    </w:tbl>
    <w:p>
      <w:pPr>
        <w:spacing w:after="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ΔT (°C)</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100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Temperature difference between assembly and operating conditions. Positive = heating.</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L_joint (mm)</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50</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Length of the flange/joint component that participates in thermal expansion.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α_bolt (×10⁻⁶ /K)</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Coefficient of thermal expansion of the bolt material. Steel: ~12 µm/(m·K).</w:t>
            </w:r>
          </w:p>
        </w:tc>
      </w:tr>
      <w:tr>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α_joint (×10⁻⁶ /K)</w:t>
            </w:r>
          </w:p>
        </w:tc>
        <w:tc>
          <w:tcPr>
            <w:tcW w:type="dxa" w:w="144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23</w:t>
            </w:r>
          </w:p>
        </w:tc>
        <w:tc>
          <w:tcPr>
            <w:tcW w:type="dxa" w:w="5782"/>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Coefficient of thermal expansion of the flange material. Aluminium: ~23 µm/(m·K).</w:t>
            </w:r>
          </w:p>
        </w:tc>
      </w:tr>
    </w:tbl>
    <w:p>
      <w:pPr>
        <w:spacing w:after="0" w:before="100"/>
      </w:pPr>
      <w:r>
        <w:t xml:space="preserve"/>
      </w:r>
    </w:p>
    <w:p>
      <w:pPr>
        <w:spacing w:after="60" w:before="60"/>
      </w:pPr>
      <w:r>
        <w:rPr>
          <w:rFonts w:ascii="Arial" w:cs="Arial" w:eastAsia="Arial" w:hAnsi="Arial"/>
          <w:b w:val="false"/>
          <w:bCs w:val="false"/>
          <w:color w:val="595959"/>
          <w:sz w:val="19"/>
          <w:szCs w:val="19"/>
        </w:rPr>
        <w:t xml:space="preserve">The calculated thermal load differential (ΔF_th) is added to the effective preload and shown separately in the results panel. A positive value indicates a preload increase; a negative value indicates preload loss.</w:t>
      </w:r>
    </w:p>
    <w:p>
      <w:pPr>
        <w:spacing w:after="0" w:before="180"/>
      </w:pPr>
      <w:r>
        <w:t xml:space="preserve"/>
      </w:r>
    </w:p>
    <w:p>
      <w:pPr>
        <w:pStyle w:val="Heading2"/>
        <w:spacing w:after="80" w:before="240"/>
      </w:pPr>
      <w:r>
        <w:rPr>
          <w:rFonts w:ascii="Arial" w:cs="Arial" w:eastAsia="Arial" w:hAnsi="Arial"/>
          <w:b/>
          <w:bCs/>
          <w:color w:val="2E75B6"/>
          <w:sz w:val="22"/>
          <w:szCs w:val="22"/>
        </w:rPr>
        <w:t xml:space="preserve">3.6  Gasket Seating Check (Toggle)</w:t>
      </w:r>
    </w:p>
    <w:p>
      <w:pPr>
        <w:spacing w:after="60" w:before="60"/>
      </w:pPr>
      <w:r>
        <w:rPr>
          <w:rFonts w:ascii="Arial" w:cs="Arial" w:eastAsia="Arial" w:hAnsi="Arial"/>
          <w:b w:val="false"/>
          <w:bCs w:val="false"/>
          <w:color w:val="595959"/>
          <w:sz w:val="19"/>
          <w:szCs w:val="19"/>
        </w:rPr>
        <w:t xml:space="preserve">Checks whether the compressive stress on the gasket surface is sufficient for leak tightness. Enabling the toggle reveals a single additional parameter.</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446"/>
        <w:gridCol w:w="5782"/>
      </w:tblGrid>
      <w:tr>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144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5782"/>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Min. Gasket Stress (MPa)</w:t>
            </w:r>
          </w:p>
        </w:tc>
        <w:tc>
          <w:tcPr>
            <w:tcW w:type="dxa" w:w="144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w:t>
            </w:r>
          </w:p>
        </w:tc>
        <w:tc>
          <w:tcPr>
            <w:tcW w:type="dxa" w:w="5782"/>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Minimum contact pressure required for the gasket to seal. Obtained from the gasket manufacturer or the applicable standard.</w:t>
            </w:r>
          </w:p>
        </w:tc>
      </w:tr>
    </w:tbl>
    <w:p>
      <w:pPr>
        <w:spacing w:after="0" w:before="100"/>
      </w:pPr>
      <w:r>
        <w:t xml:space="preserve"/>
      </w:r>
    </w:p>
    <w:p>
      <w:pPr>
        <w:spacing w:after="60" w:before="60"/>
      </w:pPr>
      <w:r>
        <w:rPr>
          <w:rFonts w:ascii="Arial" w:cs="Arial" w:eastAsia="Arial" w:hAnsi="Arial"/>
          <w:b w:val="false"/>
          <w:bCs w:val="false"/>
          <w:color w:val="595959"/>
          <w:sz w:val="19"/>
          <w:szCs w:val="19"/>
        </w:rPr>
        <w:t xml:space="preserve">The tool calculates the gasket contact stress using:  p_gasket = (Total Preload − Pressure Force) / A_gasket,  and compares it to the specified minimum.</w:t>
      </w:r>
    </w:p>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4.  Calculation Engine — Formulas</w:t>
      </w:r>
    </w:p>
    <w:p>
      <w:pPr>
        <w:spacing w:after="60" w:before="60"/>
      </w:pPr>
      <w:r>
        <w:rPr>
          <w:rFonts w:ascii="Arial" w:cs="Arial" w:eastAsia="Arial" w:hAnsi="Arial"/>
          <w:b w:val="false"/>
          <w:bCs w:val="false"/>
          <w:color w:val="595959"/>
          <w:sz w:val="19"/>
          <w:szCs w:val="19"/>
        </w:rPr>
        <w:t xml:space="preserve">The following table summarises the sequential calculation steps performed in the background.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1928"/>
        <w:gridCol w:w="3084"/>
        <w:gridCol w:w="4240"/>
      </w:tblGrid>
      <w:tr>
        <w:tc>
          <w:tcPr>
            <w:tcW w:type="dxa" w:w="386"/>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1928"/>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Step</w:t>
            </w:r>
          </w:p>
        </w:tc>
        <w:tc>
          <w:tcPr>
            <w:tcW w:type="dxa" w:w="3084"/>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Formula</w:t>
            </w:r>
          </w:p>
        </w:tc>
        <w:tc>
          <w:tcPr>
            <w:tcW w:type="dxa" w:w="424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38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w:t>
            </w:r>
          </w:p>
        </w:tc>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Effective diameter &amp; area</w:t>
            </w:r>
          </w:p>
        </w:tc>
        <w:tc>
          <w:tcPr>
            <w:tcW w:type="dxa" w:w="308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d_eff = (d_in + d_out) / 2
A_eff = π/4 × d_eff²</w:t>
            </w:r>
          </w:p>
        </w:tc>
        <w:tc>
          <w:tcPr>
            <w:tcW w:type="dxa" w:w="424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Area on which pressure force acts</w:t>
            </w:r>
          </w:p>
        </w:tc>
      </w:tr>
      <w:tr>
        <w:tc>
          <w:tcPr>
            <w:tcW w:type="dxa" w:w="38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w:t>
            </w:r>
          </w:p>
        </w:tc>
        <w:tc>
          <w:tcPr>
            <w:tcW w:type="dxa" w:w="1928"/>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Pressure force</w:t>
            </w:r>
          </w:p>
        </w:tc>
        <w:tc>
          <w:tcPr>
            <w:tcW w:type="dxa" w:w="308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 = P × A_eff</w:t>
            </w:r>
          </w:p>
        </w:tc>
        <w:tc>
          <w:tcPr>
            <w:tcW w:type="dxa" w:w="424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Total pressure load to be carried by the bolts</w:t>
            </w:r>
          </w:p>
        </w:tc>
      </w:tr>
      <w:tr>
        <w:tc>
          <w:tcPr>
            <w:tcW w:type="dxa" w:w="38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w:t>
            </w:r>
          </w:p>
        </w:tc>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Nominal preload</w:t>
            </w:r>
          </w:p>
        </w:tc>
        <w:tc>
          <w:tcPr>
            <w:tcW w:type="dxa" w:w="308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F_pre_raw = k × proof × A_s</w:t>
            </w:r>
          </w:p>
        </w:tc>
        <w:tc>
          <w:tcPr>
            <w:tcW w:type="dxa" w:w="424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Nominal clamping force (before loss correction)</w:t>
            </w:r>
          </w:p>
        </w:tc>
      </w:tr>
      <w:tr>
        <w:tc>
          <w:tcPr>
            <w:tcW w:type="dxa" w:w="38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w:t>
            </w:r>
          </w:p>
        </w:tc>
        <w:tc>
          <w:tcPr>
            <w:tcW w:type="dxa" w:w="1928"/>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Effective preload</w:t>
            </w:r>
          </w:p>
        </w:tc>
        <w:tc>
          <w:tcPr>
            <w:tcW w:type="dxa" w:w="308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F_pre = F_pre_raw × (1 − loss)</w:t>
            </w:r>
          </w:p>
        </w:tc>
        <w:tc>
          <w:tcPr>
            <w:tcW w:type="dxa" w:w="424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Preload after relaxation correction</w:t>
            </w:r>
          </w:p>
        </w:tc>
      </w:tr>
      <w:tr>
        <w:tc>
          <w:tcPr>
            <w:tcW w:type="dxa" w:w="38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w:t>
            </w:r>
          </w:p>
        </w:tc>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Stiffness factor</w:t>
            </w:r>
          </w:p>
        </w:tc>
        <w:tc>
          <w:tcPr>
            <w:tcW w:type="dxa" w:w="308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φ = kb/(kb+kj)  or  constant C</w:t>
            </w:r>
          </w:p>
        </w:tc>
        <w:tc>
          <w:tcPr>
            <w:tcW w:type="dxa" w:w="424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VDI or constant stiffness ratio</w:t>
            </w:r>
          </w:p>
        </w:tc>
      </w:tr>
      <w:tr>
        <w:tc>
          <w:tcPr>
            <w:tcW w:type="dxa" w:w="38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6</w:t>
            </w:r>
          </w:p>
        </w:tc>
        <w:tc>
          <w:tcPr>
            <w:tcW w:type="dxa" w:w="1928"/>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Thermal correction</w:t>
            </w:r>
          </w:p>
        </w:tc>
        <w:tc>
          <w:tcPr>
            <w:tcW w:type="dxa" w:w="308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ΔF_th = (αj·Lj − αb·Lb) × ΔT / (1/kb+1/kj)</w:t>
            </w:r>
          </w:p>
        </w:tc>
        <w:tc>
          <w:tcPr>
            <w:tcW w:type="dxa" w:w="424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Applied only when VDI + Thermal are active</w:t>
            </w:r>
          </w:p>
        </w:tc>
      </w:tr>
      <w:tr>
        <w:tc>
          <w:tcPr>
            <w:tcW w:type="dxa" w:w="386"/>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7</w:t>
            </w:r>
          </w:p>
        </w:tc>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Load per bolt</w:t>
            </w:r>
          </w:p>
        </w:tc>
        <w:tc>
          <w:tcPr>
            <w:tcW w:type="dxa" w:w="3084"/>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F_bolt = F_pre + φ × (F_p / n)</w:t>
            </w:r>
          </w:p>
        </w:tc>
        <w:tc>
          <w:tcPr>
            <w:tcW w:type="dxa" w:w="424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Total force on one bolt under operating conditions</w:t>
            </w:r>
          </w:p>
        </w:tc>
      </w:tr>
      <w:tr>
        <w:tc>
          <w:tcPr>
            <w:tcW w:type="dxa" w:w="386"/>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8</w:t>
            </w:r>
          </w:p>
        </w:tc>
        <w:tc>
          <w:tcPr>
            <w:tcW w:type="dxa" w:w="1928"/>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Bolt stress</w:t>
            </w:r>
          </w:p>
        </w:tc>
        <w:tc>
          <w:tcPr>
            <w:tcW w:type="dxa" w:w="3084"/>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σ = F_bolt / A_s</w:t>
            </w:r>
          </w:p>
        </w:tc>
        <w:tc>
          <w:tcPr>
            <w:tcW w:type="dxa" w:w="424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Governing quantity for the stress check</w:t>
            </w:r>
          </w:p>
        </w:tc>
      </w:tr>
    </w:tbl>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5.  Interpreting Results</w:t>
      </w:r>
    </w:p>
    <w:p>
      <w:pPr>
        <w:pStyle w:val="Heading2"/>
        <w:spacing w:after="80" w:before="240"/>
      </w:pPr>
      <w:r>
        <w:rPr>
          <w:rFonts w:ascii="Arial" w:cs="Arial" w:eastAsia="Arial" w:hAnsi="Arial"/>
          <w:b/>
          <w:bCs/>
          <w:color w:val="2E75B6"/>
          <w:sz w:val="22"/>
          <w:szCs w:val="22"/>
        </w:rPr>
        <w:t xml:space="preserve">5.1  Overall Status Banner</w:t>
      </w:r>
    </w:p>
    <w:p>
      <w:pPr>
        <w:spacing w:after="60" w:before="60"/>
      </w:pPr>
      <w:r>
        <w:rPr>
          <w:rFonts w:ascii="Arial" w:cs="Arial" w:eastAsia="Arial" w:hAnsi="Arial"/>
          <w:b w:val="false"/>
          <w:bCs w:val="false"/>
          <w:color w:val="595959"/>
          <w:sz w:val="19"/>
          <w:szCs w:val="19"/>
        </w:rPr>
        <w:t xml:space="preserve">The coloured banner at the top of the right panel summarises the outcome of all checks.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6747"/>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Meaning</w:t>
            </w:r>
          </w:p>
        </w:tc>
      </w:tr>
      <w:tr>
        <w:tc>
          <w:tcPr>
            <w:tcW w:type="dxa" w:w="2891"/>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  ACCEPTABLE</w:t>
            </w:r>
          </w:p>
        </w:tc>
        <w:tc>
          <w:tcPr>
            <w:tcW w:type="dxa" w:w="674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checks passed. The design is adequate.</w:t>
            </w:r>
          </w:p>
        </w:tc>
      </w:tr>
      <w:tr>
        <w:tc>
          <w:tcPr>
            <w:tcW w:type="dxa" w:w="2891"/>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  NOT ACCEPTABLE</w:t>
            </w:r>
          </w:p>
        </w:tc>
        <w:tc>
          <w:tcPr>
            <w:tcW w:type="dxa" w:w="674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At least one check failed. Review the details below.</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5.2  Metric Cards</w:t>
      </w:r>
    </w:p>
    <w:p>
      <w:pPr>
        <w:spacing w:after="60" w:before="60"/>
      </w:pPr>
      <w:r>
        <w:rPr>
          <w:rFonts w:ascii="Arial" w:cs="Arial" w:eastAsia="Arial" w:hAnsi="Arial"/>
          <w:b w:val="false"/>
          <w:bCs w:val="false"/>
          <w:color w:val="595959"/>
          <w:sz w:val="19"/>
          <w:szCs w:val="19"/>
        </w:rPr>
        <w:t xml:space="preserve">Six metric cards appear after the analysis runs. The colour bar on the left edge of each card indicates the category.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6361"/>
      </w:tblGrid>
      <w:tr>
        <w:tc>
          <w:tcPr>
            <w:tcW w:type="dxa" w:w="212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Card</w:t>
            </w:r>
          </w:p>
        </w:tc>
        <w:tc>
          <w:tcPr>
            <w:tcW w:type="dxa" w:w="1157"/>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Colour</w:t>
            </w:r>
          </w:p>
        </w:tc>
        <w:tc>
          <w:tcPr>
            <w:tcW w:type="dxa" w:w="6361"/>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Content</w:t>
            </w:r>
          </w:p>
        </w:tc>
      </w:tr>
      <w:tr>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Effective Area</w:t>
            </w:r>
          </w:p>
        </w:tc>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Blue</w:t>
            </w:r>
          </w:p>
        </w:tc>
        <w:tc>
          <w:tcPr>
            <w:tcW w:type="dxa" w:w="6361"/>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A_eff (mm²) — Calculation area on which the pressure force acts</w:t>
            </w:r>
          </w:p>
        </w:tc>
      </w:tr>
      <w:tr>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Pressure Force</w:t>
            </w:r>
          </w:p>
        </w:tc>
        <w:tc>
          <w:tcPr>
            <w:tcW w:type="dxa" w:w="115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Orange</w:t>
            </w:r>
          </w:p>
        </w:tc>
        <w:tc>
          <w:tcPr>
            <w:tcW w:type="dxa" w:w="6361"/>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 (kN) — Total force exerted by pressure across the entire flange</w:t>
            </w:r>
          </w:p>
        </w:tc>
      </w:tr>
      <w:tr>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Effective Preload</w:t>
            </w:r>
          </w:p>
        </w:tc>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Green</w:t>
            </w:r>
          </w:p>
        </w:tc>
        <w:tc>
          <w:tcPr>
            <w:tcW w:type="dxa" w:w="6361"/>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F_pre (kN) — Per-bolt preload after loss correction</w:t>
            </w:r>
          </w:p>
        </w:tc>
      </w:tr>
      <w:tr>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Load per Bolt</w:t>
            </w:r>
          </w:p>
        </w:tc>
        <w:tc>
          <w:tcPr>
            <w:tcW w:type="dxa" w:w="115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Blue</w:t>
            </w:r>
          </w:p>
        </w:tc>
        <w:tc>
          <w:tcPr>
            <w:tcW w:type="dxa" w:w="6361"/>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F_bolt (kN) — Total force carried by one bolt under operating conditions</w:t>
            </w:r>
          </w:p>
        </w:tc>
      </w:tr>
      <w:tr>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Stiffness Factor</w:t>
            </w:r>
          </w:p>
        </w:tc>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Purple</w:t>
            </w:r>
          </w:p>
        </w:tc>
        <w:tc>
          <w:tcPr>
            <w:tcW w:type="dxa" w:w="6361"/>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φ or C — Load distribution ratio (mode label is shown)</w:t>
            </w:r>
          </w:p>
        </w:tc>
      </w:tr>
      <w:tr>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Bolt Count</w:t>
            </w:r>
          </w:p>
        </w:tc>
        <w:tc>
          <w:tcPr>
            <w:tcW w:type="dxa" w:w="115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Green</w:t>
            </w:r>
          </w:p>
        </w:tc>
        <w:tc>
          <w:tcPr>
            <w:tcW w:type="dxa" w:w="6361"/>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 — Value entered in CHECK mode or calculated in DESIGN mode</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5.3  Check Results</w:t>
      </w:r>
    </w:p>
    <w:p>
      <w:pPr>
        <w:spacing w:after="60" w:before="60"/>
      </w:pPr>
      <w:r>
        <w:rPr>
          <w:rFonts w:ascii="Arial" w:cs="Arial" w:eastAsia="Arial" w:hAnsi="Arial"/>
          <w:b w:val="false"/>
          <w:bCs w:val="false"/>
          <w:color w:val="595959"/>
          <w:sz w:val="19"/>
          <w:szCs w:val="19"/>
        </w:rPr>
        <w:t xml:space="preserve">Each check displays a green OK or red NOK badge in the top-right corner of its block.</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c>
          <w:tcPr>
            <w:tcW w:type="dxa" w:w="578"/>
            <w:tcBorders>
              <w:top w:val="single" w:color="BDD7EE" w:sz="4"/>
              <w:left w:val="single" w:color="BDD7EE" w:sz="4"/>
              <w:bottom w:val="single" w:color="BDD7EE" w:sz="4"/>
              <w:right w:val="single" w:color="BDD7EE" w:sz="4"/>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[1]</w:t>
            </w:r>
          </w:p>
        </w:tc>
        <w:tc>
          <w:tcPr>
            <w:tcW w:type="dxa" w:w="9060"/>
            <w:tcBorders>
              <w:top w:val="single" w:color="BDD7EE" w:sz="4"/>
              <w:left w:val="single" w:color="BDD7EE" w:sz="4"/>
              <w:bottom w:val="single" w:color="BDD7EE" w:sz="4"/>
              <w:right w:val="single" w:color="BDD7EE" w:sz="4"/>
            </w:tcBorders>
            <w:shd w:fill="F2F2F2" w:val="clear"/>
            <w:tcMar>
              <w:top w:type="dxa" w:w="100"/>
              <w:left w:type="dxa" w:w="160"/>
              <w:bottom w:type="dxa" w:w="100"/>
              <w:right w:type="dxa" w:w="140"/>
            </w:tcMar>
          </w:tcPr>
          <w:p>
            <w:r>
              <w:rPr>
                <w:rFonts w:ascii="Arial" w:cs="Arial" w:eastAsia="Arial" w:hAnsi="Arial"/>
                <w:b/>
                <w:bCs/>
                <w:color w:val="2E75B6"/>
                <w:sz w:val="20"/>
                <w:szCs w:val="20"/>
              </w:rPr>
              <w:t xml:space="preserve">Bolt Stress Check</w:t>
            </w:r>
          </w:p>
          <w:p>
            <w:pPr>
              <w:spacing w:before="60"/>
            </w:pPr>
            <w:r>
              <w:rPr>
                <w:rFonts w:ascii="Arial" w:cs="Arial" w:eastAsia="Arial" w:hAnsi="Arial"/>
                <w:color w:val="595959"/>
                <w:sz w:val="18"/>
                <w:szCs w:val="18"/>
              </w:rPr>
              <w:t xml:space="preserve">Condition: σ = F_bolt / A_s ≤ proof / SF_stress</w:t>
            </w:r>
          </w:p>
          <w:p>
            <w:pPr>
              <w:spacing w:before="40"/>
            </w:pPr>
            <w:r>
              <w:rPr>
                <w:rFonts w:ascii="Arial" w:cs="Arial" w:eastAsia="Arial" w:hAnsi="Arial"/>
                <w:color w:val="595959"/>
                <w:sz w:val="18"/>
                <w:szCs w:val="18"/>
              </w:rPr>
              <w:t xml:space="preserve">A stress utilisation bar shows the ratio: green (&lt; 65%), amber (65–85%), red (&gt; 85%).</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c>
          <w:tcPr>
            <w:tcW w:type="dxa" w:w="578"/>
            <w:tcBorders>
              <w:top w:val="single" w:color="BDD7EE" w:sz="4"/>
              <w:left w:val="single" w:color="BDD7EE" w:sz="4"/>
              <w:bottom w:val="single" w:color="BDD7EE" w:sz="4"/>
              <w:right w:val="single" w:color="BDD7EE" w:sz="4"/>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[2]</w:t>
            </w:r>
          </w:p>
        </w:tc>
        <w:tc>
          <w:tcPr>
            <w:tcW w:type="dxa" w:w="9060"/>
            <w:tcBorders>
              <w:top w:val="single" w:color="BDD7EE" w:sz="4"/>
              <w:left w:val="single" w:color="BDD7EE" w:sz="4"/>
              <w:bottom w:val="single" w:color="BDD7EE" w:sz="4"/>
              <w:right w:val="single" w:color="BDD7EE" w:sz="4"/>
            </w:tcBorders>
            <w:shd w:fill="F2F2F2" w:val="clear"/>
            <w:tcMar>
              <w:top w:type="dxa" w:w="100"/>
              <w:left w:type="dxa" w:w="160"/>
              <w:bottom w:type="dxa" w:w="100"/>
              <w:right w:type="dxa" w:w="140"/>
            </w:tcMar>
          </w:tcPr>
          <w:p>
            <w:r>
              <w:rPr>
                <w:rFonts w:ascii="Arial" w:cs="Arial" w:eastAsia="Arial" w:hAnsi="Arial"/>
                <w:b/>
                <w:bCs/>
                <w:color w:val="2E75B6"/>
                <w:sz w:val="20"/>
                <w:szCs w:val="20"/>
              </w:rPr>
              <w:t xml:space="preserve">Joint Separation Check</w:t>
            </w:r>
          </w:p>
          <w:p>
            <w:pPr>
              <w:spacing w:before="60"/>
            </w:pPr>
            <w:r>
              <w:rPr>
                <w:rFonts w:ascii="Arial" w:cs="Arial" w:eastAsia="Arial" w:hAnsi="Arial"/>
                <w:color w:val="595959"/>
                <w:sz w:val="18"/>
                <w:szCs w:val="18"/>
              </w:rPr>
              <w:t xml:space="preserve">Condition: n × F_pre &gt; SF_sep × F_p</w:t>
            </w:r>
          </w:p>
          <w:p>
            <w:pPr>
              <w:spacing w:before="40"/>
            </w:pPr>
            <w:r>
              <w:rPr>
                <w:rFonts w:ascii="Arial" w:cs="Arial" w:eastAsia="Arial" w:hAnsi="Arial"/>
                <w:color w:val="595959"/>
                <w:sz w:val="18"/>
                <w:szCs w:val="18"/>
              </w:rPr>
              <w:t xml:space="preserve">A positive margin (green) confirms the joint remains closed under pressure. A negative margin is shown in red.</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c>
          <w:tcPr>
            <w:tcW w:type="dxa" w:w="578"/>
            <w:tcBorders>
              <w:top w:val="single" w:color="BDD7EE" w:sz="4"/>
              <w:left w:val="single" w:color="BDD7EE" w:sz="4"/>
              <w:bottom w:val="single" w:color="BDD7EE" w:sz="4"/>
              <w:right w:val="single" w:color="BDD7EE" w:sz="4"/>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[3]</w:t>
            </w:r>
          </w:p>
        </w:tc>
        <w:tc>
          <w:tcPr>
            <w:tcW w:type="dxa" w:w="9060"/>
            <w:tcBorders>
              <w:top w:val="single" w:color="BDD7EE" w:sz="4"/>
              <w:left w:val="single" w:color="BDD7EE" w:sz="4"/>
              <w:bottom w:val="single" w:color="BDD7EE" w:sz="4"/>
              <w:right w:val="single" w:color="BDD7EE" w:sz="4"/>
            </w:tcBorders>
            <w:shd w:fill="FFFFFF" w:val="clear"/>
            <w:tcMar>
              <w:top w:type="dxa" w:w="100"/>
              <w:left w:type="dxa" w:w="160"/>
              <w:bottom w:type="dxa" w:w="100"/>
              <w:right w:type="dxa" w:w="140"/>
            </w:tcMar>
          </w:tcPr>
          <w:p>
            <w:r>
              <w:rPr>
                <w:rFonts w:ascii="Arial" w:cs="Arial" w:eastAsia="Arial" w:hAnsi="Arial"/>
                <w:b/>
                <w:bCs/>
                <w:color w:val="2E75B6"/>
                <w:sz w:val="20"/>
                <w:szCs w:val="20"/>
              </w:rPr>
              <w:t xml:space="preserve">Gasket Seating Check (optional)</w:t>
            </w:r>
          </w:p>
          <w:p>
            <w:pPr>
              <w:spacing w:before="60"/>
            </w:pPr>
            <w:r>
              <w:rPr>
                <w:rFonts w:ascii="Arial" w:cs="Arial" w:eastAsia="Arial" w:hAnsi="Arial"/>
                <w:color w:val="595959"/>
                <w:sz w:val="18"/>
                <w:szCs w:val="18"/>
              </w:rPr>
              <w:t xml:space="preserve">Condition: p_gasket = (n×F_pre − F_p) / A_gasket ≥ p_min</w:t>
            </w:r>
          </w:p>
          <w:p>
            <w:pPr>
              <w:spacing w:before="40"/>
            </w:pPr>
            <w:r>
              <w:rPr>
                <w:rFonts w:ascii="Arial" w:cs="Arial" w:eastAsia="Arial" w:hAnsi="Arial"/>
                <w:color w:val="595959"/>
                <w:sz w:val="18"/>
                <w:szCs w:val="18"/>
              </w:rPr>
              <w:t xml:space="preserve">Visible when the Gasket Seating toggle is on. Gasket area and stress values are listed in the sub-boxes.</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9060"/>
      </w:tblGrid>
      <w:tr>
        <w:tc>
          <w:tcPr>
            <w:tcW w:type="dxa" w:w="578"/>
            <w:tcBorders>
              <w:top w:val="single" w:color="BDD7EE" w:sz="4"/>
              <w:left w:val="single" w:color="BDD7EE" w:sz="4"/>
              <w:bottom w:val="single" w:color="BDD7EE" w:sz="4"/>
              <w:right w:val="single" w:color="BDD7EE" w:sz="4"/>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[4]</w:t>
            </w:r>
          </w:p>
        </w:tc>
        <w:tc>
          <w:tcPr>
            <w:tcW w:type="dxa" w:w="9060"/>
            <w:tcBorders>
              <w:top w:val="single" w:color="BDD7EE" w:sz="4"/>
              <w:left w:val="single" w:color="BDD7EE" w:sz="4"/>
              <w:bottom w:val="single" w:color="BDD7EE" w:sz="4"/>
              <w:right w:val="single" w:color="BDD7EE" w:sz="4"/>
            </w:tcBorders>
            <w:shd w:fill="FFFFFF" w:val="clear"/>
            <w:tcMar>
              <w:top w:type="dxa" w:w="100"/>
              <w:left w:type="dxa" w:w="160"/>
              <w:bottom w:type="dxa" w:w="100"/>
              <w:right w:type="dxa" w:w="140"/>
            </w:tcMar>
          </w:tcPr>
          <w:p>
            <w:r>
              <w:rPr>
                <w:rFonts w:ascii="Arial" w:cs="Arial" w:eastAsia="Arial" w:hAnsi="Arial"/>
                <w:b/>
                <w:bCs/>
                <w:color w:val="2E75B6"/>
                <w:sz w:val="20"/>
                <w:szCs w:val="20"/>
              </w:rPr>
              <w:t xml:space="preserve">Bolt Spacing Check (DESIGN mode only)</w:t>
            </w:r>
          </w:p>
          <w:p>
            <w:pPr>
              <w:spacing w:before="60"/>
            </w:pPr>
            <w:r>
              <w:rPr>
                <w:rFonts w:ascii="Arial" w:cs="Arial" w:eastAsia="Arial" w:hAnsi="Arial"/>
                <w:color w:val="595959"/>
                <w:sz w:val="18"/>
                <w:szCs w:val="18"/>
              </w:rPr>
              <w:t xml:space="preserve">Condition: Calculated pitch ≥ minimum pitch (= spacing factor × d)</w:t>
            </w:r>
          </w:p>
          <w:p>
            <w:pPr>
              <w:spacing w:before="40"/>
            </w:pPr>
            <w:r>
              <w:rPr>
                <w:rFonts w:ascii="Arial" w:cs="Arial" w:eastAsia="Arial" w:hAnsi="Arial"/>
                <w:color w:val="595959"/>
                <w:sz w:val="18"/>
                <w:szCs w:val="18"/>
              </w:rPr>
              <w:t xml:space="preserve">Calculated pitch = π × BCD / n. If the spacing is insufficient, n is incremented and the check is repeated.</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5.4  DESIGN Mode — Additional Results</w:t>
      </w:r>
    </w:p>
    <w:p>
      <w:pPr>
        <w:spacing w:after="60" w:before="60"/>
      </w:pPr>
      <w:r>
        <w:rPr>
          <w:rFonts w:ascii="Arial" w:cs="Arial" w:eastAsia="Arial" w:hAnsi="Arial"/>
          <w:b w:val="false"/>
          <w:bCs w:val="false"/>
          <w:color w:val="595959"/>
          <w:sz w:val="19"/>
          <w:szCs w:val="19"/>
        </w:rPr>
        <w:t xml:space="preserve">An additional section appears below the check blocks in DESIGN mode:</w:t>
      </w:r>
    </w:p>
    <w:p>
      <w:pPr>
        <w:spacing w:after="0" w:before="80"/>
      </w:pPr>
      <w:r>
        <w:t xml:space="preserve"/>
      </w:r>
    </w:p>
    <w:p>
      <w:pPr>
        <w:pStyle w:val="ListParagraph"/>
        <w:numPr>
          <w:ilvl w:val="0"/>
          <w:numId w:val="2"/>
        </w:numPr>
        <w:spacing w:after="40" w:before="40"/>
      </w:pPr>
      <w:r>
        <w:rPr>
          <w:rFonts w:ascii="Arial" w:cs="Arial" w:eastAsia="Arial" w:hAnsi="Arial"/>
          <w:color w:val="595959"/>
          <w:sz w:val="19"/>
          <w:szCs w:val="19"/>
        </w:rPr>
        <w:t xml:space="preserve">Minimum n (raw): Absolute minimum bolt count based on the separation safety factor alone.</w:t>
      </w:r>
    </w:p>
    <w:p>
      <w:pPr>
        <w:pStyle w:val="ListParagraph"/>
        <w:numPr>
          <w:ilvl w:val="0"/>
          <w:numId w:val="2"/>
        </w:numPr>
        <w:spacing w:after="40" w:before="40"/>
      </w:pPr>
      <w:r>
        <w:rPr>
          <w:rFonts w:ascii="Arial" w:cs="Arial" w:eastAsia="Arial" w:hAnsi="Arial"/>
          <w:color w:val="595959"/>
          <w:sz w:val="19"/>
          <w:szCs w:val="19"/>
        </w:rPr>
        <w:t xml:space="preserve">Selected n: Recommended final bolt count that also satisfies the spacing condition.</w:t>
      </w:r>
    </w:p>
    <w:p>
      <w:pPr>
        <w:pStyle w:val="ListParagraph"/>
        <w:numPr>
          <w:ilvl w:val="0"/>
          <w:numId w:val="2"/>
        </w:numPr>
        <w:spacing w:after="40" w:before="40"/>
      </w:pPr>
      <w:r>
        <w:rPr>
          <w:rFonts w:ascii="Arial" w:cs="Arial" w:eastAsia="Arial" w:hAnsi="Arial"/>
          <w:color w:val="595959"/>
          <w:sz w:val="19"/>
          <w:szCs w:val="19"/>
        </w:rPr>
        <w:t xml:space="preserve">Calculated Pitch (mm): Centre-to-centre distance between adjacent bolts. Green = adequate, red = insufficient.</w:t>
      </w:r>
    </w:p>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6.  Worked Example —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16"/>
              <w:bottom w:val="single" w:color="BF8F00" w:sz="4"/>
              <w:right w:val="single" w:color="BF8F00" w:sz="4"/>
            </w:tcBorders>
            <w:shd w:fill="FFF2CC" w:val="clear"/>
            <w:tcMar>
              <w:top w:type="dxa" w:w="100"/>
              <w:left w:type="dxa" w:w="200"/>
              <w:bottom w:type="dxa" w:w="100"/>
              <w:right w:type="dxa" w:w="140"/>
            </w:tcMar>
          </w:tcPr>
          <w:p>
            <w:pPr>
              <w:spacing w:before="0"/>
            </w:pPr>
            <w:r>
              <w:rPr>
                <w:rFonts w:ascii="Arial" w:cs="Arial" w:eastAsia="Arial" w:hAnsi="Arial"/>
                <w:b/>
                <w:bCs/>
                <w:color w:val="000000"/>
                <w:sz w:val="18"/>
                <w:szCs w:val="18"/>
              </w:rPr>
              <w:t xml:space="preserve">ℹ  This example demonstrates the CHECK mode verification of a pressure vessel flange at 0.5 MPa internal pressure.</w:t>
            </w:r>
          </w:p>
        </w:tc>
      </w:tr>
    </w:tbl>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1: Select the Mode</w:t>
            </w:r>
          </w:p>
          <w:p>
            <w:pPr>
              <w:spacing w:after="40" w:before="40"/>
            </w:pPr>
            <w:r>
              <w:rPr>
                <w:rFonts w:ascii="Arial" w:cs="Arial" w:eastAsia="Arial" w:hAnsi="Arial"/>
                <w:color w:val="000000"/>
                <w:sz w:val="18"/>
                <w:szCs w:val="18"/>
              </w:rPr>
              <w:t xml:space="preserve">Click the CHECK button in the top-right corner (selected by default).</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2: Enter Pressure &amp; Geometry</w:t>
            </w:r>
          </w:p>
          <w:p>
            <w:pPr>
              <w:spacing w:after="40" w:before="40"/>
            </w:pPr>
            <w:r>
              <w:rPr>
                <w:rFonts w:ascii="Arial" w:cs="Arial" w:eastAsia="Arial" w:hAnsi="Arial"/>
                <w:color w:val="000000"/>
                <w:sz w:val="18"/>
                <w:szCs w:val="18"/>
              </w:rPr>
              <w:t xml:space="preserve">Internal Pressure:       0.5 MPa</w:t>
            </w:r>
          </w:p>
          <w:p>
            <w:pPr>
              <w:spacing w:after="40" w:before="40"/>
            </w:pPr>
            <w:r>
              <w:rPr>
                <w:rFonts w:ascii="Arial" w:cs="Arial" w:eastAsia="Arial" w:hAnsi="Arial"/>
                <w:color w:val="000000"/>
                <w:sz w:val="18"/>
                <w:szCs w:val="18"/>
              </w:rPr>
              <w:t xml:space="preserve">Bolt Count:              12</w:t>
            </w:r>
          </w:p>
          <w:p>
            <w:pPr>
              <w:spacing w:after="40" w:before="40"/>
            </w:pPr>
            <w:r>
              <w:rPr>
                <w:rFonts w:ascii="Arial" w:cs="Arial" w:eastAsia="Arial" w:hAnsi="Arial"/>
                <w:color w:val="000000"/>
                <w:sz w:val="18"/>
                <w:szCs w:val="18"/>
              </w:rPr>
              <w:t xml:space="preserve">Gasket Inner Diameter:   200 mm</w:t>
            </w:r>
          </w:p>
          <w:p>
            <w:pPr>
              <w:spacing w:after="40" w:before="40"/>
            </w:pPr>
            <w:r>
              <w:rPr>
                <w:rFonts w:ascii="Arial" w:cs="Arial" w:eastAsia="Arial" w:hAnsi="Arial"/>
                <w:color w:val="000000"/>
                <w:sz w:val="18"/>
                <w:szCs w:val="18"/>
              </w:rPr>
              <w:t xml:space="preserve">Gasket Outer Diameter:   240 mm</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3: Select Bolt Properties</w:t>
            </w:r>
          </w:p>
          <w:p>
            <w:pPr>
              <w:spacing w:after="40" w:before="40"/>
            </w:pPr>
            <w:r>
              <w:rPr>
                <w:rFonts w:ascii="Arial" w:cs="Arial" w:eastAsia="Arial" w:hAnsi="Arial"/>
                <w:color w:val="000000"/>
                <w:sz w:val="18"/>
                <w:szCs w:val="18"/>
              </w:rPr>
              <w:t xml:space="preserve">Bolt Size:               M16</w:t>
            </w:r>
          </w:p>
          <w:p>
            <w:pPr>
              <w:spacing w:after="40" w:before="40"/>
            </w:pPr>
            <w:r>
              <w:rPr>
                <w:rFonts w:ascii="Arial" w:cs="Arial" w:eastAsia="Arial" w:hAnsi="Arial"/>
                <w:color w:val="000000"/>
                <w:sz w:val="18"/>
                <w:szCs w:val="18"/>
              </w:rPr>
              <w:t xml:space="preserve">Strength Grade:          8.8</w:t>
            </w:r>
          </w:p>
          <w:p>
            <w:pPr>
              <w:spacing w:after="40" w:before="40"/>
            </w:pPr>
            <w:r>
              <w:rPr>
                <w:rFonts w:ascii="Arial" w:cs="Arial" w:eastAsia="Arial" w:hAnsi="Arial"/>
                <w:color w:val="000000"/>
                <w:sz w:val="18"/>
                <w:szCs w:val="18"/>
              </w:rPr>
              <w:t xml:space="preserve">Preload Factor k:        0.75</w:t>
            </w:r>
          </w:p>
          <w:p>
            <w:pPr>
              <w:spacing w:after="40" w:before="40"/>
            </w:pPr>
            <w:r>
              <w:rPr>
                <w:rFonts w:ascii="Arial" w:cs="Arial" w:eastAsia="Arial" w:hAnsi="Arial"/>
                <w:color w:val="000000"/>
                <w:sz w:val="18"/>
                <w:szCs w:val="18"/>
              </w:rPr>
              <w:t xml:space="preserve">Preload Loss Factor:     0.10</w:t>
            </w:r>
          </w:p>
          <w:p>
            <w:pPr>
              <w:spacing w:after="40" w:before="40"/>
            </w:pPr>
            <w:r>
              <w:rPr>
                <w:rFonts w:ascii="Arial" w:cs="Arial" w:eastAsia="Arial" w:hAnsi="Arial"/>
                <w:color w:val="000000"/>
                <w:sz w:val="18"/>
                <w:szCs w:val="18"/>
              </w:rPr>
              <w:t xml:space="preserve"/>
            </w:r>
          </w:p>
          <w:p>
            <w:pPr>
              <w:spacing w:after="40" w:before="40"/>
            </w:pPr>
            <w:r>
              <w:rPr>
                <w:rFonts w:ascii="Arial" w:cs="Arial" w:eastAsia="Arial" w:hAnsi="Arial"/>
                <w:color w:val="000000"/>
                <w:sz w:val="18"/>
                <w:szCs w:val="18"/>
              </w:rPr>
              <w:t xml:space="preserve">The data box updates immediately:  M16 / 8.8 → A_s = 157 mm²  ·  proof = 580 MPa  ·  Re = 640 MPa</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4: Enter Safety Factors</w:t>
            </w:r>
          </w:p>
          <w:p>
            <w:pPr>
              <w:spacing w:after="40" w:before="40"/>
            </w:pPr>
            <w:r>
              <w:rPr>
                <w:rFonts w:ascii="Arial" w:cs="Arial" w:eastAsia="Arial" w:hAnsi="Arial"/>
                <w:color w:val="000000"/>
                <w:sz w:val="18"/>
                <w:szCs w:val="18"/>
              </w:rPr>
              <w:t xml:space="preserve">SF — Separation:   1.5</w:t>
            </w:r>
          </w:p>
          <w:p>
            <w:pPr>
              <w:spacing w:after="40" w:before="40"/>
            </w:pPr>
            <w:r>
              <w:rPr>
                <w:rFonts w:ascii="Arial" w:cs="Arial" w:eastAsia="Arial" w:hAnsi="Arial"/>
                <w:color w:val="000000"/>
                <w:sz w:val="18"/>
                <w:szCs w:val="18"/>
              </w:rPr>
              <w:t xml:space="preserve">SF — Stress:       1.2</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5: Enable Optional Modules (if required)</w:t>
            </w:r>
          </w:p>
          <w:p>
            <w:pPr>
              <w:spacing w:after="40" w:before="40"/>
            </w:pPr>
            <w:r>
              <w:rPr>
                <w:rFonts w:ascii="Arial" w:cs="Arial" w:eastAsia="Arial" w:hAnsi="Arial"/>
                <w:color w:val="000000"/>
                <w:sz w:val="18"/>
                <w:szCs w:val="18"/>
              </w:rPr>
              <w:t xml:space="preserve">For this example, enable the Gasket Seating check:</w:t>
            </w:r>
          </w:p>
          <w:p>
            <w:pPr>
              <w:spacing w:after="40" w:before="40"/>
            </w:pPr>
            <w:r>
              <w:rPr>
                <w:rFonts w:ascii="Arial" w:cs="Arial" w:eastAsia="Arial" w:hAnsi="Arial"/>
                <w:color w:val="000000"/>
                <w:sz w:val="18"/>
                <w:szCs w:val="18"/>
              </w:rPr>
              <w:t xml:space="preserve">  → Toggle Gasket Seating on</w:t>
            </w:r>
          </w:p>
          <w:p>
            <w:pPr>
              <w:spacing w:after="40" w:before="40"/>
            </w:pPr>
            <w:r>
              <w:rPr>
                <w:rFonts w:ascii="Arial" w:cs="Arial" w:eastAsia="Arial" w:hAnsi="Arial"/>
                <w:color w:val="000000"/>
                <w:sz w:val="18"/>
                <w:szCs w:val="18"/>
              </w:rPr>
              <w:t xml:space="preserve">  → Set Min. Gasket Stress = 25 MPa</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6: Run the Analysis</w:t>
            </w:r>
          </w:p>
          <w:p>
            <w:pPr>
              <w:spacing w:after="40" w:before="40"/>
            </w:pPr>
            <w:r>
              <w:rPr>
                <w:rFonts w:ascii="Arial" w:cs="Arial" w:eastAsia="Arial" w:hAnsi="Arial"/>
                <w:color w:val="000000"/>
                <w:sz w:val="18"/>
                <w:szCs w:val="18"/>
              </w:rPr>
              <w:t xml:space="preserve">Click the blue 'RUN ANALYSIS' button on the left. Results appear instantly in the right panel.</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1F4E79" w:sz="16"/>
              <w:bottom w:val="single" w:color="2E75B6" w:sz="4"/>
              <w:right w:val="single" w:color="2E75B6" w:sz="4"/>
            </w:tcBorders>
            <w:shd w:fill="F2F2F2" w:val="clear"/>
            <w:tcMar>
              <w:top w:type="dxa" w:w="120"/>
              <w:left w:type="dxa" w:w="200"/>
              <w:bottom w:type="dxa" w:w="120"/>
              <w:right w:type="dxa" w:w="140"/>
            </w:tcMar>
          </w:tcPr>
          <w:p>
            <w:pPr>
              <w:spacing w:after="80" w:before="0"/>
            </w:pPr>
            <w:r>
              <w:rPr>
                <w:rFonts w:ascii="Arial" w:cs="Arial" w:eastAsia="Arial" w:hAnsi="Arial"/>
                <w:b/>
                <w:bCs/>
                <w:color w:val="1F4E79"/>
                <w:sz w:val="20"/>
                <w:szCs w:val="20"/>
              </w:rPr>
              <w:t xml:space="preserve">Step 7: Interpret the Results</w:t>
            </w:r>
          </w:p>
          <w:p>
            <w:pPr>
              <w:spacing w:after="40" w:before="40"/>
            </w:pPr>
            <w:r>
              <w:rPr>
                <w:rFonts w:ascii="Arial" w:cs="Arial" w:eastAsia="Arial" w:hAnsi="Arial"/>
                <w:color w:val="000000"/>
                <w:sz w:val="18"/>
                <w:szCs w:val="18"/>
              </w:rPr>
              <w:t xml:space="preserve">Green 'ACCEPTABLE' banner → all checks passed.</w:t>
            </w:r>
          </w:p>
          <w:p>
            <w:pPr>
              <w:spacing w:after="40" w:before="40"/>
            </w:pPr>
            <w:r>
              <w:rPr>
                <w:rFonts w:ascii="Arial" w:cs="Arial" w:eastAsia="Arial" w:hAnsi="Arial"/>
                <w:color w:val="000000"/>
                <w:sz w:val="18"/>
                <w:szCs w:val="18"/>
              </w:rPr>
              <w:t xml:space="preserve">Stress Check: review the σ value and utilisation percentage.</w:t>
            </w:r>
          </w:p>
          <w:p>
            <w:pPr>
              <w:spacing w:after="40" w:before="40"/>
            </w:pPr>
            <w:r>
              <w:rPr>
                <w:rFonts w:ascii="Arial" w:cs="Arial" w:eastAsia="Arial" w:hAnsi="Arial"/>
                <w:color w:val="000000"/>
                <w:sz w:val="18"/>
                <w:szCs w:val="18"/>
              </w:rPr>
              <w:t xml:space="preserve">Separation Check: confirm that the margin is positive and sufficiently large.</w:t>
            </w:r>
          </w:p>
          <w:p>
            <w:pPr>
              <w:spacing w:after="40" w:before="40"/>
            </w:pPr>
            <w:r>
              <w:rPr>
                <w:rFonts w:ascii="Arial" w:cs="Arial" w:eastAsia="Arial" w:hAnsi="Arial"/>
                <w:color w:val="000000"/>
                <w:sz w:val="18"/>
                <w:szCs w:val="18"/>
              </w:rPr>
              <w:t xml:space="preserve">Gasket Seating Check: confirm that p_gasket ≥ 25 MPa.</w:t>
            </w:r>
          </w:p>
        </w:tc>
      </w:tr>
    </w:tbl>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7.  Error Messages</w:t>
      </w:r>
    </w:p>
    <w:p>
      <w:pPr>
        <w:spacing w:after="60" w:before="60"/>
      </w:pPr>
      <w:r>
        <w:rPr>
          <w:rFonts w:ascii="Arial" w:cs="Arial" w:eastAsia="Arial" w:hAnsi="Arial"/>
          <w:b w:val="false"/>
          <w:bCs w:val="false"/>
          <w:color w:val="595959"/>
          <w:sz w:val="19"/>
          <w:szCs w:val="19"/>
        </w:rPr>
        <w:t xml:space="preserve">In the event of invalid input, a red warning box appears at the bottom of the left panel.</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Error Message</w:t>
            </w:r>
          </w:p>
        </w:tc>
        <w:tc>
          <w:tcPr>
            <w:tcW w:type="dxa" w:w="5783"/>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Resolution</w:t>
            </w:r>
          </w:p>
        </w:tc>
      </w:tr>
      <w:tr>
        <w:tc>
          <w:tcPr>
            <w:tcW w:type="dxa" w:w="385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Inner diameter must be less than outer diameter.</w:t>
            </w:r>
          </w:p>
        </w:tc>
        <w:tc>
          <w:tcPr>
            <w:tcW w:type="dxa" w:w="578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Verify that the Gasket Inner Diameter is strictly less than the Outer Diameter.</w:t>
            </w:r>
          </w:p>
        </w:tc>
      </w:tr>
      <w:tr>
        <w:tc>
          <w:tcPr>
            <w:tcW w:type="dxa" w:w="385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BCD must be entered in DESIGN mode.</w:t>
            </w:r>
          </w:p>
        </w:tc>
        <w:tc>
          <w:tcPr>
            <w:tcW w:type="dxa" w:w="578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Fill in the BCD field when operating in DESIGN mode.</w:t>
            </w:r>
          </w:p>
        </w:tc>
      </w:tr>
      <w:tr>
        <w:tc>
          <w:tcPr>
            <w:tcW w:type="dxa" w:w="385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Enter a valid bolt count.</w:t>
            </w:r>
          </w:p>
        </w:tc>
        <w:tc>
          <w:tcPr>
            <w:tcW w:type="dxa" w:w="578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 CHECK mode, the Bolt Count field must contain a positive integer.</w:t>
            </w:r>
          </w:p>
        </w:tc>
      </w:tr>
    </w:tbl>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8.  Limitations &amp; Recommendations</w:t>
      </w:r>
    </w:p>
    <w:p>
      <w:pPr>
        <w:pStyle w:val="Heading2"/>
        <w:spacing w:after="80" w:before="240"/>
      </w:pPr>
      <w:r>
        <w:rPr>
          <w:rFonts w:ascii="Arial" w:cs="Arial" w:eastAsia="Arial" w:hAnsi="Arial"/>
          <w:b/>
          <w:bCs/>
          <w:color w:val="2E75B6"/>
          <w:sz w:val="22"/>
          <w:szCs w:val="22"/>
        </w:rPr>
        <w:t xml:space="preserve">Tool Limitations</w:t>
      </w:r>
    </w:p>
    <w:p>
      <w:pPr>
        <w:pStyle w:val="ListParagraph"/>
        <w:numPr>
          <w:ilvl w:val="0"/>
          <w:numId w:val="2"/>
        </w:numPr>
        <w:spacing w:after="40" w:before="40"/>
      </w:pPr>
      <w:r>
        <w:rPr>
          <w:rFonts w:ascii="Arial" w:cs="Arial" w:eastAsia="Arial" w:hAnsi="Arial"/>
          <w:color w:val="595959"/>
          <w:sz w:val="19"/>
          <w:szCs w:val="19"/>
        </w:rPr>
        <w:t xml:space="preserve">Supported bolt size range: M6–M20.</w:t>
      </w:r>
    </w:p>
    <w:p>
      <w:pPr>
        <w:pStyle w:val="ListParagraph"/>
        <w:numPr>
          <w:ilvl w:val="0"/>
          <w:numId w:val="2"/>
        </w:numPr>
        <w:spacing w:after="40" w:before="40"/>
      </w:pPr>
      <w:r>
        <w:rPr>
          <w:rFonts w:ascii="Arial" w:cs="Arial" w:eastAsia="Arial" w:hAnsi="Arial"/>
          <w:color w:val="595959"/>
          <w:sz w:val="19"/>
          <w:szCs w:val="19"/>
        </w:rPr>
        <w:t xml:space="preserve">All geometries assume cylindrical symmetry.</w:t>
      </w:r>
    </w:p>
    <w:p>
      <w:pPr>
        <w:pStyle w:val="ListParagraph"/>
        <w:numPr>
          <w:ilvl w:val="0"/>
          <w:numId w:val="2"/>
        </w:numPr>
        <w:spacing w:after="40" w:before="40"/>
      </w:pPr>
      <w:r>
        <w:rPr>
          <w:rFonts w:ascii="Arial" w:cs="Arial" w:eastAsia="Arial" w:hAnsi="Arial"/>
          <w:color w:val="595959"/>
          <w:sz w:val="19"/>
          <w:szCs w:val="19"/>
        </w:rPr>
        <w:t xml:space="preserve">The stiffness model follows the simplified VDI 2230 approach; for non-standard flange geometries, FEM analysis is recommended.</w:t>
      </w:r>
    </w:p>
    <w:p>
      <w:pPr>
        <w:pStyle w:val="ListParagraph"/>
        <w:numPr>
          <w:ilvl w:val="0"/>
          <w:numId w:val="2"/>
        </w:numPr>
        <w:spacing w:after="40" w:before="40"/>
      </w:pPr>
      <w:r>
        <w:rPr>
          <w:rFonts w:ascii="Arial" w:cs="Arial" w:eastAsia="Arial" w:hAnsi="Arial"/>
          <w:color w:val="595959"/>
          <w:sz w:val="19"/>
          <w:szCs w:val="19"/>
        </w:rPr>
        <w:t xml:space="preserve">Thermal analysis is not available in constant-C mode; VDI φ mode is required.</w:t>
      </w:r>
    </w:p>
    <w:p>
      <w:pPr>
        <w:pStyle w:val="ListParagraph"/>
        <w:numPr>
          <w:ilvl w:val="0"/>
          <w:numId w:val="2"/>
        </w:numPr>
        <w:spacing w:after="40" w:before="40"/>
      </w:pPr>
      <w:r>
        <w:rPr>
          <w:rFonts w:ascii="Arial" w:cs="Arial" w:eastAsia="Arial" w:hAnsi="Arial"/>
          <w:color w:val="595959"/>
          <w:sz w:val="19"/>
          <w:szCs w:val="19"/>
        </w:rPr>
        <w:t xml:space="preserve">Gasket seating stress is calculated based on an average contact stress assumption; actual pressure distribution may differ.</w:t>
      </w:r>
    </w:p>
    <w:p>
      <w:pPr>
        <w:spacing w:after="0" w:before="120"/>
      </w:pPr>
      <w:r>
        <w:t xml:space="preserve"/>
      </w:r>
    </w:p>
    <w:p>
      <w:pPr>
        <w:pStyle w:val="Heading2"/>
        <w:spacing w:after="80" w:before="240"/>
      </w:pPr>
      <w:r>
        <w:rPr>
          <w:rFonts w:ascii="Arial" w:cs="Arial" w:eastAsia="Arial" w:hAnsi="Arial"/>
          <w:b/>
          <w:bCs/>
          <w:color w:val="2E75B6"/>
          <w:sz w:val="22"/>
          <w:szCs w:val="22"/>
        </w:rPr>
        <w:t xml:space="preserve">Design Recommendations</w:t>
      </w:r>
    </w:p>
    <w:p>
      <w:pPr>
        <w:pStyle w:val="ListParagraph"/>
        <w:numPr>
          <w:ilvl w:val="0"/>
          <w:numId w:val="2"/>
        </w:numPr>
        <w:spacing w:after="40" w:before="40"/>
      </w:pPr>
      <w:r>
        <w:rPr>
          <w:rFonts w:ascii="Arial" w:cs="Arial" w:eastAsia="Arial" w:hAnsi="Arial"/>
          <w:color w:val="595959"/>
          <w:sz w:val="19"/>
          <w:szCs w:val="19"/>
        </w:rPr>
        <w:t xml:space="preserve">Always activate the Thermal Loading module for elevated-temperature applications.</w:t>
      </w:r>
    </w:p>
    <w:p>
      <w:pPr>
        <w:pStyle w:val="ListParagraph"/>
        <w:numPr>
          <w:ilvl w:val="0"/>
          <w:numId w:val="2"/>
        </w:numPr>
        <w:spacing w:after="40" w:before="40"/>
      </w:pPr>
      <w:r>
        <w:rPr>
          <w:rFonts w:ascii="Arial" w:cs="Arial" w:eastAsia="Arial" w:hAnsi="Arial"/>
          <w:color w:val="595959"/>
          <w:sz w:val="19"/>
          <w:szCs w:val="19"/>
        </w:rPr>
        <w:t xml:space="preserve">Compare different bolt size and strength grade combinations to identify the optimum selection.</w:t>
      </w:r>
    </w:p>
    <w:p>
      <w:pPr>
        <w:pStyle w:val="ListParagraph"/>
        <w:numPr>
          <w:ilvl w:val="0"/>
          <w:numId w:val="2"/>
        </w:numPr>
        <w:spacing w:after="40" w:before="40"/>
      </w:pPr>
      <w:r>
        <w:rPr>
          <w:rFonts w:ascii="Arial" w:cs="Arial" w:eastAsia="Arial" w:hAnsi="Arial"/>
          <w:color w:val="595959"/>
          <w:sz w:val="19"/>
          <w:szCs w:val="19"/>
        </w:rPr>
        <w:t xml:space="preserve">Cross-validate the bolt count n obtained in DESIGN mode by re-checking it in CHECK mode.</w:t>
      </w:r>
    </w:p>
    <w:p>
      <w:pPr>
        <w:pStyle w:val="ListParagraph"/>
        <w:numPr>
          <w:ilvl w:val="0"/>
          <w:numId w:val="2"/>
        </w:numPr>
        <w:spacing w:after="40" w:before="40"/>
      </w:pPr>
      <w:r>
        <w:rPr>
          <w:rFonts w:ascii="Arial" w:cs="Arial" w:eastAsia="Arial" w:hAnsi="Arial"/>
          <w:color w:val="595959"/>
          <w:sz w:val="19"/>
          <w:szCs w:val="19"/>
        </w:rPr>
        <w:t xml:space="preserve">Use dimensions from standard flange series (DN, ANSI) as inputs for BCD and gasket diameters.</w:t>
      </w:r>
    </w:p>
    <w:p>
      <w:pPr>
        <w:pStyle w:val="ListParagraph"/>
        <w:numPr>
          <w:ilvl w:val="0"/>
          <w:numId w:val="2"/>
        </w:numPr>
        <w:spacing w:after="40" w:before="40"/>
      </w:pPr>
      <w:r>
        <w:rPr>
          <w:rFonts w:ascii="Arial" w:cs="Arial" w:eastAsia="Arial" w:hAnsi="Arial"/>
          <w:color w:val="595959"/>
          <w:sz w:val="19"/>
          <w:szCs w:val="19"/>
        </w:rPr>
        <w:t xml:space="preserve">Before reducing safety factors, verify consistency with the applicable standard (VDI 2230 / EN 1591).</w:t>
      </w:r>
    </w:p>
    <w:p>
      <w:pPr>
        <w:spacing w:after="0" w:before="240"/>
      </w:pPr>
      <w:r>
        <w:t xml:space="preserve"/>
      </w:r>
    </w:p>
    <w:p>
      <w:pPr>
        <w:pStyle w:val="Heading1"/>
        <w:pBdr>
          <w:bottom w:val="single" w:color="1F4E79" w:sz="6" w:space="4"/>
        </w:pBdr>
        <w:spacing w:after="120" w:before="360"/>
      </w:pPr>
      <w:r>
        <w:rPr>
          <w:rFonts w:ascii="Arial" w:cs="Arial" w:eastAsia="Arial" w:hAnsi="Arial"/>
          <w:b/>
          <w:bCs/>
          <w:color w:val="1F4E79"/>
          <w:sz w:val="28"/>
          <w:szCs w:val="28"/>
        </w:rPr>
        <w:t xml:space="preserve">9.  Quick Reference</w:t>
      </w:r>
    </w:p>
    <w:p>
      <w:pPr>
        <w:pStyle w:val="Heading2"/>
        <w:spacing w:after="80" w:before="240"/>
      </w:pPr>
      <w:r>
        <w:rPr>
          <w:rFonts w:ascii="Arial" w:cs="Arial" w:eastAsia="Arial" w:hAnsi="Arial"/>
          <w:b/>
          <w:bCs/>
          <w:color w:val="2E75B6"/>
          <w:sz w:val="22"/>
          <w:szCs w:val="22"/>
        </w:rPr>
        <w:t xml:space="preserve">Toggle Summary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4143"/>
        <w:gridCol w:w="1157"/>
      </w:tblGrid>
      <w:tr>
        <w:tc>
          <w:tcPr>
            <w:tcW w:type="dxa" w:w="1928"/>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Toggle</w:t>
            </w:r>
          </w:p>
        </w:tc>
        <w:tc>
          <w:tcPr>
            <w:tcW w:type="dxa" w:w="241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Dependency</w:t>
            </w:r>
          </w:p>
        </w:tc>
        <w:tc>
          <w:tcPr>
            <w:tcW w:type="dxa" w:w="4143"/>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What It Adds</w:t>
            </w:r>
          </w:p>
        </w:tc>
        <w:tc>
          <w:tcPr>
            <w:tcW w:type="dxa" w:w="1157"/>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r>
      <w:tr>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VDI φ Stiffness</w:t>
            </w:r>
          </w:p>
        </w:tc>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Independent</w:t>
            </w:r>
          </w:p>
        </w:tc>
        <w:tc>
          <w:tcPr>
            <w:tcW w:type="dxa" w:w="414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E_bolt, E_joint, L_eff → φ formula</w:t>
            </w:r>
          </w:p>
        </w:tc>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Off</w:t>
            </w:r>
          </w:p>
        </w:tc>
      </w:tr>
      <w:tr>
        <w:tc>
          <w:tcPr>
            <w:tcW w:type="dxa" w:w="1928"/>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Thermal Loading</w:t>
            </w:r>
          </w:p>
        </w:tc>
        <w:tc>
          <w:tcPr>
            <w:tcW w:type="dxa" w:w="241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VDI φ must be active</w:t>
            </w:r>
          </w:p>
        </w:tc>
        <w:tc>
          <w:tcPr>
            <w:tcW w:type="dxa" w:w="414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ΔT, L_joint, α_bolt, α_joint → ΔF_th</w:t>
            </w:r>
          </w:p>
        </w:tc>
        <w:tc>
          <w:tcPr>
            <w:tcW w:type="dxa" w:w="1157"/>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Off</w:t>
            </w:r>
          </w:p>
        </w:tc>
      </w:tr>
      <w:tr>
        <w:tc>
          <w:tcPr>
            <w:tcW w:type="dxa" w:w="1928"/>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Gasket Seating</w:t>
            </w:r>
          </w:p>
        </w:tc>
        <w:tc>
          <w:tcPr>
            <w:tcW w:type="dxa" w:w="241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Independent</w:t>
            </w:r>
          </w:p>
        </w:tc>
        <w:tc>
          <w:tcPr>
            <w:tcW w:type="dxa" w:w="414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p_min → gasket stress check [3]</w:t>
            </w:r>
          </w:p>
        </w:tc>
        <w:tc>
          <w:tcPr>
            <w:tcW w:type="dxa" w:w="1157"/>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Off</w:t>
            </w:r>
          </w:p>
        </w:tc>
      </w:tr>
    </w:tbl>
    <w:p>
      <w:pPr>
        <w:spacing w:after="0" w:before="180"/>
      </w:pPr>
      <w:r>
        <w:t xml:space="preserve"/>
      </w:r>
    </w:p>
    <w:p>
      <w:pPr>
        <w:pStyle w:val="Heading2"/>
        <w:spacing w:after="80" w:before="240"/>
      </w:pPr>
      <w:r>
        <w:rPr>
          <w:rFonts w:ascii="Arial" w:cs="Arial" w:eastAsia="Arial" w:hAnsi="Arial"/>
          <w:b/>
          <w:bCs/>
          <w:color w:val="2E75B6"/>
          <w:sz w:val="22"/>
          <w:szCs w:val="22"/>
        </w:rPr>
        <w:t xml:space="preserve">Default Parameter Summary</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120"/>
        <w:gridCol w:w="4145"/>
      </w:tblGrid>
      <w:tr>
        <w:tc>
          <w:tcPr>
            <w:tcW w:type="dxa" w:w="3373"/>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Parameter</w:t>
            </w:r>
          </w:p>
        </w:tc>
        <w:tc>
          <w:tcPr>
            <w:tcW w:type="dxa" w:w="2120"/>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Default</w:t>
            </w:r>
          </w:p>
        </w:tc>
        <w:tc>
          <w:tcPr>
            <w:tcW w:type="dxa" w:w="4145"/>
            <w:tcBorders>
              <w:top w:val="single" w:color="BDD7EE" w:sz="4"/>
              <w:left w:val="single" w:color="BDD7EE" w:sz="4"/>
              <w:bottom w:val="single" w:color="BDD7EE" w:sz="4"/>
              <w:right w:val="single" w:color="BDD7EE" w:sz="4"/>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Context</w:t>
            </w:r>
          </w:p>
        </w:tc>
      </w:tr>
      <w:tr>
        <w:tc>
          <w:tcPr>
            <w:tcW w:type="dxa" w:w="337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Internal Pressure</w:t>
            </w:r>
          </w:p>
        </w:tc>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0.25 MPa</w:t>
            </w:r>
          </w:p>
        </w:tc>
        <w:tc>
          <w:tcPr>
            <w:tcW w:type="dxa" w:w="414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Bolt Count</w:t>
            </w:r>
          </w:p>
        </w:tc>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8</w:t>
            </w:r>
          </w:p>
        </w:tc>
        <w:tc>
          <w:tcPr>
            <w:tcW w:type="dxa" w:w="414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CHECK mode</w:t>
            </w:r>
          </w:p>
        </w:tc>
      </w:tr>
      <w:tr>
        <w:tc>
          <w:tcPr>
            <w:tcW w:type="dxa" w:w="337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Bolt Size / Grade</w:t>
            </w:r>
          </w:p>
        </w:tc>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M12 / 8.8</w:t>
            </w:r>
          </w:p>
        </w:tc>
        <w:tc>
          <w:tcPr>
            <w:tcW w:type="dxa" w:w="414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Preload Factor k</w:t>
            </w:r>
          </w:p>
        </w:tc>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0.75</w:t>
            </w:r>
          </w:p>
        </w:tc>
        <w:tc>
          <w:tcPr>
            <w:tcW w:type="dxa" w:w="414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Preload Loss Factor</w:t>
            </w:r>
          </w:p>
        </w:tc>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0.10</w:t>
            </w:r>
          </w:p>
        </w:tc>
        <w:tc>
          <w:tcPr>
            <w:tcW w:type="dxa" w:w="414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Stiffness Constant C</w:t>
            </w:r>
          </w:p>
        </w:tc>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0.25</w:t>
            </w:r>
          </w:p>
        </w:tc>
        <w:tc>
          <w:tcPr>
            <w:tcW w:type="dxa" w:w="414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When VDI is off</w:t>
            </w:r>
          </w:p>
        </w:tc>
      </w:tr>
      <w:tr>
        <w:tc>
          <w:tcPr>
            <w:tcW w:type="dxa" w:w="337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SF — Separation</w:t>
            </w:r>
          </w:p>
        </w:tc>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1.5</w:t>
            </w:r>
          </w:p>
        </w:tc>
        <w:tc>
          <w:tcPr>
            <w:tcW w:type="dxa" w:w="414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SF — Stress</w:t>
            </w:r>
          </w:p>
        </w:tc>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1.2</w:t>
            </w:r>
          </w:p>
        </w:tc>
        <w:tc>
          <w:tcPr>
            <w:tcW w:type="dxa" w:w="414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All modes</w:t>
            </w:r>
          </w:p>
        </w:tc>
      </w:tr>
      <w:tr>
        <w:tc>
          <w:tcPr>
            <w:tcW w:type="dxa" w:w="3373"/>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Spacing Factor</w:t>
            </w:r>
          </w:p>
        </w:tc>
        <w:tc>
          <w:tcPr>
            <w:tcW w:type="dxa" w:w="2120"/>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3.0 × d</w:t>
            </w:r>
          </w:p>
        </w:tc>
        <w:tc>
          <w:tcPr>
            <w:tcW w:type="dxa" w:w="4145"/>
            <w:tcBorders>
              <w:top w:val="single" w:color="BDD7EE" w:sz="4"/>
              <w:left w:val="single" w:color="BDD7EE" w:sz="4"/>
              <w:bottom w:val="single" w:color="BDD7EE" w:sz="4"/>
              <w:right w:val="single" w:color="BDD7EE"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DESIGN mode</w:t>
            </w:r>
          </w:p>
        </w:tc>
      </w:tr>
      <w:tr>
        <w:tc>
          <w:tcPr>
            <w:tcW w:type="dxa" w:w="3373"/>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Min. Gasket Stress</w:t>
            </w:r>
          </w:p>
        </w:tc>
        <w:tc>
          <w:tcPr>
            <w:tcW w:type="dxa" w:w="2120"/>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20 MPa</w:t>
            </w:r>
          </w:p>
        </w:tc>
        <w:tc>
          <w:tcPr>
            <w:tcW w:type="dxa" w:w="4145"/>
            <w:tcBorders>
              <w:top w:val="single" w:color="BDD7EE" w:sz="4"/>
              <w:left w:val="single" w:color="BDD7EE" w:sz="4"/>
              <w:bottom w:val="single" w:color="BDD7EE" w:sz="4"/>
              <w:right w:val="single" w:color="BDD7EE" w:sz="4"/>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When Gasket Seating is on</w:t>
            </w:r>
          </w:p>
        </w:tc>
      </w:tr>
    </w:tbl>
    <w:p>
      <w:pPr>
        <w:spacing w:after="0" w:before="240"/>
      </w:pPr>
      <w:r>
        <w:t xml:space="preserve"/>
      </w:r>
    </w:p>
    <w:p>
      <w:pPr>
        <w:pBdr>
          <w:top w:val="single" w:color="BDD7EE" w:sz="4" w:space="8"/>
        </w:pBdr>
        <w:spacing w:before="240"/>
        <w:jc w:val="center"/>
      </w:pPr>
      <w:r>
        <w:rPr>
          <w:rFonts w:ascii="Arial" w:cs="Arial" w:eastAsia="Arial" w:hAnsi="Arial"/>
          <w:color w:val="2E75B6"/>
          <w:sz w:val="16"/>
          <w:szCs w:val="16"/>
        </w:rPr>
        <w:t xml:space="preserve">ClampForce v1.0  ·  VDI 2230  ·  EN 1591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638"/>
      </w:tabs>
      <w:spacing w:before="120"/>
    </w:pPr>
    <w:r>
      <w:rPr>
        <w:rFonts w:ascii="Arial" w:cs="Arial" w:eastAsia="Arial" w:hAnsi="Arial"/>
        <w:color w:val="2E75B6"/>
        <w:sz w:val="16"/>
        <w:szCs w:val="16"/>
      </w:rPr>
      <w:t xml:space="preserve">ClampForce v1.0  ·  VDI 2230  ·  EN 1591</w:t>
    </w:r>
    <w:r>
      <w:rPr>
        <w:rFonts w:ascii="Arial" w:cs="Arial" w:eastAsia="Arial" w:hAnsi="Arial"/>
        <w:color w:val="2E75B6"/>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c>
        <w:tcPr>
          <w:tcW w:type="dxa" w:w="5783"/>
          <w:tcBorders>
            <w:top w:val="none" w:color="FFFFFF" w:sz="0"/>
            <w:left w:val="none" w:color="FFFFFF" w:sz="0"/>
            <w:bottom w:val="none" w:color="FFFFFF" w:sz="0"/>
            <w:right w:val="none" w:color="FFFFFF" w:sz="0"/>
          </w:tcBorders>
          <w:shd w:fill="1F4E79" w:val="clear"/>
          <w:tcMar>
            <w:top w:type="dxa" w:w="80"/>
            <w:left w:type="dxa" w:w="160"/>
            <w:bottom w:type="dxa" w:w="80"/>
            <w:right w:type="dxa" w:w="140"/>
          </w:tcMar>
        </w:tcPr>
        <w:p>
          <w:r>
            <w:rPr>
              <w:rFonts w:ascii="Arial" w:cs="Arial" w:eastAsia="Arial" w:hAnsi="Arial"/>
              <w:b/>
              <w:bCs/>
              <w:color w:val="FFFFFF"/>
              <w:sz w:val="20"/>
              <w:szCs w:val="20"/>
            </w:rPr>
            <w:t xml:space="preserve">⚙  ClampForce v1.0 — User Manual</w:t>
          </w:r>
        </w:p>
      </w:tc>
      <w:tc>
        <w:tcPr>
          <w:tcW w:type="dxa" w:w="3855"/>
          <w:tcBorders>
            <w:top w:val="none" w:color="FFFFFF" w:sz="0"/>
            <w:left w:val="none" w:color="FFFFFF" w:sz="0"/>
            <w:bottom w:val="none" w:color="FFFFFF" w:sz="0"/>
            <w:right w:val="none" w:color="FFFFFF" w:sz="0"/>
          </w:tcBorders>
          <w:shd w:fill="BDD7EE" w:val="clear"/>
          <w:tcMar>
            <w:top w:type="dxa" w:w="80"/>
            <w:left w:type="dxa" w:w="140"/>
            <w:bottom w:type="dxa" w:w="80"/>
            <w:right w:type="dxa" w:w="140"/>
          </w:tcMar>
        </w:tcPr>
        <w:p>
          <w:pPr>
            <w:jc w:val="right"/>
          </w:pPr>
          <w:r>
            <w:rPr>
              <w:rFonts w:ascii="Arial" w:cs="Arial" w:eastAsia="Arial" w:hAnsi="Arial"/>
              <w:color w:val="1F4E79"/>
              <w:sz w:val="18"/>
              <w:szCs w:val="18"/>
            </w:rPr>
            <w:t xml:space="preserve">VDI 2230  ·  EN 1591</w:t>
          </w:r>
        </w:p>
      </w:tc>
    </w:tr>
  </w:tbl>
  <w:p>
    <w:pP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2026-04-17T14:16:23.721Z</dcterms:created>
  <dcterms:modified xsi:type="dcterms:W3CDTF">2026-04-17T14:16:23.722Z</dcterms:modified>
</cp:coreProperties>
</file>

<file path=docProps/custom.xml><?xml version="1.0" encoding="utf-8"?>
<Properties xmlns="http://schemas.openxmlformats.org/officeDocument/2006/custom-properties" xmlns:vt="http://schemas.openxmlformats.org/officeDocument/2006/docPropsVTypes"/>
</file>