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Tomasz Wiśniewski</w:t>
      </w:r>
    </w:p>
    <w:p>
      <w:r>
        <w:t>Financial Analyst</w:t>
      </w:r>
    </w:p>
    <w:p>
      <w:r>
        <w:t>tomasz.4@example.com | +44 7703 123757 | Warsaw, Poland | LinkedIn: linkedin.com/in/tomasz-4</w:t>
      </w:r>
    </w:p>
    <w:p>
      <w:pPr>
        <w:pStyle w:val="Heading2"/>
      </w:pPr>
      <w:r>
        <w:t>Experience</w:t>
      </w:r>
    </w:p>
    <w:p>
      <w:r>
        <w:rPr>
          <w:b/>
        </w:rPr>
        <w:t>Financial Analyst</w:t>
      </w:r>
      <w:r>
        <w:t xml:space="preserve"> · Meridian Retail Group, Warsaw, Poland</w:t>
        <w:tab/>
        <w:t>Feb 2023 – Present</w:t>
      </w:r>
    </w:p>
    <w:p>
      <w:pPr>
        <w:pStyle w:val="ListBullet"/>
      </w:pPr>
      <w:r>
        <w:t>Led SOX control testing for revenue cycle with zero material weaknesses</w:t>
      </w:r>
    </w:p>
    <w:p>
      <w:pPr>
        <w:pStyle w:val="ListBullet"/>
      </w:pPr>
      <w:r>
        <w:t>Closed the monthly books in 4 business days, down from 9</w:t>
      </w:r>
    </w:p>
    <w:p>
      <w:r>
        <w:rPr>
          <w:b/>
        </w:rPr>
        <w:t>Senior Accountant</w:t>
      </w:r>
      <w:r>
        <w:t xml:space="preserve"> · Oakline Manufacturing, Warsaw, Poland</w:t>
        <w:tab/>
        <w:t>Jul 2021 – Aug 2023</w:t>
      </w:r>
    </w:p>
    <w:p>
      <w:pPr>
        <w:pStyle w:val="ListBullet"/>
      </w:pPr>
      <w:r>
        <w:t>Closed the monthly books in 4 business days, down from 9</w:t>
      </w:r>
    </w:p>
    <w:p>
      <w:pPr>
        <w:pStyle w:val="ListBullet"/>
      </w:pPr>
      <w:r>
        <w:t>Built a 3-statement forecast model used for a $25M Series B raise</w:t>
      </w:r>
    </w:p>
    <w:p>
      <w:pPr>
        <w:pStyle w:val="ListBullet"/>
      </w:pPr>
      <w:r>
        <w:t>Identified $640K in duplicate vendor payments through AP analytics</w:t>
      </w:r>
    </w:p>
    <w:p>
      <w:pPr>
        <w:pStyle w:val="Heading2"/>
      </w:pPr>
      <w:r>
        <w:t>Education</w:t>
      </w:r>
    </w:p>
    <w:p>
      <w:r>
        <w:t>BSc Accounting and Finance, London School of Economics, London, UK  2020</w:t>
      </w:r>
    </w:p>
    <w:p>
      <w:r>
        <w:t>MBA, INSEAD, Fontainebleau, France  2017</w:t>
      </w:r>
    </w:p>
    <w:p>
      <w:pPr>
        <w:pStyle w:val="Heading2"/>
      </w:pPr>
      <w:r>
        <w:t>Skills</w:t>
      </w:r>
    </w:p>
    <w:p>
      <w:r>
        <w:rPr>
          <w:b/>
        </w:rPr>
        <w:t xml:space="preserve">Finance: </w:t>
      </w:r>
      <w:r>
        <w:t>IFRS, US GAAP, Forecasting, Consolidation</w:t>
      </w:r>
    </w:p>
    <w:p>
      <w:r>
        <w:rPr>
          <w:b/>
        </w:rPr>
        <w:t xml:space="preserve">Tools: </w:t>
      </w:r>
      <w:r>
        <w:t>Excel, NetSuite, Power BI, SAP</w:t>
      </w:r>
    </w:p>
    <w:p>
      <w:pPr>
        <w:pStyle w:val="Heading2"/>
      </w:pPr>
      <w:r>
        <w:t>Certifications</w:t>
      </w:r>
    </w:p>
    <w:p>
      <w:r>
        <w:t>ACCA — Association of Chartered Certified Accountants (2022)</w:t>
      </w:r>
    </w:p>
    <w:p>
      <w:r>
        <w:t>CFA Level II — CFA Institute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hirecute evals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