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line="300"/>
        <w:jc w:val="left"/>
      </w:pPr>
      <w:r>
        <w:rPr>
          <w:rFonts w:ascii="Sakkal Majalla" w:cs="Sakkal Majalla" w:eastAsia="Sakkal Majalla" w:hAnsi="Sakkal Majalla"/>
          <w:b w:val="false"/>
          <w:bCs w:val="false"/>
          <w:color w:val="000000"/>
          <w:sz w:val="22"/>
          <w:szCs w:val="22"/>
          <w:rtl/>
        </w:rPr>
        <w:t xml:space="preserve">التاريخ:      /      / 2026م</w:t>
      </w:r>
    </w:p>
    <w:p>
      <w:pPr>
        <w:bidi/>
        <w:spacing w:after="60" w:line="300"/>
        <w:jc w:val="center"/>
      </w:pPr>
      <w:r>
        <w:rPr>
          <w:rFonts w:ascii="Sakkal Majalla" w:cs="Sakkal Majalla" w:eastAsia="Sakkal Majalla" w:hAnsi="Sakkal Majalla"/>
          <w:b/>
          <w:bCs/>
          <w:color w:val="000000"/>
          <w:sz w:val="28"/>
          <w:szCs w:val="28"/>
          <w:rtl/>
        </w:rPr>
        <w:t xml:space="preserve">معالي وزير التجارة والصناعة الموقّر</w:t>
      </w:r>
    </w:p>
    <w:p>
      <w:pPr>
        <w:bidi/>
        <w:spacing w:after="200" w:line="300"/>
        <w:jc w:val="center"/>
      </w:pPr>
      <w:r>
        <w:rPr>
          <w:rFonts w:ascii="Sakkal Majalla" w:cs="Sakkal Majalla" w:eastAsia="Sakkal Majalla" w:hAnsi="Sakkal Majalla"/>
          <w:b w:val="false"/>
          <w:bCs w:val="false"/>
          <w:color w:val="000000"/>
          <w:sz w:val="24"/>
          <w:szCs w:val="24"/>
          <w:rtl/>
        </w:rPr>
        <w:t xml:space="preserve">وزارة التجارة والصناعة — دولة الكويت</w:t>
      </w:r>
    </w:p>
    <w:p>
      <w:pPr>
        <w:bidi/>
        <w:spacing w:after="160" w:line="300"/>
        <w:jc w:val="right"/>
      </w:pPr>
      <w:r>
        <w:rPr>
          <w:rFonts w:ascii="Sakkal Majalla" w:cs="Sakkal Majalla" w:eastAsia="Sakkal Majalla" w:hAnsi="Sakkal Majalla"/>
          <w:b/>
          <w:bCs/>
          <w:color w:val="000000"/>
          <w:sz w:val="24"/>
          <w:szCs w:val="24"/>
          <w:rtl/>
        </w:rPr>
        <w:t xml:space="preserve">تحية طيبة وبعد،</w:t>
      </w:r>
    </w:p>
    <w:p>
      <w:pPr>
        <w:bidi/>
        <w:spacing w:after="220" w:line="300"/>
        <w:jc w:val="right"/>
      </w:pPr>
      <w:r>
        <w:rPr>
          <w:rFonts w:ascii="Sakkal Majalla" w:cs="Sakkal Majalla" w:eastAsia="Sakkal Majalla" w:hAnsi="Sakkal Majalla"/>
          <w:b/>
          <w:bCs/>
          <w:color w:val="000000"/>
          <w:sz w:val="24"/>
          <w:szCs w:val="24"/>
          <w:rtl/>
        </w:rPr>
        <w:t xml:space="preserve">الموضوع: </w:t>
      </w:r>
      <w:r>
        <w:rPr>
          <w:rFonts w:ascii="Sakkal Majalla" w:cs="Sakkal Majalla" w:eastAsia="Sakkal Majalla" w:hAnsi="Sakkal Majalla"/>
          <w:b/>
          <w:bCs/>
          <w:color w:val="000000"/>
          <w:sz w:val="24"/>
          <w:szCs w:val="24"/>
          <w:rtl/>
        </w:rPr>
        <w:t xml:space="preserve">شكر وتأييد للقرار الوزاري رقم (10) لسنة 2026 واللائحة رقم (109) لسنة 2026 بشأن تنظيم منصات توصيل طلبات المطاعم، وبيان بالتكاليف الفعلية المفروضة على المطاعم والمحال التجارية</w:t>
      </w:r>
    </w:p>
    <w:p>
      <w:pPr>
        <w:bidi/>
        <w:spacing w:after="160" w:line="300"/>
        <w:jc w:val="both"/>
      </w:pPr>
      <w:r>
        <w:rPr>
          <w:rFonts w:ascii="Sakkal Majalla" w:cs="Sakkal Majalla" w:eastAsia="Sakkal Majalla" w:hAnsi="Sakkal Majalla"/>
          <w:b w:val="false"/>
          <w:bCs w:val="false"/>
          <w:color w:val="000000"/>
          <w:sz w:val="24"/>
          <w:szCs w:val="24"/>
          <w:rtl/>
        </w:rPr>
        <w:t xml:space="preserve">يطيب لنا، نحن أصحاب المطاعم والمحال التجارية العاملة في قطاع الأغذية الجاهزة في دولة الكويت، أن نتقدّم إلى معاليكم بخالص الشكر والتقدير على الجهود الطيبة التي بذلتها وزارة التجارة والصناعة في إصدار القرار الوزاري رقم (10) لسنة 2026 بشأن تنظيم مزاولة نشاط توصيل طلبات المطاعم والأغذية الجاهزة عبر المنصات الإلكترونية، والقرار الوزاري رقم (109) لسنة 2026 بإصدار لائحة تنظيم قطاع المنصات والتطبيقات الإلكترونية الوسيطة، واللذين يمثلان أول تشريع خليجي شامل وملزم قانونًا لتنظيم العلاقة بين منصات التوصيل (المجمّعين) من جهة، والمطاعم والمحال التجارية من جهة أخرى.</w:t>
      </w:r>
    </w:p>
    <w:p>
      <w:pPr>
        <w:bidi/>
        <w:spacing w:after="140" w:before="220" w:line="300"/>
        <w:jc w:val="right"/>
      </w:pPr>
      <w:r>
        <w:rPr>
          <w:rFonts w:ascii="Sakkal Majalla" w:cs="Sakkal Majalla" w:eastAsia="Sakkal Majalla" w:hAnsi="Sakkal Majalla"/>
          <w:b/>
          <w:bCs/>
          <w:color w:val="000000"/>
          <w:sz w:val="26"/>
          <w:szCs w:val="26"/>
          <w:rtl/>
        </w:rPr>
        <w:t xml:space="preserve">أبرز الضمانات الجوهرية التي تضمنها التنظيم الجديد</w:t>
      </w:r>
    </w:p>
    <w:p>
      <w:pPr>
        <w:pStyle w:val="ListParagraph"/>
        <w:numPr>
          <w:ilvl w:val="0"/>
          <w:numId w:val="2"/>
        </w:numPr>
        <w:bidi/>
        <w:spacing w:after="90" w:line="300"/>
        <w:jc w:val="both"/>
      </w:pPr>
      <w:r>
        <w:rPr>
          <w:rFonts w:ascii="Sakkal Majalla" w:cs="Sakkal Majalla" w:eastAsia="Sakkal Majalla" w:hAnsi="Sakkal Majalla"/>
          <w:b w:val="false"/>
          <w:bCs w:val="false"/>
          <w:color w:val="000000"/>
          <w:sz w:val="22"/>
          <w:szCs w:val="22"/>
          <w:rtl/>
        </w:rPr>
        <w:t xml:space="preserve">تحديد سقف إلزامي لمجموع ما تتقاضاه المنصة من عمولات ومقابل مالي — بما في ذلك رسوم الإعلان والترويج والظهور المميز — بما لا يتجاوز (17%) من قيمة الطلب الإجمالية إذا تولّت المنصة التوصيل، و(10%) إذا تولّى المطعم التوصيل بوسائله الخاصة.</w:t>
      </w:r>
    </w:p>
    <w:p>
      <w:pPr>
        <w:pStyle w:val="ListParagraph"/>
        <w:numPr>
          <w:ilvl w:val="0"/>
          <w:numId w:val="2"/>
        </w:numPr>
        <w:bidi/>
        <w:spacing w:after="90" w:line="300"/>
        <w:jc w:val="both"/>
      </w:pPr>
      <w:r>
        <w:rPr>
          <w:rFonts w:ascii="Sakkal Majalla" w:cs="Sakkal Majalla" w:eastAsia="Sakkal Majalla" w:hAnsi="Sakkal Majalla"/>
          <w:b w:val="false"/>
          <w:bCs w:val="false"/>
          <w:color w:val="000000"/>
          <w:sz w:val="22"/>
          <w:szCs w:val="22"/>
          <w:rtl/>
        </w:rPr>
        <w:t xml:space="preserve">تحديد رسم التوصيل المستحق على المستهلك وحده بحد أقصى (500) فلس إذا كان التوصيل بأسطول المطعم الخاص، وبحد أقصى دينار كويتي واحد إذا كان التوصيل عبر مندوبي المنصة.</w:t>
      </w:r>
    </w:p>
    <w:p>
      <w:pPr>
        <w:pStyle w:val="ListParagraph"/>
        <w:numPr>
          <w:ilvl w:val="0"/>
          <w:numId w:val="2"/>
        </w:numPr>
        <w:bidi/>
        <w:spacing w:after="90" w:line="300"/>
        <w:jc w:val="both"/>
      </w:pPr>
      <w:r>
        <w:rPr>
          <w:rFonts w:ascii="Sakkal Majalla" w:cs="Sakkal Majalla" w:eastAsia="Sakkal Majalla" w:hAnsi="Sakkal Majalla"/>
          <w:b w:val="false"/>
          <w:bCs w:val="false"/>
          <w:color w:val="000000"/>
          <w:sz w:val="22"/>
          <w:szCs w:val="22"/>
          <w:rtl/>
        </w:rPr>
        <w:t xml:space="preserve">إلغاء العقود والاتفاقات الجانبية، وإلزام مزوّدي الخدمة باعتماد لائحة رسوم وعمولات سنوية واحدة معتمدة من الوزارة، واعتبار أي رسوم غير منصوص عليها فيها باطلة قانونًا.</w:t>
      </w:r>
    </w:p>
    <w:p>
      <w:pPr>
        <w:pStyle w:val="ListParagraph"/>
        <w:numPr>
          <w:ilvl w:val="0"/>
          <w:numId w:val="2"/>
        </w:numPr>
        <w:bidi/>
        <w:spacing w:after="90" w:line="300"/>
        <w:jc w:val="both"/>
      </w:pPr>
      <w:r>
        <w:rPr>
          <w:rFonts w:ascii="Sakkal Majalla" w:cs="Sakkal Majalla" w:eastAsia="Sakkal Majalla" w:hAnsi="Sakkal Majalla"/>
          <w:b w:val="false"/>
          <w:bCs w:val="false"/>
          <w:color w:val="000000"/>
          <w:sz w:val="22"/>
          <w:szCs w:val="22"/>
          <w:rtl/>
        </w:rPr>
        <w:t xml:space="preserve">تثبيت الرسوم والعمولات المعتمدة لمدة ثلاث سنوات كإجراء تصحيحي لإعادة التوازن إلى السوق.</w:t>
      </w:r>
    </w:p>
    <w:p>
      <w:pPr>
        <w:pStyle w:val="ListParagraph"/>
        <w:numPr>
          <w:ilvl w:val="0"/>
          <w:numId w:val="2"/>
        </w:numPr>
        <w:bidi/>
        <w:spacing w:after="90" w:line="300"/>
        <w:jc w:val="both"/>
      </w:pPr>
      <w:r>
        <w:rPr>
          <w:rFonts w:ascii="Sakkal Majalla" w:cs="Sakkal Majalla" w:eastAsia="Sakkal Majalla" w:hAnsi="Sakkal Majalla"/>
          <w:b w:val="false"/>
          <w:bCs w:val="false"/>
          <w:color w:val="000000"/>
          <w:sz w:val="22"/>
          <w:szCs w:val="22"/>
          <w:rtl/>
        </w:rPr>
        <w:t xml:space="preserve">إلزام المنصات بالشفافية والإفصاح الكامل عن جميع الرسوم بموجب عقود مكتوبة وواضحة.</w:t>
      </w:r>
    </w:p>
    <w:p>
      <w:pPr>
        <w:pStyle w:val="ListParagraph"/>
        <w:numPr>
          <w:ilvl w:val="0"/>
          <w:numId w:val="2"/>
        </w:numPr>
        <w:bidi/>
        <w:spacing w:after="90" w:line="300"/>
        <w:jc w:val="both"/>
      </w:pPr>
      <w:r>
        <w:rPr>
          <w:rFonts w:ascii="Sakkal Majalla" w:cs="Sakkal Majalla" w:eastAsia="Sakkal Majalla" w:hAnsi="Sakkal Majalla"/>
          <w:b w:val="false"/>
          <w:bCs w:val="false"/>
          <w:color w:val="000000"/>
          <w:sz w:val="22"/>
          <w:szCs w:val="22"/>
          <w:rtl/>
        </w:rPr>
        <w:t xml:space="preserve">حظر الممارسات الاحتكارية والتمييزية، بما في ذلك العقود الحصرية القسرية، والتمييز في العمولات بين المحال المتماثلة، والتفضيل الذاتي لمنتجات المنصة.</w:t>
      </w:r>
    </w:p>
    <w:p>
      <w:pPr>
        <w:pStyle w:val="ListParagraph"/>
        <w:numPr>
          <w:ilvl w:val="0"/>
          <w:numId w:val="2"/>
        </w:numPr>
        <w:bidi/>
        <w:spacing w:after="90" w:line="300"/>
        <w:jc w:val="both"/>
      </w:pPr>
      <w:r>
        <w:rPr>
          <w:rFonts w:ascii="Sakkal Majalla" w:cs="Sakkal Majalla" w:eastAsia="Sakkal Majalla" w:hAnsi="Sakkal Majalla"/>
          <w:b w:val="false"/>
          <w:bCs w:val="false"/>
          <w:color w:val="000000"/>
          <w:sz w:val="22"/>
          <w:szCs w:val="22"/>
          <w:rtl/>
        </w:rPr>
        <w:t xml:space="preserve">تمكين المطاعم من الحصول على بياناتها لدى المنصة دون مقابل، وضمان حريتها في التعاقد مع أكثر من منصة في آنٍ واحد.</w:t>
      </w:r>
    </w:p>
    <w:p>
      <w:pPr>
        <w:pStyle w:val="ListParagraph"/>
        <w:numPr>
          <w:ilvl w:val="0"/>
          <w:numId w:val="2"/>
        </w:numPr>
        <w:bidi/>
        <w:spacing w:after="90" w:line="300"/>
        <w:jc w:val="both"/>
      </w:pPr>
      <w:r>
        <w:rPr>
          <w:rFonts w:ascii="Sakkal Majalla" w:cs="Sakkal Majalla" w:eastAsia="Sakkal Majalla" w:hAnsi="Sakkal Majalla"/>
          <w:b w:val="false"/>
          <w:bCs w:val="false"/>
          <w:color w:val="000000"/>
          <w:sz w:val="22"/>
          <w:szCs w:val="22"/>
          <w:rtl/>
        </w:rPr>
        <w:t xml:space="preserve">فرض عقوبات رادعة على المخالفين تشمل الإنذار والإغلاق وإلغاء الترخيص، مع إلزام المنصات بتوفيق أوضاعها خلال مدة لا تتجاوز شهرين.</w:t>
      </w:r>
    </w:p>
    <w:p>
      <w:pPr>
        <w:bidi/>
        <w:spacing w:after="140" w:before="220" w:line="300"/>
        <w:jc w:val="right"/>
      </w:pPr>
      <w:r>
        <w:rPr>
          <w:rFonts w:ascii="Sakkal Majalla" w:cs="Sakkal Majalla" w:eastAsia="Sakkal Majalla" w:hAnsi="Sakkal Majalla"/>
          <w:b/>
          <w:bCs/>
          <w:color w:val="000000"/>
          <w:sz w:val="26"/>
          <w:szCs w:val="26"/>
          <w:rtl/>
        </w:rPr>
        <w:t xml:space="preserve">واقع التكاليف الحالية التي يتحملها المطعم / المتجر</w:t>
      </w:r>
    </w:p>
    <w:p>
      <w:pPr>
        <w:bidi/>
        <w:spacing w:after="160" w:line="300"/>
        <w:jc w:val="both"/>
      </w:pPr>
      <w:r>
        <w:rPr>
          <w:rFonts w:ascii="Sakkal Majalla" w:cs="Sakkal Majalla" w:eastAsia="Sakkal Majalla" w:hAnsi="Sakkal Majalla"/>
          <w:b w:val="false"/>
          <w:bCs w:val="false"/>
          <w:color w:val="000000"/>
          <w:sz w:val="24"/>
          <w:szCs w:val="24"/>
          <w:rtl/>
        </w:rPr>
        <w:t xml:space="preserve">قبل صدور هذا التنظيم، كانت المطاعم والمحال التجارية تتحمل مجموعة من الرسوم والاقتطاعات المتراكمة التي تجاوزت في مجملها، وفق التقديرات القطاعية، ما بين 20% إلى 35% من قيمة الطلب الواحد، ما أدى إلى تآكل هوامش الربح بشكل حاد، خصوصًا لدى المنشآت الصغيرة والمتوسطة، ودفع كثيرًا منها إلى تضخيم أسعارها داخل التطبيقات لتعويض جزء من هذه التكاليف، بما انعكس سلبًا على المستهلك النهائي أيضًا. ولتوثيق هذا الواقع أمام معاليكم، نورد أدناه بيانًا تفصيليًا ببنود التكاليف التي يتحملها المطعم / المتجر الموقّع على هذا الخطاب:</w:t>
      </w:r>
    </w:p>
    <w:p>
      <w:pPr>
        <w:bidi/>
        <w:spacing w:after="140" w:line="300"/>
        <w:jc w:val="right"/>
      </w:pPr>
      <w:r>
        <w:rPr>
          <w:rFonts w:ascii="Sakkal Majalla" w:cs="Sakkal Majalla" w:eastAsia="Sakkal Majalla" w:hAnsi="Sakkal Majalla"/>
          <w:b/>
          <w:bCs/>
          <w:color w:val="000000"/>
          <w:sz w:val="24"/>
          <w:szCs w:val="24"/>
          <w:rtl/>
        </w:rPr>
        <w:t xml:space="preserve">اسم المطعم / المتجر: </w:t>
      </w:r>
      <w:r>
        <w:rPr>
          <w:rFonts w:ascii="Sakkal Majalla" w:cs="Sakkal Majalla" w:eastAsia="Sakkal Majalla" w:hAnsi="Sakkal Majalla"/>
          <w:sz w:val="24"/>
          <w:szCs w:val="24"/>
          <w:u w:val="single"/>
          <w:rtl/>
        </w:rPr>
        <w:t xml:space="preserve">                                                            </w:t>
      </w:r>
    </w:p>
    <w:p>
      <w:pPr>
        <w:bidi/>
        <w:spacing w:after="140" w:line="300"/>
        <w:jc w:val="right"/>
      </w:pPr>
      <w:r>
        <w:rPr>
          <w:rFonts w:ascii="Sakkal Majalla" w:cs="Sakkal Majalla" w:eastAsia="Sakkal Majalla" w:hAnsi="Sakkal Majalla"/>
          <w:b/>
          <w:bCs/>
          <w:color w:val="000000"/>
          <w:sz w:val="24"/>
          <w:szCs w:val="24"/>
          <w:rtl/>
        </w:rPr>
        <w:t xml:space="preserve">رقم الرخصة التجارية: </w:t>
      </w:r>
      <w:r>
        <w:rPr>
          <w:rFonts w:ascii="Sakkal Majalla" w:cs="Sakkal Majalla" w:eastAsia="Sakkal Majalla" w:hAnsi="Sakkal Majalla"/>
          <w:sz w:val="24"/>
          <w:szCs w:val="24"/>
          <w:u w:val="single"/>
          <w:rtl/>
        </w:rPr>
        <w:t xml:space="preserve">                                                            </w:t>
      </w:r>
    </w:p>
    <w:p>
      <w:pPr>
        <w:bidi/>
        <w:spacing w:after="140" w:line="300"/>
        <w:jc w:val="right"/>
      </w:pPr>
      <w:r>
        <w:rPr>
          <w:rFonts w:ascii="Sakkal Majalla" w:cs="Sakkal Majalla" w:eastAsia="Sakkal Majalla" w:hAnsi="Sakkal Majalla"/>
          <w:b/>
          <w:bCs/>
          <w:color w:val="000000"/>
          <w:sz w:val="24"/>
          <w:szCs w:val="24"/>
          <w:rtl/>
        </w:rPr>
        <w:t xml:space="preserve">منصات التوصيل (المجمّعون) المتعامل معها: </w:t>
      </w:r>
      <w:r>
        <w:rPr>
          <w:rFonts w:ascii="Sakkal Majalla" w:cs="Sakkal Majalla" w:eastAsia="Sakkal Majalla" w:hAnsi="Sakkal Majalla"/>
          <w:sz w:val="24"/>
          <w:szCs w:val="24"/>
          <w:u w:val="single"/>
          <w:rtl/>
        </w:rPr>
        <w:t xml:space="preserve">                                                            </w:t>
      </w:r>
    </w:p>
    <w:p>
      <w:pPr>
        <w:spacing w:after="60"/>
      </w:pPr>
    </w:p>
    <w:tbl>
      <w:tblPr>
        <w:bidiVisual/>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900"/>
        <w:gridCol w:w="1600"/>
        <w:gridCol w:w="1600"/>
      </w:tblGrid>
      <w:tr>
        <w:trPr>
          <w:tblHeader/>
        </w:trPr>
        <w:tc>
          <w:tcPr>
            <w:tcW w:type="dxa" w:w="700"/>
            <w:tcBorders>
              <w:top w:val="single" w:color="444444" w:sz="4"/>
              <w:left w:val="single" w:color="444444" w:sz="4"/>
              <w:bottom w:val="single" w:color="444444" w:sz="4"/>
              <w:right w:val="single" w:color="444444" w:sz="4"/>
            </w:tcBorders>
            <w:shd w:fill="E8E4D8" w:val="clear"/>
            <w:tcMar>
              <w:top w:type="dxa" w:w="80"/>
              <w:left w:type="dxa" w:w="100"/>
              <w:bottom w:type="dxa" w:w="80"/>
              <w:right w:type="dxa" w:w="100"/>
            </w:tcMar>
            <w:vAlign w:val="center"/>
          </w:tcPr>
          <w:p>
            <w:pPr>
              <w:bidi/>
              <w:spacing w:after="0"/>
              <w:jc w:val="center"/>
            </w:pPr>
            <w:r>
              <w:rPr>
                <w:rFonts w:ascii="Sakkal Majalla" w:cs="Sakkal Majalla" w:eastAsia="Sakkal Majalla" w:hAnsi="Sakkal Majalla"/>
                <w:b/>
                <w:bCs/>
                <w:color w:val="000000"/>
                <w:sz w:val="22"/>
                <w:szCs w:val="22"/>
                <w:rtl/>
              </w:rPr>
              <w:t xml:space="preserve">م</w:t>
            </w:r>
          </w:p>
        </w:tc>
        <w:tc>
          <w:tcPr>
            <w:tcW w:type="dxa" w:w="4200"/>
            <w:tcBorders>
              <w:top w:val="single" w:color="444444" w:sz="4"/>
              <w:left w:val="single" w:color="444444" w:sz="4"/>
              <w:bottom w:val="single" w:color="444444" w:sz="4"/>
              <w:right w:val="single" w:color="444444" w:sz="4"/>
            </w:tcBorders>
            <w:shd w:fill="E8E4D8" w:val="clear"/>
            <w:tcMar>
              <w:top w:type="dxa" w:w="80"/>
              <w:left w:type="dxa" w:w="100"/>
              <w:bottom w:type="dxa" w:w="80"/>
              <w:right w:type="dxa" w:w="100"/>
            </w:tcMar>
            <w:vAlign w:val="center"/>
          </w:tcPr>
          <w:p>
            <w:pPr>
              <w:bidi/>
              <w:spacing w:after="0"/>
              <w:jc w:val="center"/>
            </w:pPr>
            <w:r>
              <w:rPr>
                <w:rFonts w:ascii="Sakkal Majalla" w:cs="Sakkal Majalla" w:eastAsia="Sakkal Majalla" w:hAnsi="Sakkal Majalla"/>
                <w:b/>
                <w:bCs/>
                <w:color w:val="000000"/>
                <w:sz w:val="22"/>
                <w:szCs w:val="22"/>
                <w:rtl/>
              </w:rPr>
              <w:t xml:space="preserve">البند</w:t>
            </w:r>
          </w:p>
        </w:tc>
        <w:tc>
          <w:tcPr>
            <w:tcW w:type="dxa" w:w="1900"/>
            <w:tcBorders>
              <w:top w:val="single" w:color="444444" w:sz="4"/>
              <w:left w:val="single" w:color="444444" w:sz="4"/>
              <w:bottom w:val="single" w:color="444444" w:sz="4"/>
              <w:right w:val="single" w:color="444444" w:sz="4"/>
            </w:tcBorders>
            <w:shd w:fill="E8E4D8" w:val="clear"/>
            <w:tcMar>
              <w:top w:type="dxa" w:w="80"/>
              <w:left w:type="dxa" w:w="100"/>
              <w:bottom w:type="dxa" w:w="80"/>
              <w:right w:type="dxa" w:w="100"/>
            </w:tcMar>
            <w:vAlign w:val="center"/>
          </w:tcPr>
          <w:p>
            <w:pPr>
              <w:bidi/>
              <w:spacing w:after="0"/>
              <w:jc w:val="center"/>
            </w:pPr>
            <w:r>
              <w:rPr>
                <w:rFonts w:ascii="Sakkal Majalla" w:cs="Sakkal Majalla" w:eastAsia="Sakkal Majalla" w:hAnsi="Sakkal Majalla"/>
                <w:b/>
                <w:bCs/>
                <w:color w:val="000000"/>
                <w:sz w:val="22"/>
                <w:szCs w:val="22"/>
                <w:rtl/>
              </w:rPr>
              <w:t xml:space="preserve">اسم المنصة (المجمّع)</w:t>
            </w:r>
          </w:p>
        </w:tc>
        <w:tc>
          <w:tcPr>
            <w:tcW w:type="dxa" w:w="1600"/>
            <w:tcBorders>
              <w:top w:val="single" w:color="444444" w:sz="4"/>
              <w:left w:val="single" w:color="444444" w:sz="4"/>
              <w:bottom w:val="single" w:color="444444" w:sz="4"/>
              <w:right w:val="single" w:color="444444" w:sz="4"/>
            </w:tcBorders>
            <w:shd w:fill="E8E4D8" w:val="clear"/>
            <w:tcMar>
              <w:top w:type="dxa" w:w="80"/>
              <w:left w:type="dxa" w:w="100"/>
              <w:bottom w:type="dxa" w:w="80"/>
              <w:right w:type="dxa" w:w="100"/>
            </w:tcMar>
            <w:vAlign w:val="center"/>
          </w:tcPr>
          <w:p>
            <w:pPr>
              <w:bidi/>
              <w:spacing w:after="0"/>
              <w:jc w:val="center"/>
            </w:pPr>
            <w:r>
              <w:rPr>
                <w:rFonts w:ascii="Sakkal Majalla" w:cs="Sakkal Majalla" w:eastAsia="Sakkal Majalla" w:hAnsi="Sakkal Majalla"/>
                <w:b/>
                <w:bCs/>
                <w:color w:val="000000"/>
                <w:sz w:val="22"/>
                <w:szCs w:val="22"/>
                <w:rtl/>
              </w:rPr>
              <w:t xml:space="preserve">المبلغ الشهري التقريبي (د.ك)</w:t>
            </w:r>
          </w:p>
        </w:tc>
        <w:tc>
          <w:tcPr>
            <w:tcW w:type="dxa" w:w="1600"/>
            <w:tcBorders>
              <w:top w:val="single" w:color="444444" w:sz="4"/>
              <w:left w:val="single" w:color="444444" w:sz="4"/>
              <w:bottom w:val="single" w:color="444444" w:sz="4"/>
              <w:right w:val="single" w:color="444444" w:sz="4"/>
            </w:tcBorders>
            <w:shd w:fill="E8E4D8" w:val="clear"/>
            <w:tcMar>
              <w:top w:type="dxa" w:w="80"/>
              <w:left w:type="dxa" w:w="100"/>
              <w:bottom w:type="dxa" w:w="80"/>
              <w:right w:type="dxa" w:w="100"/>
            </w:tcMar>
            <w:vAlign w:val="center"/>
          </w:tcPr>
          <w:p>
            <w:pPr>
              <w:bidi/>
              <w:spacing w:after="0"/>
              <w:jc w:val="center"/>
            </w:pPr>
            <w:r>
              <w:rPr>
                <w:rFonts w:ascii="Sakkal Majalla" w:cs="Sakkal Majalla" w:eastAsia="Sakkal Majalla" w:hAnsi="Sakkal Majalla"/>
                <w:b/>
                <w:bCs/>
                <w:color w:val="000000"/>
                <w:sz w:val="22"/>
                <w:szCs w:val="22"/>
                <w:rtl/>
              </w:rPr>
              <w:t xml:space="preserve">النسبة من قيمة الطلب (%)</w:t>
            </w:r>
          </w:p>
        </w:tc>
      </w:tr>
      <w:tr>
        <w:tc>
          <w:tcPr>
            <w:tcW w:type="dxa" w:w="7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center"/>
            </w:pPr>
            <w:r>
              <w:rPr>
                <w:rFonts w:ascii="Sakkal Majalla" w:cs="Sakkal Majalla" w:eastAsia="Sakkal Majalla" w:hAnsi="Sakkal Majalla"/>
                <w:b w:val="false"/>
                <w:bCs w:val="false"/>
                <w:color w:val="000000"/>
                <w:sz w:val="22"/>
                <w:szCs w:val="22"/>
                <w:rtl/>
              </w:rPr>
              <w:t xml:space="preserve">1</w:t>
            </w:r>
          </w:p>
        </w:tc>
        <w:tc>
          <w:tcPr>
            <w:tcW w:type="dxa" w:w="42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العمولات (Commissions)</w:t>
            </w:r>
          </w:p>
        </w:tc>
        <w:tc>
          <w:tcPr>
            <w:tcW w:type="dxa" w:w="19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r>
      <w:tr>
        <w:tc>
          <w:tcPr>
            <w:tcW w:type="dxa" w:w="7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center"/>
            </w:pPr>
            <w:r>
              <w:rPr>
                <w:rFonts w:ascii="Sakkal Majalla" w:cs="Sakkal Majalla" w:eastAsia="Sakkal Majalla" w:hAnsi="Sakkal Majalla"/>
                <w:b w:val="false"/>
                <w:bCs w:val="false"/>
                <w:color w:val="000000"/>
                <w:sz w:val="22"/>
                <w:szCs w:val="22"/>
                <w:rtl/>
              </w:rPr>
              <w:t xml:space="preserve">2</w:t>
            </w:r>
          </w:p>
        </w:tc>
        <w:tc>
          <w:tcPr>
            <w:tcW w:type="dxa" w:w="42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الإيرادات غير العمولية (NCR) — أدوات الإعلان والترويج والظهور المميز داخل المنصة</w:t>
            </w:r>
          </w:p>
        </w:tc>
        <w:tc>
          <w:tcPr>
            <w:tcW w:type="dxa" w:w="19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r>
      <w:tr>
        <w:tc>
          <w:tcPr>
            <w:tcW w:type="dxa" w:w="7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center"/>
            </w:pPr>
            <w:r>
              <w:rPr>
                <w:rFonts w:ascii="Sakkal Majalla" w:cs="Sakkal Majalla" w:eastAsia="Sakkal Majalla" w:hAnsi="Sakkal Majalla"/>
                <w:b w:val="false"/>
                <w:bCs w:val="false"/>
                <w:color w:val="000000"/>
                <w:sz w:val="22"/>
                <w:szCs w:val="22"/>
                <w:rtl/>
              </w:rPr>
              <w:t xml:space="preserve">3</w:t>
            </w:r>
          </w:p>
        </w:tc>
        <w:tc>
          <w:tcPr>
            <w:tcW w:type="dxa" w:w="42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رسوم بطاقات الائتمان والخصم (Credit/Debit Card Fees)</w:t>
            </w:r>
          </w:p>
        </w:tc>
        <w:tc>
          <w:tcPr>
            <w:tcW w:type="dxa" w:w="19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r>
      <w:tr>
        <w:tc>
          <w:tcPr>
            <w:tcW w:type="dxa" w:w="7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center"/>
            </w:pPr>
            <w:r>
              <w:rPr>
                <w:rFonts w:ascii="Sakkal Majalla" w:cs="Sakkal Majalla" w:eastAsia="Sakkal Majalla" w:hAnsi="Sakkal Majalla"/>
                <w:b w:val="false"/>
                <w:bCs w:val="false"/>
                <w:color w:val="000000"/>
                <w:sz w:val="22"/>
                <w:szCs w:val="22"/>
                <w:rtl/>
              </w:rPr>
              <w:t xml:space="preserve">4</w:t>
            </w:r>
          </w:p>
        </w:tc>
        <w:tc>
          <w:tcPr>
            <w:tcW w:type="dxa" w:w="42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رسوم عروض التوصيل المجاني (Free Delivery Fees)</w:t>
            </w:r>
          </w:p>
        </w:tc>
        <w:tc>
          <w:tcPr>
            <w:tcW w:type="dxa" w:w="19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r>
      <w:tr>
        <w:tc>
          <w:tcPr>
            <w:tcW w:type="dxa" w:w="7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center"/>
            </w:pPr>
            <w:r>
              <w:rPr>
                <w:rFonts w:ascii="Sakkal Majalla" w:cs="Sakkal Majalla" w:eastAsia="Sakkal Majalla" w:hAnsi="Sakkal Majalla"/>
                <w:b w:val="false"/>
                <w:bCs w:val="false"/>
                <w:color w:val="000000"/>
                <w:sz w:val="22"/>
                <w:szCs w:val="22"/>
                <w:rtl/>
              </w:rPr>
              <w:t xml:space="preserve">5</w:t>
            </w:r>
          </w:p>
        </w:tc>
        <w:tc>
          <w:tcPr>
            <w:tcW w:type="dxa" w:w="42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غرامات معدل تواصل العملاء بشأن الطلبات (Contact Rate Fines)</w:t>
            </w:r>
          </w:p>
        </w:tc>
        <w:tc>
          <w:tcPr>
            <w:tcW w:type="dxa" w:w="19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r>
      <w:tr>
        <w:tc>
          <w:tcPr>
            <w:tcW w:type="dxa" w:w="7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center"/>
            </w:pPr>
            <w:r>
              <w:rPr>
                <w:rFonts w:ascii="Sakkal Majalla" w:cs="Sakkal Majalla" w:eastAsia="Sakkal Majalla" w:hAnsi="Sakkal Majalla"/>
                <w:b w:val="false"/>
                <w:bCs w:val="false"/>
                <w:color w:val="000000"/>
                <w:sz w:val="22"/>
                <w:szCs w:val="22"/>
                <w:rtl/>
              </w:rPr>
              <w:t xml:space="preserve">6</w:t>
            </w:r>
          </w:p>
        </w:tc>
        <w:tc>
          <w:tcPr>
            <w:tcW w:type="dxa" w:w="42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العروض الممولة بالمشاركة (Co-funded Offers) — حصة المطعم من الخصومات</w:t>
            </w:r>
          </w:p>
        </w:tc>
        <w:tc>
          <w:tcPr>
            <w:tcW w:type="dxa" w:w="19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r>
      <w:tr>
        <w:tc>
          <w:tcPr>
            <w:tcW w:type="dxa" w:w="7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center"/>
            </w:pPr>
            <w:r>
              <w:rPr>
                <w:rFonts w:ascii="Sakkal Majalla" w:cs="Sakkal Majalla" w:eastAsia="Sakkal Majalla" w:hAnsi="Sakkal Majalla"/>
                <w:b w:val="false"/>
                <w:bCs w:val="false"/>
                <w:color w:val="000000"/>
                <w:sz w:val="22"/>
                <w:szCs w:val="22"/>
                <w:rtl/>
              </w:rPr>
              <w:t xml:space="preserve">7</w:t>
            </w:r>
          </w:p>
        </w:tc>
        <w:tc>
          <w:tcPr>
            <w:tcW w:type="dxa" w:w="42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مصاريف أخرى (يرجى التحديد): ...............................</w:t>
            </w:r>
          </w:p>
        </w:tc>
        <w:tc>
          <w:tcPr>
            <w:tcW w:type="dxa" w:w="19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r>
      <w:tr>
        <w:tc>
          <w:tcPr>
            <w:tcW w:type="dxa" w:w="700"/>
            <w:tcBorders>
              <w:top w:val="single" w:color="444444" w:sz="4"/>
              <w:left w:val="single" w:color="444444" w:sz="4"/>
              <w:bottom w:val="single" w:color="444444" w:sz="4"/>
              <w:right w:val="single" w:color="444444" w:sz="4"/>
            </w:tcBorders>
            <w:shd w:fill="F3F1E9" w:val="clear"/>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4200"/>
            <w:tcBorders>
              <w:top w:val="single" w:color="444444" w:sz="4"/>
              <w:left w:val="single" w:color="444444" w:sz="4"/>
              <w:bottom w:val="single" w:color="444444" w:sz="4"/>
              <w:right w:val="single" w:color="444444" w:sz="4"/>
            </w:tcBorders>
            <w:shd w:fill="F3F1E9" w:val="clear"/>
            <w:tcMar>
              <w:top w:type="dxa" w:w="80"/>
              <w:left w:type="dxa" w:w="100"/>
              <w:bottom w:type="dxa" w:w="80"/>
              <w:right w:type="dxa" w:w="100"/>
            </w:tcMar>
            <w:vAlign w:val="center"/>
          </w:tcPr>
          <w:p>
            <w:pPr>
              <w:bidi/>
              <w:spacing w:after="0"/>
              <w:jc w:val="right"/>
            </w:pPr>
            <w:r>
              <w:rPr>
                <w:rFonts w:ascii="Sakkal Majalla" w:cs="Sakkal Majalla" w:eastAsia="Sakkal Majalla" w:hAnsi="Sakkal Majalla"/>
                <w:b/>
                <w:bCs/>
                <w:color w:val="000000"/>
                <w:sz w:val="22"/>
                <w:szCs w:val="22"/>
                <w:rtl/>
              </w:rPr>
              <w:t xml:space="preserve">الإجمالي التقريبي</w:t>
            </w:r>
          </w:p>
        </w:tc>
        <w:tc>
          <w:tcPr>
            <w:tcW w:type="dxa" w:w="1900"/>
            <w:tcBorders>
              <w:top w:val="single" w:color="444444" w:sz="4"/>
              <w:left w:val="single" w:color="444444" w:sz="4"/>
              <w:bottom w:val="single" w:color="444444" w:sz="4"/>
              <w:right w:val="single" w:color="444444" w:sz="4"/>
            </w:tcBorders>
            <w:shd w:fill="F3F1E9" w:val="clear"/>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shd w:fill="F3F1E9" w:val="clear"/>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c>
          <w:tcPr>
            <w:tcW w:type="dxa" w:w="1600"/>
            <w:tcBorders>
              <w:top w:val="single" w:color="444444" w:sz="4"/>
              <w:left w:val="single" w:color="444444" w:sz="4"/>
              <w:bottom w:val="single" w:color="444444" w:sz="4"/>
              <w:right w:val="single" w:color="444444" w:sz="4"/>
            </w:tcBorders>
            <w:shd w:fill="F3F1E9" w:val="clear"/>
            <w:tcMar>
              <w:top w:type="dxa" w:w="80"/>
              <w:left w:type="dxa" w:w="100"/>
              <w:bottom w:type="dxa" w:w="80"/>
              <w:right w:type="dxa" w:w="100"/>
            </w:tcMar>
            <w:vAlign w:val="center"/>
          </w:tcPr>
          <w:p>
            <w:pPr>
              <w:bidi/>
              <w:spacing w:after="0"/>
              <w:jc w:val="right"/>
            </w:pPr>
            <w:r>
              <w:rPr>
                <w:rFonts w:ascii="Sakkal Majalla" w:cs="Sakkal Majalla" w:eastAsia="Sakkal Majalla" w:hAnsi="Sakkal Majalla"/>
                <w:b w:val="false"/>
                <w:bCs w:val="false"/>
                <w:color w:val="000000"/>
                <w:sz w:val="22"/>
                <w:szCs w:val="22"/>
                <w:rtl/>
              </w:rPr>
              <w:t xml:space="preserve"> </w:t>
            </w:r>
          </w:p>
        </w:tc>
      </w:tr>
    </w:tbl>
    <w:p>
      <w:pPr>
        <w:bidi/>
        <w:spacing w:after="200" w:before="100" w:line="300"/>
        <w:jc w:val="both"/>
      </w:pPr>
      <w:r>
        <w:rPr>
          <w:rFonts w:ascii="Sakkal Majalla" w:cs="Sakkal Majalla" w:eastAsia="Sakkal Majalla" w:hAnsi="Sakkal Majalla"/>
          <w:b w:val="false"/>
          <w:bCs w:val="false"/>
          <w:color w:val="555555"/>
          <w:sz w:val="20"/>
          <w:szCs w:val="20"/>
          <w:rtl/>
        </w:rPr>
        <w:t xml:space="preserve">ملاحظة: تعبئة المبالغ اختيارية، ويجوز إدراجها كنسبة مئوية من قيمة الطلب أو كمتوسط شهري تقريبي. المعلومات الواردة أعلاه قُدمت طوعًا من صاحب الشأن إلى الجهة الحكومية المختصة لأغراض دعم الرقابة التنظيمية.</w:t>
      </w:r>
    </w:p>
    <w:p>
      <w:pPr>
        <w:bidi/>
        <w:spacing w:after="140" w:before="220" w:line="300"/>
        <w:jc w:val="right"/>
      </w:pPr>
      <w:r>
        <w:rPr>
          <w:rFonts w:ascii="Sakkal Majalla" w:cs="Sakkal Majalla" w:eastAsia="Sakkal Majalla" w:hAnsi="Sakkal Majalla"/>
          <w:b/>
          <w:bCs/>
          <w:color w:val="000000"/>
          <w:sz w:val="26"/>
          <w:szCs w:val="26"/>
          <w:rtl/>
        </w:rPr>
        <w:t xml:space="preserve">أثر التنظيم الجديد على القطاع والمستهلك</w:t>
      </w:r>
    </w:p>
    <w:p>
      <w:pPr>
        <w:bidi/>
        <w:spacing w:after="160" w:line="300"/>
        <w:jc w:val="both"/>
      </w:pPr>
      <w:r>
        <w:rPr>
          <w:rFonts w:ascii="Sakkal Majalla" w:cs="Sakkal Majalla" w:eastAsia="Sakkal Majalla" w:hAnsi="Sakkal Majalla"/>
          <w:b w:val="false"/>
          <w:bCs w:val="false"/>
          <w:color w:val="000000"/>
          <w:sz w:val="24"/>
          <w:szCs w:val="24"/>
          <w:rtl/>
        </w:rPr>
        <w:t xml:space="preserve">إن هذا التنظيم لا يمثل حماية للمطاعم والمحال التجارية من التكاليف المرهقة الموضحة أعلاه فحسب، بل يصحح اختلال ميزان القوة التفاوضية الذي ظل قائمًا لسنوات بين مزوّدي الخدمة وأصحاب المنشآت، إذ يضع لأول مرة سقوفًا قانونية إلزامية وشفافية كاملة في الرسوم، بما يمكّن المنشآت — وخصوصًا الصغيرة والمتوسطة — من الاستمرار والمنافسة. كما أن تخفيض العبء التشغيلي من المتوقع أن ينعكس تدريجيًا في صورة وفورات حقيقية تصل إلى المستهلك النهائي، سواء بخفض الأسعار المضخّمة داخل التطبيقات أو الحد من الرسوم الخفية أو تحسين جودة الخدمة، بما يحقق توازنًا عادلًا بين مصالح جميع الأطراف وينسجم مع توجه دولة الكويت نحو ريادة تنظيم الاقتصاد الرقمي في المنطقة.</w:t>
      </w:r>
    </w:p>
    <w:p>
      <w:pPr>
        <w:bidi/>
        <w:spacing w:after="160" w:line="300"/>
        <w:jc w:val="both"/>
      </w:pPr>
      <w:r>
        <w:rPr>
          <w:rFonts w:ascii="Sakkal Majalla" w:cs="Sakkal Majalla" w:eastAsia="Sakkal Majalla" w:hAnsi="Sakkal Majalla"/>
          <w:b w:val="false"/>
          <w:bCs w:val="false"/>
          <w:color w:val="000000"/>
          <w:sz w:val="24"/>
          <w:szCs w:val="24"/>
          <w:rtl/>
        </w:rPr>
        <w:t xml:space="preserve">وعليه، نجدد لمعاليكم ولجميع القائمين على وزارة التجارة والصناعة خالص الشكر والتقدير على هذه الخطوة الرائدة، مؤكدين استعدادنا للتعاون مع الوزارة بتقديم أي بيانات أو إيضاحات تدعم التطبيق الفعّال لهذا التنظيم.</w:t>
      </w:r>
    </w:p>
    <w:p>
      <w:pPr>
        <w:bidi/>
        <w:spacing w:after="240" w:line="300"/>
        <w:jc w:val="right"/>
      </w:pPr>
      <w:r>
        <w:rPr>
          <w:rFonts w:ascii="Sakkal Majalla" w:cs="Sakkal Majalla" w:eastAsia="Sakkal Majalla" w:hAnsi="Sakkal Majalla"/>
          <w:b/>
          <w:bCs/>
          <w:color w:val="000000"/>
          <w:sz w:val="24"/>
          <w:szCs w:val="24"/>
          <w:rtl/>
        </w:rPr>
        <w:t xml:space="preserve">وتفضلوا معاليكم بقبول فائق الاحترام والتقدير،</w:t>
      </w:r>
    </w:p>
    <w:tbl>
      <w:tblPr>
        <w:bidiVisual/>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c>
          <w:tcPr>
            <w:tcW w:type="dxa" w:w="5000"/>
            <w:tcBorders>
              <w:top w:val="none" w:color="FFFFFF" w:sz="0"/>
              <w:left w:val="none" w:color="FFFFFF" w:sz="0"/>
              <w:bottom w:val="none" w:color="FFFFFF" w:sz="0"/>
              <w:right w:val="none" w:color="FFFFFF" w:sz="0"/>
            </w:tcBorders>
          </w:tcPr>
          <w:p>
            <w:pPr>
              <w:bidi/>
              <w:spacing w:after="140" w:line="300"/>
              <w:jc w:val="right"/>
            </w:pPr>
            <w:r>
              <w:rPr>
                <w:rFonts w:ascii="Sakkal Majalla" w:cs="Sakkal Majalla" w:eastAsia="Sakkal Majalla" w:hAnsi="Sakkal Majalla"/>
                <w:b/>
                <w:bCs/>
                <w:color w:val="000000"/>
                <w:sz w:val="24"/>
                <w:szCs w:val="24"/>
                <w:rtl/>
              </w:rPr>
              <w:t xml:space="preserve">اسم المفوّض بالتوقيع وصفته: </w:t>
            </w:r>
            <w:r>
              <w:rPr>
                <w:rFonts w:ascii="Sakkal Majalla" w:cs="Sakkal Majalla" w:eastAsia="Sakkal Majalla" w:hAnsi="Sakkal Majalla"/>
                <w:sz w:val="24"/>
                <w:szCs w:val="24"/>
                <w:u w:val="single"/>
                <w:rtl/>
              </w:rPr>
              <w:t xml:space="preserve">                                                            </w:t>
            </w:r>
          </w:p>
          <w:p>
            <w:pPr>
              <w:bidi/>
              <w:spacing w:after="140" w:line="300"/>
              <w:jc w:val="right"/>
            </w:pPr>
            <w:r>
              <w:rPr>
                <w:rFonts w:ascii="Sakkal Majalla" w:cs="Sakkal Majalla" w:eastAsia="Sakkal Majalla" w:hAnsi="Sakkal Majalla"/>
                <w:b/>
                <w:bCs/>
                <w:color w:val="000000"/>
                <w:sz w:val="24"/>
                <w:szCs w:val="24"/>
                <w:rtl/>
              </w:rPr>
              <w:t xml:space="preserve">التاريخ:      /      / 2026م — التوقيع: </w:t>
            </w:r>
            <w:r>
              <w:rPr>
                <w:rFonts w:ascii="Sakkal Majalla" w:cs="Sakkal Majalla" w:eastAsia="Sakkal Majalla" w:hAnsi="Sakkal Majalla"/>
                <w:sz w:val="24"/>
                <w:szCs w:val="24"/>
                <w:u w:val="single"/>
                <w:rtl/>
              </w:rPr>
              <w:t xml:space="preserve">                                                            </w:t>
            </w:r>
          </w:p>
        </w:tc>
        <w:tc>
          <w:tcPr>
            <w:tcW w:type="dxa" w:w="5000"/>
            <w:tcBorders>
              <w:top w:val="single" w:color="444444" w:sz="4"/>
              <w:left w:val="single" w:color="444444" w:sz="4"/>
              <w:bottom w:val="single" w:color="444444" w:sz="4"/>
              <w:right w:val="single" w:color="444444" w:sz="4"/>
            </w:tcBorders>
            <w:tcMar>
              <w:top w:type="dxa" w:w="400"/>
              <w:left w:type="dxa" w:w="100"/>
              <w:bottom w:type="dxa" w:w="400"/>
              <w:right w:type="dxa" w:w="100"/>
            </w:tcMar>
            <w:vAlign w:val="center"/>
          </w:tcPr>
          <w:p>
            <w:pPr>
              <w:bidi/>
              <w:spacing w:after="0"/>
              <w:jc w:val="center"/>
            </w:pPr>
            <w:r>
              <w:rPr>
                <w:rFonts w:ascii="Sakkal Majalla" w:cs="Sakkal Majalla" w:eastAsia="Sakkal Majalla" w:hAnsi="Sakkal Majalla"/>
                <w:b/>
                <w:bCs/>
                <w:color w:val="666666"/>
                <w:sz w:val="24"/>
                <w:szCs w:val="24"/>
                <w:rtl/>
              </w:rPr>
              <w:t xml:space="preserve">الختم الرسمي للمطعم / المتجر</w:t>
            </w:r>
          </w:p>
        </w:tc>
      </w:tr>
    </w:tbl>
    <w:p>
      <w:pPr>
        <w:bidi/>
        <w:spacing w:after="0" w:before="300" w:line="300"/>
        <w:jc w:val="center"/>
      </w:pPr>
      <w:r>
        <w:rPr>
          <w:rFonts w:ascii="Sakkal Majalla" w:cs="Sakkal Majalla" w:eastAsia="Sakkal Majalla" w:hAnsi="Sakkal Majalla"/>
          <w:b w:val="false"/>
          <w:bCs w:val="false"/>
          <w:color w:val="777777"/>
          <w:sz w:val="20"/>
          <w:szCs w:val="20"/>
          <w:rtl/>
        </w:rPr>
        <w:t xml:space="preserve">مبادرة شعبية مستقلة — لا تمثل أي جهة حكومية</w:t>
      </w:r>
    </w:p>
    <w:sectPr>
      <w:pgSz w:w="11906" w:h="16838" w:orient="portrait"/>
      <w:pgMar w:top="1020" w:right="1020" w:bottom="907"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2026-07-15T09:00:18.995Z</dcterms:created>
  <dcterms:modified xsi:type="dcterms:W3CDTF">2026-07-15T09:00:19.015Z</dcterms:modified>
</cp:coreProperties>
</file>

<file path=docProps/custom.xml><?xml version="1.0" encoding="utf-8"?>
<Properties xmlns="http://schemas.openxmlformats.org/officeDocument/2006/custom-properties" xmlns:vt="http://schemas.openxmlformats.org/officeDocument/2006/docPropsVTypes"/>
</file>