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4553" w:rsidRDefault="00B06356" w:rsidP="00B06356">
      <w:pPr>
        <w:jc w:val="center"/>
        <w:rPr>
          <w:sz w:val="72"/>
        </w:rPr>
      </w:pPr>
      <w:proofErr w:type="spellStart"/>
      <w:r w:rsidRPr="00B06356">
        <w:rPr>
          <w:sz w:val="72"/>
        </w:rPr>
        <w:t>KickStarter</w:t>
      </w:r>
      <w:proofErr w:type="spellEnd"/>
      <w:r w:rsidRPr="00B06356">
        <w:rPr>
          <w:sz w:val="72"/>
        </w:rPr>
        <w:t xml:space="preserve"> Analysis</w:t>
      </w:r>
    </w:p>
    <w:p w:rsidR="00B06356" w:rsidRDefault="00B06356" w:rsidP="00B06356">
      <w:pPr>
        <w:jc w:val="center"/>
        <w:rPr>
          <w:sz w:val="44"/>
        </w:rPr>
      </w:pPr>
      <w:r>
        <w:rPr>
          <w:sz w:val="44"/>
        </w:rPr>
        <w:t xml:space="preserve">Data Analytics Boot Camp – </w:t>
      </w:r>
      <w:proofErr w:type="spellStart"/>
      <w:r>
        <w:rPr>
          <w:sz w:val="44"/>
        </w:rPr>
        <w:t>TTh</w:t>
      </w:r>
      <w:proofErr w:type="spellEnd"/>
      <w:r>
        <w:rPr>
          <w:sz w:val="44"/>
        </w:rPr>
        <w:t xml:space="preserve"> Class</w:t>
      </w:r>
    </w:p>
    <w:p w:rsidR="00B06356" w:rsidRPr="00B06356" w:rsidRDefault="00B06356" w:rsidP="00B06356">
      <w:pPr>
        <w:jc w:val="center"/>
        <w:rPr>
          <w:sz w:val="44"/>
        </w:rPr>
      </w:pPr>
      <w:r w:rsidRPr="00B06356">
        <w:rPr>
          <w:sz w:val="44"/>
        </w:rPr>
        <w:t>Dale Ohmart, Nov 11, 2018</w:t>
      </w:r>
    </w:p>
    <w:p w:rsidR="00B06356" w:rsidRPr="00B06356" w:rsidRDefault="00B06356">
      <w:pPr>
        <w:rPr>
          <w:sz w:val="28"/>
          <w:u w:val="single"/>
        </w:rPr>
      </w:pPr>
      <w:r w:rsidRPr="00B06356">
        <w:rPr>
          <w:sz w:val="28"/>
          <w:u w:val="single"/>
        </w:rPr>
        <w:t>Quick Conclusions from Assigned Graphs</w:t>
      </w:r>
    </w:p>
    <w:p w:rsidR="00B06356" w:rsidRDefault="00B06356" w:rsidP="00B06356">
      <w:pPr>
        <w:jc w:val="center"/>
      </w:pPr>
      <w:r>
        <w:rPr>
          <w:noProof/>
        </w:rPr>
        <w:drawing>
          <wp:inline distT="0" distB="0" distL="0" distR="0" wp14:anchorId="642389E7" wp14:editId="21498923">
            <wp:extent cx="4769510" cy="3035808"/>
            <wp:effectExtent l="0" t="0" r="12065"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B06356" w:rsidRDefault="00B06356"/>
    <w:p w:rsidR="002A4EA3" w:rsidRDefault="00B06356">
      <w:r>
        <w:t xml:space="preserve">The </w:t>
      </w:r>
      <w:r w:rsidR="002A4EA3">
        <w:t>view</w:t>
      </w:r>
      <w:r>
        <w:t xml:space="preserve"> based on top-level category makes is very quickly apparent that </w:t>
      </w:r>
      <w:proofErr w:type="spellStart"/>
      <w:r>
        <w:t>KickStarter</w:t>
      </w:r>
      <w:proofErr w:type="spellEnd"/>
      <w:r>
        <w:t xml:space="preserve"> is primarily used as a tool for funding artistic endeavors. Theater, music, film &amp; video are three of the top four categories</w:t>
      </w:r>
      <w:r w:rsidR="002A4EA3">
        <w:t xml:space="preserve">, and photography and publishing are also significant. Theater projects dominate, greater than two times the next category, music. </w:t>
      </w:r>
    </w:p>
    <w:p w:rsidR="002A4EA3" w:rsidRDefault="002A4EA3">
      <w:r>
        <w:t xml:space="preserve">It further appears that the artistic projects have a higher likelihood of achieving their </w:t>
      </w:r>
      <w:proofErr w:type="spellStart"/>
      <w:r>
        <w:t>KickStarter</w:t>
      </w:r>
      <w:proofErr w:type="spellEnd"/>
      <w:r>
        <w:t xml:space="preserve"> financial objectives. However, that data may be somewhat skewed, as I observed that many </w:t>
      </w:r>
      <w:proofErr w:type="spellStart"/>
      <w:r>
        <w:t>KickStarter</w:t>
      </w:r>
      <w:proofErr w:type="spellEnd"/>
      <w:r>
        <w:t xml:space="preserve"> objectives are ridiculously small, as little as $1. This deserves a bit more analysis</w:t>
      </w:r>
      <w:r w:rsidR="00810361">
        <w:t xml:space="preserve">, before making any conclusions about success ratio. It does make me wonder how </w:t>
      </w:r>
      <w:proofErr w:type="spellStart"/>
      <w:r w:rsidR="00810361">
        <w:t>KickStarter</w:t>
      </w:r>
      <w:proofErr w:type="spellEnd"/>
      <w:r w:rsidR="00810361">
        <w:t xml:space="preserve"> works. What happens if the financial objective is not met? All funds are returned to “investors?” On the other hand, if the financial objective is met, then the project receives the funding? I also observed that </w:t>
      </w:r>
      <w:proofErr w:type="spellStart"/>
      <w:r w:rsidR="00810361">
        <w:t>KickStarter</w:t>
      </w:r>
      <w:proofErr w:type="spellEnd"/>
      <w:r w:rsidR="00810361">
        <w:t xml:space="preserve"> allows “overfunding” (funds in excess of the goal). If this is the rule set, then there would be a strong incentive </w:t>
      </w:r>
      <w:r w:rsidR="00810361">
        <w:lastRenderedPageBreak/>
        <w:t xml:space="preserve">for a project developer to set very low goals, thus walking away with whatever level of funding is pledged. </w:t>
      </w:r>
    </w:p>
    <w:p w:rsidR="00810361" w:rsidRDefault="00810361"/>
    <w:p w:rsidR="00B06356" w:rsidRDefault="002A4EA3" w:rsidP="002A4EA3">
      <w:pPr>
        <w:jc w:val="center"/>
      </w:pPr>
      <w:r>
        <w:rPr>
          <w:noProof/>
        </w:rPr>
        <w:drawing>
          <wp:inline distT="0" distB="0" distL="0" distR="0" wp14:anchorId="5925FBE0" wp14:editId="3016FD92">
            <wp:extent cx="6656432" cy="382673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657868" cy="3827563"/>
                    </a:xfrm>
                    <a:prstGeom prst="rect">
                      <a:avLst/>
                    </a:prstGeom>
                  </pic:spPr>
                </pic:pic>
              </a:graphicData>
            </a:graphic>
          </wp:inline>
        </w:drawing>
      </w:r>
    </w:p>
    <w:p w:rsidR="002A4EA3" w:rsidRDefault="002A4EA3" w:rsidP="002A4EA3"/>
    <w:p w:rsidR="002A4EA3" w:rsidRDefault="002A4EA3" w:rsidP="002A4EA3">
      <w:r>
        <w:t xml:space="preserve">The subcategory view </w:t>
      </w:r>
      <w:r w:rsidR="00810361">
        <w:t xml:space="preserve">makes a few conclusions abundantly clear. In eight, there has not been a successful food truck, video game, or mobile game. The highest levels of success are, again, artistic in nature. </w:t>
      </w:r>
    </w:p>
    <w:p w:rsidR="00810361" w:rsidRDefault="00810361" w:rsidP="002A4EA3"/>
    <w:p w:rsidR="00810361" w:rsidRDefault="00810361" w:rsidP="00810361">
      <w:pPr>
        <w:jc w:val="center"/>
      </w:pPr>
      <w:r>
        <w:rPr>
          <w:noProof/>
        </w:rPr>
        <w:lastRenderedPageBreak/>
        <w:drawing>
          <wp:inline distT="0" distB="0" distL="0" distR="0" wp14:anchorId="2EEC7B43" wp14:editId="0C111ED2">
            <wp:extent cx="4857293" cy="267358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71561" cy="2681440"/>
                    </a:xfrm>
                    <a:prstGeom prst="rect">
                      <a:avLst/>
                    </a:prstGeom>
                  </pic:spPr>
                </pic:pic>
              </a:graphicData>
            </a:graphic>
          </wp:inline>
        </w:drawing>
      </w:r>
    </w:p>
    <w:p w:rsidR="00810361" w:rsidRDefault="00810361" w:rsidP="00810361"/>
    <w:p w:rsidR="00810361" w:rsidRDefault="00810361" w:rsidP="00810361">
      <w:r>
        <w:t xml:space="preserve">Finally, the monthly trend chart seems to indicate that very few projects are started in December. That seems logical. It also shows that the number of cancelled projects is fairly steady throughout the year, but the number of successful projects seems to come from those started in the first half of the year. </w:t>
      </w:r>
    </w:p>
    <w:p w:rsidR="00810361" w:rsidRDefault="00810361" w:rsidP="00810361"/>
    <w:p w:rsidR="00810361" w:rsidRDefault="00810361" w:rsidP="00810361">
      <w:r>
        <w:t xml:space="preserve">There is a lot more information embedded in this dataset. </w:t>
      </w:r>
      <w:r w:rsidR="00DE58AE">
        <w:t xml:space="preserve">Switching to a slightly more powerful visualization tool allows some quick looks. </w:t>
      </w:r>
    </w:p>
    <w:p w:rsidR="00DE58AE" w:rsidRDefault="00DE58AE" w:rsidP="00810361">
      <w:r>
        <w:rPr>
          <w:noProof/>
        </w:rPr>
        <w:drawing>
          <wp:inline distT="0" distB="0" distL="0" distR="0" wp14:anchorId="72FB7096" wp14:editId="33D48554">
            <wp:extent cx="5943600" cy="3148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48330"/>
                    </a:xfrm>
                    <a:prstGeom prst="rect">
                      <a:avLst/>
                    </a:prstGeom>
                  </pic:spPr>
                </pic:pic>
              </a:graphicData>
            </a:graphic>
          </wp:inline>
        </w:drawing>
      </w:r>
    </w:p>
    <w:p w:rsidR="00DE58AE" w:rsidRDefault="00DE58AE" w:rsidP="00810361">
      <w:r>
        <w:lastRenderedPageBreak/>
        <w:t xml:space="preserve">This histogram of goals (on X-Axis, notice that the increments are not smooth, first few are logarithmic jumps, then they go to linear by $1,000, then jump to linear by $10,000). Top graph is standard </w:t>
      </w:r>
      <w:proofErr w:type="gramStart"/>
      <w:r>
        <w:t>histogram,</w:t>
      </w:r>
      <w:proofErr w:type="gramEnd"/>
      <w:r>
        <w:t xml:space="preserve"> bottom is normalized to 100% of number of projects in each financial goal group. It is clear that as the goal goes up, success rate falls. </w:t>
      </w:r>
    </w:p>
    <w:p w:rsidR="00DE58AE" w:rsidRDefault="00DE58AE" w:rsidP="00810361">
      <w:r>
        <w:rPr>
          <w:noProof/>
        </w:rPr>
        <w:drawing>
          <wp:inline distT="0" distB="0" distL="0" distR="0" wp14:anchorId="343CFA8F" wp14:editId="4F04AC3A">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71825"/>
                    </a:xfrm>
                    <a:prstGeom prst="rect">
                      <a:avLst/>
                    </a:prstGeom>
                  </pic:spPr>
                </pic:pic>
              </a:graphicData>
            </a:graphic>
          </wp:inline>
        </w:drawing>
      </w:r>
    </w:p>
    <w:p w:rsidR="00DE58AE" w:rsidRDefault="00DE58AE" w:rsidP="00810361">
      <w:r>
        <w:t xml:space="preserve">However, this view shows that </w:t>
      </w:r>
      <w:proofErr w:type="spellStart"/>
      <w:r>
        <w:t>KickStarter</w:t>
      </w:r>
      <w:proofErr w:type="spellEnd"/>
      <w:r>
        <w:t xml:space="preserve"> must have some scheme in place to prevent abuse. The vast majority of successful projects are funded somewhere between 1 and 10 times the goal (left graph – shows % </w:t>
      </w:r>
      <w:proofErr w:type="spellStart"/>
      <w:r>
        <w:t>Fundec</w:t>
      </w:r>
      <w:proofErr w:type="spellEnd"/>
      <w:r>
        <w:t xml:space="preserve"> vs Project ID number on the X-Axis). </w:t>
      </w:r>
    </w:p>
    <w:p w:rsidR="00F9647A" w:rsidRDefault="00F9647A" w:rsidP="00810361">
      <w:r>
        <w:rPr>
          <w:noProof/>
        </w:rPr>
        <w:drawing>
          <wp:inline distT="0" distB="0" distL="0" distR="0" wp14:anchorId="0CF9A132" wp14:editId="0C4453C1">
            <wp:extent cx="5943600" cy="1873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73885"/>
                    </a:xfrm>
                    <a:prstGeom prst="rect">
                      <a:avLst/>
                    </a:prstGeom>
                  </pic:spPr>
                </pic:pic>
              </a:graphicData>
            </a:graphic>
          </wp:inline>
        </w:drawing>
      </w:r>
    </w:p>
    <w:p w:rsidR="00DE58AE" w:rsidRDefault="00DE58AE" w:rsidP="00810361"/>
    <w:p w:rsidR="00F9647A" w:rsidRDefault="00F9647A" w:rsidP="00810361">
      <w:r>
        <w:t xml:space="preserve">The small </w:t>
      </w:r>
      <w:proofErr w:type="gramStart"/>
      <w:r>
        <w:t>number of highly overfunded projects are</w:t>
      </w:r>
      <w:proofErr w:type="gramEnd"/>
      <w:r>
        <w:t xml:space="preserve"> mostly at very low goals. Though two of the projects, interestingly, are funded at &gt;$1M. One of these two was cancelled. </w:t>
      </w:r>
    </w:p>
    <w:p w:rsidR="00F9647A" w:rsidRDefault="00F9647A" w:rsidP="00810361">
      <w:r>
        <w:rPr>
          <w:noProof/>
        </w:rPr>
        <w:drawing>
          <wp:inline distT="0" distB="0" distL="0" distR="0" wp14:anchorId="274D4A67" wp14:editId="43824E54">
            <wp:extent cx="5943600" cy="287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655"/>
                    </a:xfrm>
                    <a:prstGeom prst="rect">
                      <a:avLst/>
                    </a:prstGeom>
                  </pic:spPr>
                </pic:pic>
              </a:graphicData>
            </a:graphic>
          </wp:inline>
        </w:drawing>
      </w:r>
    </w:p>
    <w:p w:rsidR="00022047" w:rsidRDefault="00022047" w:rsidP="00810361">
      <w:proofErr w:type="spellStart"/>
      <w:r>
        <w:lastRenderedPageBreak/>
        <w:t>KickStarter</w:t>
      </w:r>
      <w:proofErr w:type="spellEnd"/>
      <w:r>
        <w:t xml:space="preserve"> may be a fad. Or </w:t>
      </w:r>
      <w:proofErr w:type="gramStart"/>
      <w:r>
        <w:t>it’s</w:t>
      </w:r>
      <w:proofErr w:type="gramEnd"/>
      <w:r>
        <w:t xml:space="preserve"> use may have peaked, in any case. </w:t>
      </w:r>
    </w:p>
    <w:p w:rsidR="00A77CA3" w:rsidRDefault="00A77CA3" w:rsidP="00810361">
      <w:r>
        <w:rPr>
          <w:noProof/>
        </w:rPr>
        <w:drawing>
          <wp:inline distT="0" distB="0" distL="0" distR="0" wp14:anchorId="12E1C48D" wp14:editId="38BE0E40">
            <wp:extent cx="5943600" cy="2977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77515"/>
                    </a:xfrm>
                    <a:prstGeom prst="rect">
                      <a:avLst/>
                    </a:prstGeom>
                  </pic:spPr>
                </pic:pic>
              </a:graphicData>
            </a:graphic>
          </wp:inline>
        </w:drawing>
      </w:r>
    </w:p>
    <w:p w:rsidR="00022047" w:rsidRDefault="00A77CA3" w:rsidP="00810361">
      <w:r>
        <w:t xml:space="preserve">On the other hand, the pledge stream that </w:t>
      </w:r>
      <w:proofErr w:type="spellStart"/>
      <w:r>
        <w:t>KickStarter</w:t>
      </w:r>
      <w:proofErr w:type="spellEnd"/>
      <w:r>
        <w:t xml:space="preserve"> is pulling in continues to increase. Dropping the incomplete 2017 data, looking at annual pledge totals:</w:t>
      </w:r>
    </w:p>
    <w:p w:rsidR="00A77CA3" w:rsidRDefault="00A77CA3" w:rsidP="00810361">
      <w:r>
        <w:rPr>
          <w:noProof/>
        </w:rPr>
        <w:drawing>
          <wp:inline distT="0" distB="0" distL="0" distR="0" wp14:anchorId="46986942" wp14:editId="1EA346F8">
            <wp:extent cx="5943600" cy="2980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80055"/>
                    </a:xfrm>
                    <a:prstGeom prst="rect">
                      <a:avLst/>
                    </a:prstGeom>
                  </pic:spPr>
                </pic:pic>
              </a:graphicData>
            </a:graphic>
          </wp:inline>
        </w:drawing>
      </w:r>
    </w:p>
    <w:p w:rsidR="00A77CA3" w:rsidRDefault="00A77CA3" w:rsidP="00810361"/>
    <w:p w:rsidR="00A77CA3" w:rsidRDefault="00A77CA3" w:rsidP="00810361">
      <w:r>
        <w:t xml:space="preserve">So perhaps what is happening is that users are getting better at knowing what </w:t>
      </w:r>
      <w:proofErr w:type="spellStart"/>
      <w:r>
        <w:t>KickStarter</w:t>
      </w:r>
      <w:proofErr w:type="spellEnd"/>
      <w:r>
        <w:t xml:space="preserve"> is good for, and what it is not good for. </w:t>
      </w:r>
    </w:p>
    <w:p w:rsidR="00022047" w:rsidRPr="00B06356" w:rsidRDefault="00022047" w:rsidP="00022047">
      <w:pPr>
        <w:rPr>
          <w:sz w:val="28"/>
          <w:u w:val="single"/>
        </w:rPr>
      </w:pPr>
      <w:r>
        <w:rPr>
          <w:sz w:val="28"/>
          <w:u w:val="single"/>
        </w:rPr>
        <w:t>A Few Things We Cannot Learn</w:t>
      </w:r>
    </w:p>
    <w:p w:rsidR="00022047" w:rsidRDefault="00022047" w:rsidP="00810361">
      <w:r>
        <w:lastRenderedPageBreak/>
        <w:t xml:space="preserve">There are a few things we can’t really learn from this dataset. For instance, we have the total contributions, but no other data on contributions. So it is not possible to tell is donations are highly concentrated or widely distributed. This is important, as the idea of </w:t>
      </w:r>
      <w:proofErr w:type="spellStart"/>
      <w:r>
        <w:t>KickStarter</w:t>
      </w:r>
      <w:proofErr w:type="spellEnd"/>
      <w:r>
        <w:t xml:space="preserve"> was to give users access to a widely distributed funding network. </w:t>
      </w:r>
      <w:proofErr w:type="gramStart"/>
      <w:r>
        <w:t>And to provide “retail investors” with the ability to invest in projects interesting to them.</w:t>
      </w:r>
      <w:proofErr w:type="gramEnd"/>
      <w:r>
        <w:t xml:space="preserve"> If instead, contributions are highly concentrated, then </w:t>
      </w:r>
      <w:proofErr w:type="spellStart"/>
      <w:r>
        <w:t>KickStarter</w:t>
      </w:r>
      <w:proofErr w:type="spellEnd"/>
      <w:r>
        <w:t xml:space="preserve"> is not completely successful in meeting the original intent. </w:t>
      </w:r>
    </w:p>
    <w:p w:rsidR="00022047" w:rsidRDefault="00022047" w:rsidP="00810361">
      <w:r>
        <w:t xml:space="preserve">Second, from the dataset (see pledged vs goal graph above), it is clear that the definition of “success” is that the goal contribution is achieved through pledges. This tells nothing about the ultimate success of the project being funded. Was the play actually staged? The movie made? The record cut? There is no way to tell. And again, the idea behind </w:t>
      </w:r>
      <w:proofErr w:type="spellStart"/>
      <w:r>
        <w:t>KickStarter</w:t>
      </w:r>
      <w:proofErr w:type="spellEnd"/>
      <w:r>
        <w:t xml:space="preserve"> was to fund interesting projects, most of which it was hoped would be successful. </w:t>
      </w:r>
    </w:p>
    <w:p w:rsidR="00A77CA3" w:rsidRDefault="00A77CA3" w:rsidP="00810361">
      <w:r>
        <w:t xml:space="preserve">The data is not complete for 2009 or 2017, so annualized views are really only good for 7 years, 2011 – 2016. </w:t>
      </w:r>
    </w:p>
    <w:p w:rsidR="00A77CA3" w:rsidRDefault="00A77CA3" w:rsidP="00810361"/>
    <w:p w:rsidR="00A77CA3" w:rsidRPr="00B06356" w:rsidRDefault="00A77CA3" w:rsidP="00A77CA3">
      <w:pPr>
        <w:rPr>
          <w:sz w:val="28"/>
          <w:u w:val="single"/>
        </w:rPr>
      </w:pPr>
      <w:r>
        <w:rPr>
          <w:sz w:val="28"/>
          <w:u w:val="single"/>
        </w:rPr>
        <w:t>Bonus Exercise</w:t>
      </w:r>
    </w:p>
    <w:p w:rsidR="00A77CA3" w:rsidRDefault="00A77CA3" w:rsidP="00810361">
      <w:r>
        <w:t xml:space="preserve">Just for fun….because actually, this is kind of what I did in </w:t>
      </w:r>
      <w:proofErr w:type="spellStart"/>
      <w:r>
        <w:t>Spotfire</w:t>
      </w:r>
      <w:proofErr w:type="spellEnd"/>
      <w:r>
        <w:t xml:space="preserve"> when I was digging into what could and could not be learned. </w:t>
      </w:r>
      <w:r w:rsidR="002E04BB">
        <w:t xml:space="preserve">It was a heck of a lot easier in </w:t>
      </w:r>
      <w:proofErr w:type="spellStart"/>
      <w:r w:rsidR="002E04BB">
        <w:t>Spotfire</w:t>
      </w:r>
      <w:proofErr w:type="spellEnd"/>
      <w:r w:rsidR="002E04BB">
        <w:t xml:space="preserve">. </w:t>
      </w:r>
      <w:r>
        <w:t>Oh, well!</w:t>
      </w:r>
    </w:p>
    <w:p w:rsidR="00A96721" w:rsidRDefault="00A96721" w:rsidP="00810361">
      <w:r>
        <w:t xml:space="preserve">It took over an hour to get the formulae correct in this one! Granted I have objections to putting pass/fail criteria directly in the formulae, so I put them in hidden columns and rows, so the base formula was more complicated. But the bigger issue was jumping back and forth between sheets to try to get the right column. Took a while to figure that out. </w:t>
      </w:r>
      <w:bookmarkStart w:id="0" w:name="_GoBack"/>
      <w:bookmarkEnd w:id="0"/>
    </w:p>
    <w:p w:rsidR="00A77CA3" w:rsidRDefault="00A96721" w:rsidP="00810361">
      <w:r>
        <w:rPr>
          <w:noProof/>
        </w:rPr>
        <w:lastRenderedPageBreak/>
        <w:drawing>
          <wp:inline distT="0" distB="0" distL="0" distR="0" wp14:anchorId="1BEA5390" wp14:editId="157A0D3A">
            <wp:extent cx="5943600" cy="3195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95955"/>
                    </a:xfrm>
                    <a:prstGeom prst="rect">
                      <a:avLst/>
                    </a:prstGeom>
                  </pic:spPr>
                </pic:pic>
              </a:graphicData>
            </a:graphic>
          </wp:inline>
        </w:drawing>
      </w:r>
    </w:p>
    <w:p w:rsidR="00A77CA3" w:rsidRDefault="00A77CA3" w:rsidP="00810361"/>
    <w:p w:rsidR="00A77CA3" w:rsidRDefault="00A77CA3" w:rsidP="00810361"/>
    <w:p w:rsidR="00A77CA3" w:rsidRDefault="00A77CA3" w:rsidP="00810361"/>
    <w:p w:rsidR="00022047" w:rsidRDefault="00022047" w:rsidP="00810361"/>
    <w:sectPr w:rsidR="00022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356"/>
    <w:rsid w:val="00022047"/>
    <w:rsid w:val="002A4EA3"/>
    <w:rsid w:val="002E04BB"/>
    <w:rsid w:val="00810361"/>
    <w:rsid w:val="008D4553"/>
    <w:rsid w:val="00A77CA3"/>
    <w:rsid w:val="00A96721"/>
    <w:rsid w:val="00B06356"/>
    <w:rsid w:val="00DE58AE"/>
    <w:rsid w:val="00F96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63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35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63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3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chart" Target="charts/chart1.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[StarterBook.xlsx]Count_by_ParentCategory!PivotTable4</c:name>
    <c:fmtId val="-1"/>
  </c:pivotSource>
  <c:chart>
    <c:title>
      <c:tx>
        <c:rich>
          <a:bodyPr/>
          <a:lstStyle/>
          <a:p>
            <a:pPr>
              <a:defRPr/>
            </a:pPr>
            <a:r>
              <a:rPr lang="en-US"/>
              <a:t>Count of Kickstarter Projects by Category</a:t>
            </a:r>
          </a:p>
          <a:p>
            <a:pPr>
              <a:defRPr/>
            </a:pPr>
            <a:r>
              <a:rPr lang="en-US"/>
              <a:t>May</a:t>
            </a:r>
            <a:r>
              <a:rPr lang="en-US" baseline="0"/>
              <a:t> 16, 2009 - Mar 15, 2017</a:t>
            </a:r>
            <a:endParaRPr lang="en-US"/>
          </a:p>
        </c:rich>
      </c:tx>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s>
    <c:plotArea>
      <c:layout/>
      <c:barChart>
        <c:barDir val="col"/>
        <c:grouping val="stacked"/>
        <c:varyColors val="0"/>
        <c:ser>
          <c:idx val="0"/>
          <c:order val="0"/>
          <c:tx>
            <c:strRef>
              <c:f>Count_by_ParentCategory!$B$3:$B$4</c:f>
              <c:strCache>
                <c:ptCount val="1"/>
                <c:pt idx="0">
                  <c:v>successful</c:v>
                </c:pt>
              </c:strCache>
            </c:strRef>
          </c:tx>
          <c:invertIfNegative val="0"/>
          <c:cat>
            <c:strRef>
              <c:f>Count_by_ParentCategory!$A$5:$A$14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Count_by_ParentCategory!$B$5:$B$14</c:f>
              <c:numCache>
                <c:formatCode>General</c:formatCode>
                <c:ptCount val="9"/>
                <c:pt idx="0">
                  <c:v>300</c:v>
                </c:pt>
                <c:pt idx="1">
                  <c:v>34</c:v>
                </c:pt>
                <c:pt idx="2">
                  <c:v>80</c:v>
                </c:pt>
                <c:pt idx="4">
                  <c:v>540</c:v>
                </c:pt>
                <c:pt idx="5">
                  <c:v>103</c:v>
                </c:pt>
                <c:pt idx="6">
                  <c:v>80</c:v>
                </c:pt>
                <c:pt idx="7">
                  <c:v>209</c:v>
                </c:pt>
                <c:pt idx="8">
                  <c:v>839</c:v>
                </c:pt>
              </c:numCache>
            </c:numRef>
          </c:val>
        </c:ser>
        <c:ser>
          <c:idx val="1"/>
          <c:order val="1"/>
          <c:tx>
            <c:strRef>
              <c:f>Count_by_ParentCategory!$C$3:$C$4</c:f>
              <c:strCache>
                <c:ptCount val="1"/>
                <c:pt idx="0">
                  <c:v>failed</c:v>
                </c:pt>
              </c:strCache>
            </c:strRef>
          </c:tx>
          <c:invertIfNegative val="0"/>
          <c:cat>
            <c:strRef>
              <c:f>Count_by_ParentCategory!$A$5:$A$14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Count_by_ParentCategory!$C$5:$C$14</c:f>
              <c:numCache>
                <c:formatCode>General</c:formatCode>
                <c:ptCount val="9"/>
                <c:pt idx="0">
                  <c:v>180</c:v>
                </c:pt>
                <c:pt idx="1">
                  <c:v>140</c:v>
                </c:pt>
                <c:pt idx="2">
                  <c:v>140</c:v>
                </c:pt>
                <c:pt idx="4">
                  <c:v>120</c:v>
                </c:pt>
                <c:pt idx="5">
                  <c:v>117</c:v>
                </c:pt>
                <c:pt idx="6">
                  <c:v>127</c:v>
                </c:pt>
                <c:pt idx="7">
                  <c:v>213</c:v>
                </c:pt>
                <c:pt idx="8">
                  <c:v>493</c:v>
                </c:pt>
              </c:numCache>
            </c:numRef>
          </c:val>
        </c:ser>
        <c:ser>
          <c:idx val="2"/>
          <c:order val="2"/>
          <c:tx>
            <c:strRef>
              <c:f>Count_by_ParentCategory!$D$3:$D$4</c:f>
              <c:strCache>
                <c:ptCount val="1"/>
                <c:pt idx="0">
                  <c:v>canceled</c:v>
                </c:pt>
              </c:strCache>
            </c:strRef>
          </c:tx>
          <c:invertIfNegative val="0"/>
          <c:cat>
            <c:strRef>
              <c:f>Count_by_ParentCategory!$A$5:$A$14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Count_by_ParentCategory!$D$5:$D$14</c:f>
              <c:numCache>
                <c:formatCode>General</c:formatCode>
                <c:ptCount val="9"/>
                <c:pt idx="0">
                  <c:v>40</c:v>
                </c:pt>
                <c:pt idx="1">
                  <c:v>20</c:v>
                </c:pt>
                <c:pt idx="3">
                  <c:v>24</c:v>
                </c:pt>
                <c:pt idx="4">
                  <c:v>20</c:v>
                </c:pt>
                <c:pt idx="6">
                  <c:v>30</c:v>
                </c:pt>
                <c:pt idx="7">
                  <c:v>178</c:v>
                </c:pt>
                <c:pt idx="8">
                  <c:v>37</c:v>
                </c:pt>
              </c:numCache>
            </c:numRef>
          </c:val>
        </c:ser>
        <c:ser>
          <c:idx val="3"/>
          <c:order val="3"/>
          <c:tx>
            <c:strRef>
              <c:f>Count_by_ParentCategory!$E$3:$E$4</c:f>
              <c:strCache>
                <c:ptCount val="1"/>
                <c:pt idx="0">
                  <c:v>live</c:v>
                </c:pt>
              </c:strCache>
            </c:strRef>
          </c:tx>
          <c:invertIfNegative val="0"/>
          <c:cat>
            <c:strRef>
              <c:f>Count_by_ParentCategory!$A$5:$A$14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Count_by_ParentCategory!$E$5:$E$14</c:f>
              <c:numCache>
                <c:formatCode>General</c:formatCode>
                <c:ptCount val="9"/>
                <c:pt idx="1">
                  <c:v>6</c:v>
                </c:pt>
                <c:pt idx="4">
                  <c:v>20</c:v>
                </c:pt>
                <c:pt idx="8">
                  <c:v>24</c:v>
                </c:pt>
              </c:numCache>
            </c:numRef>
          </c:val>
        </c:ser>
        <c:dLbls>
          <c:showLegendKey val="0"/>
          <c:showVal val="0"/>
          <c:showCatName val="0"/>
          <c:showSerName val="0"/>
          <c:showPercent val="0"/>
          <c:showBubbleSize val="0"/>
        </c:dLbls>
        <c:gapWidth val="150"/>
        <c:overlap val="100"/>
        <c:axId val="48854528"/>
        <c:axId val="51368704"/>
      </c:barChart>
      <c:catAx>
        <c:axId val="48854528"/>
        <c:scaling>
          <c:orientation val="minMax"/>
        </c:scaling>
        <c:delete val="0"/>
        <c:axPos val="b"/>
        <c:title>
          <c:tx>
            <c:rich>
              <a:bodyPr/>
              <a:lstStyle/>
              <a:p>
                <a:pPr>
                  <a:defRPr/>
                </a:pPr>
                <a:r>
                  <a:rPr lang="en-US"/>
                  <a:t>Category</a:t>
                </a:r>
              </a:p>
            </c:rich>
          </c:tx>
          <c:overlay val="0"/>
        </c:title>
        <c:majorTickMark val="out"/>
        <c:minorTickMark val="none"/>
        <c:tickLblPos val="nextTo"/>
        <c:crossAx val="51368704"/>
        <c:crosses val="autoZero"/>
        <c:auto val="1"/>
        <c:lblAlgn val="ctr"/>
        <c:lblOffset val="100"/>
        <c:noMultiLvlLbl val="0"/>
      </c:catAx>
      <c:valAx>
        <c:axId val="51368704"/>
        <c:scaling>
          <c:orientation val="minMax"/>
        </c:scaling>
        <c:delete val="0"/>
        <c:axPos val="l"/>
        <c:majorGridlines/>
        <c:title>
          <c:tx>
            <c:rich>
              <a:bodyPr rot="-5400000" vert="horz"/>
              <a:lstStyle/>
              <a:p>
                <a:pPr>
                  <a:defRPr/>
                </a:pPr>
                <a:r>
                  <a:rPr lang="en-US"/>
                  <a:t>Number of Projects</a:t>
                </a:r>
              </a:p>
            </c:rich>
          </c:tx>
          <c:overlay val="0"/>
        </c:title>
        <c:numFmt formatCode="General" sourceLinked="1"/>
        <c:majorTickMark val="out"/>
        <c:minorTickMark val="none"/>
        <c:tickLblPos val="nextTo"/>
        <c:crossAx val="48854528"/>
        <c:crosses val="autoZero"/>
        <c:crossBetween val="between"/>
      </c:valAx>
    </c:plotArea>
    <c:legend>
      <c:legendPos val="r"/>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7</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4835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Ohmart, Dale</dc:creator>
  <cp:lastModifiedBy>Ohmart, Dale</cp:lastModifiedBy>
  <cp:revision>1</cp:revision>
  <dcterms:created xsi:type="dcterms:W3CDTF">2018-11-11T23:29:00Z</dcterms:created>
  <dcterms:modified xsi:type="dcterms:W3CDTF">2018-11-12T02:22:00Z</dcterms:modified>
</cp:coreProperties>
</file>