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DCS OPCT v11 BSPC 投稿前多视角审稿</w:t>
      </w:r>
    </w:p>
    <w:p>
      <w:pPr>
        <w:pStyle w:val="Heading1"/>
      </w:pPr>
      <w:r>
        <w:t>编辑信 Major revision</w:t>
      </w:r>
    </w:p>
    <w:p>
      <w:pPr>
        <w:spacing w:after="120" w:line="276" w:lineRule="auto"/>
      </w:pPr>
      <w:r>
        <w:t>Major revision。当前版本已经从对比实验稿推进为机制、风险与选择性校准相连的完整方法论文，并以原始数据先分区实验关闭了最直接的训练数据重叠质疑。方法方程、端点不确定性、信息访问边界、失败回退和复现证据均已达到较高完整度。</w:t>
      </w:r>
    </w:p>
    <w:p>
      <w:pPr>
        <w:spacing w:after="120" w:line="276" w:lineRule="auto"/>
      </w:pPr>
      <w:r>
        <w:t>现阶段唯一仍具有实质性的科学缺口，是尚无一个预先保留且通过全部冻结门控后产生非 identity action 的外部数据集。因此稿件可以支持开发域内的选择性配置级审计风险校准及完整分区下的 fail-closed 执行，但不能支持前瞻外部有效性或普遍安全迁移。若继续以当前收紧后的结论投稿 BSPC，风险已被诚实界定；若要把中心结论升级为有效的安全跨域迁移，则仍需完成冻结 one-shot 外部确认。</w:t>
      </w:r>
    </w:p>
    <w:p>
      <w:pPr>
        <w:pStyle w:val="Heading1"/>
      </w:pPr>
      <w:r>
        <w:t>审稿人 1 方法创新与机器学习</w:t>
      </w:r>
    </w:p>
    <w:p>
      <w:pPr>
        <w:pStyle w:val="Heading2"/>
      </w:pPr>
      <w:r>
        <w:t>整体点评</w:t>
      </w:r>
    </w:p>
    <w:p>
      <w:pPr>
        <w:spacing w:after="120" w:line="276" w:lineRule="auto"/>
      </w:pPr>
      <w:r>
        <w:t>稿件的创新不再依赖 CORAL、quantile mapping 或 logistic calibration 单个组件，而在于把反事实身份利用端点、配置级风险预测、适用性筛查、有限标签证书和返回原概率动作连接为可审计流程。最新独立性阶梯使贡献边界清楚，但也显示正向 release 随独立性增强而收缩。</w:t>
      </w:r>
    </w:p>
    <w:p>
      <w:pPr>
        <w:pStyle w:val="Heading2"/>
      </w:pPr>
      <w:r>
        <w:t>主要问题</w:t>
      </w:r>
    </w:p>
    <w:p>
      <w:pPr>
        <w:spacing w:after="120" w:line="276" w:lineRule="auto"/>
      </w:pPr>
      <w:r>
        <w:rPr>
          <w:b/>
        </w:rPr>
        <w:t>1. 中心贡献与最强证据层级。</w:t>
      </w:r>
      <w:r>
        <w:t>完全参与者和训练行分离的 EPPVR 实验在冻结适用性门控处停止，未形成正向校准证据。稿件已在 Abstract、Discussion、Limitations 和 Conclusion 中明确这一点，因此当前可辩护的贡献是选择性开发域校准与 fail-closed 执行，而不是已验证的通用安全迁移。该边界必须在投稿信和所有宣传性文本中保持不变。 证据位置：Abstract；Results 的 independence ladder；Discussion；Conclusion。</w:t>
      </w:r>
    </w:p>
    <w:p>
      <w:pPr>
        <w:spacing w:after="120" w:line="276" w:lineRule="auto"/>
      </w:pPr>
      <w:r>
        <w:rPr>
          <w:b/>
        </w:rPr>
        <w:t>2. 方法原语与系统能力的区分。</w:t>
      </w:r>
      <w:r>
        <w:t>能力矩阵已明确 DCS-OPCT 不是新的 alignment、calibration 或 certification 原语，并以端到端能力组合定位创新。OPCT 软目标、正斜率约束、正则项和参数范围均已公式化；两个变换也已改称 separately constructed，并明确其一致性不是统计独立确认。该问题已充分解决。 证据位置：Table 1；Methods Stage III，Eqs. 6--7。</w:t>
      </w:r>
    </w:p>
    <w:p>
      <w:pPr>
        <w:pStyle w:val="Heading2"/>
      </w:pPr>
      <w:r>
        <w:t>次要问题</w:t>
      </w:r>
    </w:p>
    <w:p>
      <w:pPr>
        <w:spacing w:after="120" w:line="276" w:lineRule="auto"/>
      </w:pPr>
      <w:r>
        <w:t>1. 投稿题目、Highlights 和 cover letter 应继续使用 audit-risk calibration 或 risk-controlled release，不再使用 safe cross-domain transfer。</w:t>
      </w:r>
    </w:p>
    <w:p>
      <w:pPr>
        <w:spacing w:after="120" w:line="276" w:lineRule="auto"/>
      </w:pPr>
      <w:r>
        <w:t>2. 避免把 return-original 写成 successful adaptation；现有图注已经采用正确语义。</w:t>
      </w:r>
    </w:p>
    <w:p>
      <w:r>
        <w:rPr>
          <w:b/>
        </w:rPr>
        <w:t>置信度：高</w:t>
      </w:r>
    </w:p>
    <w:p>
      <w:pPr>
        <w:pStyle w:val="Heading1"/>
      </w:pPr>
      <w:r>
        <w:t>审稿人 2 统计与实验设计</w:t>
      </w:r>
    </w:p>
    <w:p>
      <w:pPr>
        <w:pStyle w:val="Heading2"/>
      </w:pPr>
      <w:r>
        <w:t>整体点评</w:t>
      </w:r>
    </w:p>
    <w:p>
      <w:pPr>
        <w:spacing w:after="120" w:line="276" w:lineRule="auto"/>
      </w:pPr>
      <w:r>
        <w:t>作者已增加完整剂量 cluster、较高层聚合敏感性、端点 bootstrap、匹配预算比较和训练行完全分离实验，统计透明度明显改善。剩余限制主要来自独立数据集数量和单次 15/15 原始分区，而不是检验实现错误。</w:t>
      </w:r>
    </w:p>
    <w:p>
      <w:pPr>
        <w:pStyle w:val="Heading2"/>
      </w:pPr>
      <w:r>
        <w:t>主要问题</w:t>
      </w:r>
    </w:p>
    <w:p>
      <w:pPr>
        <w:spacing w:after="120" w:line="276" w:lineRule="auto"/>
      </w:pPr>
      <w:r>
        <w:rPr>
          <w:b/>
        </w:rPr>
        <w:t>1. 独立域样本量仍为两个。</w:t>
      </w:r>
      <w:r>
        <w:t>Stage II 冻结风险模型的真正独立训练域只有 DEAP 和 MAHNOB-HCI。480 个配置不能替代 dataset-level n=2。稿件已在 Limitations 中明确这一层级，并报告七域后验重拟合未通过预设门控；因此现有结果应被解释为机制驱动的开发证据，而非稳定的跨域参数估计。增加新的预先保留兼容域仍是根本解决办法。 证据位置：Methods Stage II；Results risk transfer；Limitations 第一项。</w:t>
      </w:r>
    </w:p>
    <w:p>
      <w:pPr>
        <w:spacing w:after="120" w:line="276" w:lineRule="auto"/>
      </w:pPr>
      <w:r>
        <w:rPr>
          <w:b/>
        </w:rPr>
        <w:t>2. 端点测量误差与阈值意义。</w:t>
      </w:r>
      <w:r>
        <w:t>交叉 participant/stimulus bootstrap 显示几乎所有源配置区间跨越 0.02，且无 LCB event。作者已把 0.02 限定为冻结的工程阈值而非生理状态，并用 soft-label 分析检验动作方向。该处理足以回答不确定性意见，但不支持阈值最优性或机制系数稳定性。 证据位置：Methods endpoint sensitivity；Supplementary Tables S24--S25；Limitations 第三项。</w:t>
      </w:r>
    </w:p>
    <w:p>
      <w:pPr>
        <w:spacing w:after="120" w:line="276" w:lineRule="auto"/>
      </w:pPr>
      <w:r>
        <w:rPr>
          <w:b/>
        </w:rPr>
        <w:t>3. 完整分区结果只有一次人口划分。</w:t>
      </w:r>
      <w:r>
        <w:t>15/15 parity split 严格关闭了跨人口训练重叠，21/21 验证也确认实现正确；但它仍是单数据集单划分。当前文本已将其限定为 sensitivity，而不是独立效应估计。除非重新进行多次预先规定的人口划分，否则不宜给出该门控停止概率或普遍稳定性结论。 证据位置：Methods raw-partition-first sensitivity；Figure 3；Supplementary Table S23。</w:t>
      </w:r>
    </w:p>
    <w:p>
      <w:pPr>
        <w:pStyle w:val="Heading2"/>
      </w:pPr>
      <w:r>
        <w:t>次要问题</w:t>
      </w:r>
    </w:p>
    <w:p>
      <w:pPr>
        <w:spacing w:after="120" w:line="276" w:lineRule="auto"/>
      </w:pPr>
      <w:r>
        <w:t>1. 100 个 audit orderings 应始终称为固定数据条件下的 allocation sensitivity，不能称为独立重复。</w:t>
      </w:r>
    </w:p>
    <w:p>
      <w:pPr>
        <w:spacing w:after="120" w:line="276" w:lineRule="auto"/>
      </w:pPr>
      <w:r>
        <w:t>2. 主文已移除 post-hoc 20% 单元的选择细节，完整检验应继续保留在 Supplementary。</w:t>
      </w:r>
    </w:p>
    <w:p>
      <w:r>
        <w:rPr>
          <w:b/>
        </w:rPr>
        <w:t>置信度：高</w:t>
      </w:r>
    </w:p>
    <w:p>
      <w:pPr>
        <w:pStyle w:val="Heading1"/>
      </w:pPr>
      <w:r>
        <w:t>审稿人 3 生物医学信号与外部有效性</w:t>
      </w:r>
    </w:p>
    <w:p>
      <w:pPr>
        <w:pStyle w:val="Heading2"/>
      </w:pPr>
      <w:r>
        <w:t>整体点评</w:t>
      </w:r>
    </w:p>
    <w:p>
      <w:pPr>
        <w:spacing w:after="120" w:line="276" w:lineRule="auto"/>
      </w:pPr>
      <w:r>
        <w:t>EPPVR 的设备、ADS1299 前端、右耳参考与 ground、基线、采样结构、伦理审批和书面同意已得到报告，并且论文明确研究对象是 benchmark configuration audit risk，而非直接改善患者或用户的情绪预测。真正未闭合的是成功的前瞻外部有效释放。</w:t>
      </w:r>
    </w:p>
    <w:p>
      <w:pPr>
        <w:pStyle w:val="Heading2"/>
      </w:pPr>
      <w:r>
        <w:t>主要问题</w:t>
      </w:r>
    </w:p>
    <w:p>
      <w:pPr>
        <w:spacing w:after="120" w:line="276" w:lineRule="auto"/>
      </w:pPr>
      <w:r>
        <w:rPr>
          <w:b/>
        </w:rPr>
        <w:t>1. 缺少成功的预先冻结外部 release。</w:t>
      </w:r>
      <w:r>
        <w:t>AVDOS-VR 和 FACED 是 post-access exploratory，EEGEmotions-27 在无标签适用性门控处停止，AMIGOS 与 Emognition 又因数据访问尚未执行。故当前没有一个未参与开发的兼容域在冻结规则下通过全部门控并产生有效非 identity action。该缺口不能通过补写文本消除，只能通过取得预先保留数据并一次性执行已锁定协议解决。 证据位置：Methods evidence roles；Results external boundaries；Limitations 最后一项。</w:t>
      </w:r>
    </w:p>
    <w:p>
      <w:pPr>
        <w:spacing w:after="120" w:line="276" w:lineRule="auto"/>
      </w:pPr>
      <w:r>
        <w:rPr>
          <w:b/>
        </w:rPr>
        <w:t>2. 跨数据集标签构念差异。</w:t>
      </w:r>
      <w:r>
        <w:t>正文已说明不同域使用 participant-rated dimensions 或 category contrasts，Supplementary Table S1 给出 endpoint ontology 和排除规则。DCS-OPCT 迁移的是局部定义后形成的配置级 material-optimism event，而不是直接合并情绪标签。该限制已经透明化，但仍要求未来外部确认使用兼容且预先声明的 endpoint。 证据位置：Methods Study endpoint and evidence roles；Supplementary Table S1。</w:t>
      </w:r>
    </w:p>
    <w:p>
      <w:pPr>
        <w:pStyle w:val="Heading2"/>
      </w:pPr>
      <w:r>
        <w:t>次要问题</w:t>
      </w:r>
    </w:p>
    <w:p>
      <w:pPr>
        <w:spacing w:after="120" w:line="276" w:lineRule="auto"/>
      </w:pPr>
      <w:r>
        <w:t>1. 正式投稿前应依据伦理批件确认伦理委员会官方英文名称。</w:t>
      </w:r>
    </w:p>
    <w:p>
      <w:pPr>
        <w:spacing w:after="120" w:line="276" w:lineRule="auto"/>
      </w:pPr>
      <w:r>
        <w:t>2. channels 5--9 的确切顺序只有在采集记录可核实时再补充，不能根据通道数量推测。</w:t>
      </w:r>
    </w:p>
    <w:p>
      <w:r>
        <w:rPr>
          <w:b/>
        </w:rPr>
        <w:t>置信度：高</w:t>
      </w:r>
    </w:p>
    <w:p>
      <w:pPr>
        <w:pStyle w:val="Heading1"/>
      </w:pPr>
      <w:r>
        <w:t>审稿人 4 复现性与图表呈现</w:t>
      </w:r>
    </w:p>
    <w:p>
      <w:pPr>
        <w:pStyle w:val="Heading2"/>
      </w:pPr>
      <w:r>
        <w:t>整体点评</w:t>
      </w:r>
    </w:p>
    <w:p>
      <w:pPr>
        <w:spacing w:after="120" w:line="276" w:lineRule="auto"/>
      </w:pPr>
      <w:r>
        <w:t>稿件具有异常完整的工程审计链：GPU 运行、进度条、固定随机种子、冻结哈希、失败记录、9,760 行拟合溯源、独立验证和 252 文件复现清单。新独立性阶梯图清楚展示证据收缩，LaTeX 日志和关键页面也已通过版面检查。</w:t>
      </w:r>
    </w:p>
    <w:p>
      <w:pPr>
        <w:pStyle w:val="Heading2"/>
      </w:pPr>
      <w:r>
        <w:t>主要问题</w:t>
      </w:r>
    </w:p>
    <w:p>
      <w:pPr>
        <w:spacing w:after="120" w:line="276" w:lineRule="auto"/>
      </w:pPr>
      <w:r>
        <w:rPr>
          <w:b/>
        </w:rPr>
        <w:t>1. 匿名代码入口尚未填入。</w:t>
      </w:r>
      <w:r>
        <w:t>内部复现链已经通过 23/23 inventory checks 和 14/14 reviewer-closure checks，但稿件仍只有 repository URL 或 DOI 的作者 TODO。审稿人无法从本地路径访问这些证据。正式投稿前必须建立匿名只读仓库或归档 DOI，并确认受限数据只发布许可允许的派生物。 证据位置：Data and code availability；README；Supplementary Reproducibility。</w:t>
      </w:r>
    </w:p>
    <w:p>
      <w:pPr>
        <w:spacing w:after="120" w:line="276" w:lineRule="auto"/>
      </w:pPr>
      <w:r>
        <w:rPr>
          <w:b/>
        </w:rPr>
        <w:t>2. 主文信息密度仍高。</w:t>
      </w:r>
      <w:r>
        <w:t>主文曾包含大量开发史、比较器和边界分析。最终修订已将重复的 cross-fit stress-test 和 same-ceiling comparator 图移入 42 页 Supplementary，主文由 43 页降至 42 页，并保留三阶段主线、独立性阶梯、预算风险和外部边界。该项已在不改变结果的前提下完成；进一步压缩属于编辑性优化。 证据位置：Results 全节；Figures 1--10。</w:t>
      </w:r>
    </w:p>
    <w:p>
      <w:pPr>
        <w:pStyle w:val="Heading2"/>
      </w:pPr>
      <w:r>
        <w:t>次要问题</w:t>
      </w:r>
    </w:p>
    <w:p>
      <w:pPr>
        <w:spacing w:after="120" w:line="276" w:lineRule="auto"/>
      </w:pPr>
      <w:r>
        <w:t>1. 补充材料 Table S23 字体较小但未裁切；最终双栏排版时需重新检查可读性。</w:t>
      </w:r>
    </w:p>
    <w:p>
      <w:pPr>
        <w:spacing w:after="120" w:line="276" w:lineRule="auto"/>
      </w:pPr>
      <w:r>
        <w:t>2. Funding statement 仍需作者确认；若无专项资助，应给出明确 no specific funding 声明。</w:t>
      </w:r>
    </w:p>
    <w:p>
      <w:r>
        <w:rPr>
          <w:b/>
        </w:rPr>
        <w:t>置信度：高</w:t>
      </w:r>
    </w:p>
    <w:p>
      <w:pPr>
        <w:pStyle w:val="Heading1"/>
      </w:pPr>
      <w:r>
        <w:t>跨审稿意见汇总</w:t>
      </w:r>
    </w:p>
    <w:p>
      <w:r>
        <w:rPr>
          <w:b/>
        </w:rPr>
        <w:t>Cc.1 外部有效性仍是唯一实质性科学缺口</w:t>
      </w:r>
      <w:r>
        <w:t xml:space="preserve"> | 提出者：审稿人 1、2、3 | 轴：clinical-validity | 严重性：Major</w:t>
      </w:r>
    </w:p>
    <w:p>
      <w:pPr>
        <w:spacing w:after="120" w:line="276" w:lineRule="auto"/>
      </w:pPr>
      <w:r>
        <w:t>完整数据隔离验证了 fail-closed 执行，却没有产生正向 release。要升级为前瞻有效跨域框架，仍需预先保留的兼容外部域。</w:t>
      </w:r>
    </w:p>
    <w:p>
      <w:r>
        <w:rPr>
          <w:b/>
        </w:rPr>
        <w:t>Cc.2 结论必须服从独立性阶梯</w:t>
      </w:r>
      <w:r>
        <w:t xml:space="preserve"> | 提出者：审稿人 1、2、3 | 轴：claim-moderation | 严重性：Major</w:t>
      </w:r>
    </w:p>
    <w:p>
      <w:pPr>
        <w:spacing w:after="120" w:line="276" w:lineRule="auto"/>
      </w:pPr>
      <w:r>
        <w:t>正向证据从 transductive 到 raw-test-group separation 逐步收缩，最强分离层级为 non-intervention。当前稿件已经正确限定，投稿材料不得放宽。</w:t>
      </w:r>
    </w:p>
    <w:p>
      <w:r>
        <w:rPr>
          <w:b/>
        </w:rPr>
        <w:t>Cc.3 投稿前仍需公开入口和作者确认</w:t>
      </w:r>
      <w:r>
        <w:t xml:space="preserve"> | 提出者：审稿人 3、4 | 轴：reproducibility | 严重性：Major</w:t>
      </w:r>
    </w:p>
    <w:p>
      <w:pPr>
        <w:spacing w:after="120" w:line="276" w:lineRule="auto"/>
      </w:pPr>
      <w:r>
        <w:t>匿名仓库或 DOI、Funding statement、伦理英文名称和可核实通道顺序属于作者依赖项目，不能由计算分析替代。</w:t>
      </w:r>
    </w:p>
    <w:p>
      <w:pPr>
        <w:pStyle w:val="Heading1"/>
      </w:pPr>
      <w:r>
        <w:t>修订任务表</w:t>
      </w:r>
    </w:p>
    <w:tbl>
      <w:tblPr>
        <w:tblStyle w:val="TableGrid"/>
        <w:tblW w:type="auto" w:w="0"/>
        <w:tblLayout w:type="autofit"/>
        <w:tblLook w:firstColumn="1" w:firstRow="1" w:lastColumn="0" w:lastRow="0" w:noHBand="0" w:noVBand="1" w:val="04A0"/>
      </w:tblPr>
      <w:tblGrid>
        <w:gridCol w:w="1176"/>
        <w:gridCol w:w="1176"/>
        <w:gridCol w:w="1176"/>
        <w:gridCol w:w="1176"/>
        <w:gridCol w:w="1176"/>
        <w:gridCol w:w="1176"/>
        <w:gridCol w:w="1176"/>
        <w:gridCol w:w="1176"/>
      </w:tblGrid>
      <w:tr>
        <w:trPr>
          <w:tblHeader w:val="true"/>
          <w:cantSplit/>
        </w:trPr>
        <w:tc>
          <w:tcPr>
            <w:tcW w:type="dxa" w:w="1176"/>
            <w:shd w:fill="1F4E78"/>
            <w:vAlign w:val="center"/>
          </w:tcPr>
          <w:p>
            <w:r>
              <w:rPr>
                <w:b/>
                <w:color w:val="FFFFFF"/>
                <w:sz w:val="16"/>
              </w:rPr>
              <w:t>ID</w:t>
            </w:r>
          </w:p>
        </w:tc>
        <w:tc>
          <w:tcPr>
            <w:tcW w:type="dxa" w:w="1176"/>
            <w:shd w:fill="1F4E78"/>
            <w:vAlign w:val="center"/>
          </w:tcPr>
          <w:p>
            <w:r>
              <w:rPr>
                <w:b/>
                <w:color w:val="FFFFFF"/>
                <w:sz w:val="16"/>
              </w:rPr>
              <w:t>审稿人</w:t>
            </w:r>
          </w:p>
        </w:tc>
        <w:tc>
          <w:tcPr>
            <w:tcW w:type="dxa" w:w="1176"/>
            <w:shd w:fill="1F4E78"/>
            <w:vAlign w:val="center"/>
          </w:tcPr>
          <w:p>
            <w:r>
              <w:rPr>
                <w:b/>
                <w:color w:val="FFFFFF"/>
                <w:sz w:val="16"/>
              </w:rPr>
              <w:t>问题</w:t>
            </w:r>
          </w:p>
        </w:tc>
        <w:tc>
          <w:tcPr>
            <w:tcW w:type="dxa" w:w="1176"/>
            <w:shd w:fill="1F4E78"/>
            <w:vAlign w:val="center"/>
          </w:tcPr>
          <w:p>
            <w:r>
              <w:rPr>
                <w:b/>
                <w:color w:val="FFFFFF"/>
                <w:sz w:val="16"/>
              </w:rPr>
              <w:t>策略</w:t>
            </w:r>
          </w:p>
        </w:tc>
        <w:tc>
          <w:tcPr>
            <w:tcW w:type="dxa" w:w="1176"/>
            <w:shd w:fill="1F4E78"/>
            <w:vAlign w:val="center"/>
          </w:tcPr>
          <w:p>
            <w:r>
              <w:rPr>
                <w:b/>
                <w:color w:val="FFFFFF"/>
                <w:sz w:val="16"/>
              </w:rPr>
              <w:t>状态</w:t>
            </w:r>
          </w:p>
        </w:tc>
        <w:tc>
          <w:tcPr>
            <w:tcW w:type="dxa" w:w="1176"/>
            <w:shd w:fill="1F4E78"/>
            <w:vAlign w:val="center"/>
          </w:tcPr>
          <w:p>
            <w:r>
              <w:rPr>
                <w:b/>
                <w:color w:val="FFFFFF"/>
                <w:sz w:val="16"/>
              </w:rPr>
              <w:t>所需输入</w:t>
            </w:r>
          </w:p>
        </w:tc>
        <w:tc>
          <w:tcPr>
            <w:tcW w:type="dxa" w:w="1176"/>
            <w:shd w:fill="1F4E78"/>
            <w:vAlign w:val="center"/>
          </w:tcPr>
          <w:p>
            <w:r>
              <w:rPr>
                <w:b/>
                <w:color w:val="FFFFFF"/>
                <w:sz w:val="16"/>
              </w:rPr>
              <w:t>预期输出</w:t>
            </w:r>
          </w:p>
        </w:tc>
        <w:tc>
          <w:tcPr>
            <w:tcW w:type="dxa" w:w="1176"/>
            <w:shd w:fill="1F4E78"/>
            <w:vAlign w:val="center"/>
          </w:tcPr>
          <w:p>
            <w:r>
              <w:rPr>
                <w:b/>
                <w:color w:val="FFFFFF"/>
                <w:sz w:val="16"/>
              </w:rPr>
              <w:t>阻塞</w:t>
            </w:r>
          </w:p>
        </w:tc>
      </w:tr>
      <w:tr>
        <w:trPr>
          <w:cantSplit/>
        </w:trPr>
        <w:tc>
          <w:tcPr>
            <w:tcW w:type="dxa" w:w="1176"/>
            <w:vAlign w:val="center"/>
          </w:tcPr>
          <w:p>
            <w:pPr>
              <w:spacing w:after="40"/>
            </w:pPr>
            <w:r>
              <w:rPr>
                <w:sz w:val="15"/>
              </w:rPr>
              <w:t>T1</w:t>
            </w:r>
          </w:p>
        </w:tc>
        <w:tc>
          <w:tcPr>
            <w:tcW w:type="dxa" w:w="1176"/>
            <w:vAlign w:val="center"/>
          </w:tcPr>
          <w:p>
            <w:pPr>
              <w:spacing w:after="40"/>
            </w:pPr>
            <w:r>
              <w:rPr>
                <w:sz w:val="15"/>
              </w:rPr>
              <w:t>R1/R2/R3</w:t>
            </w:r>
          </w:p>
        </w:tc>
        <w:tc>
          <w:tcPr>
            <w:tcW w:type="dxa" w:w="1176"/>
            <w:vAlign w:val="center"/>
          </w:tcPr>
          <w:p>
            <w:pPr>
              <w:spacing w:after="40"/>
            </w:pPr>
            <w:r>
              <w:rPr>
                <w:sz w:val="15"/>
              </w:rPr>
              <w:t>完成预先冻结的兼容外部 one-shot</w:t>
            </w:r>
          </w:p>
        </w:tc>
        <w:tc>
          <w:tcPr>
            <w:tcW w:type="dxa" w:w="1176"/>
            <w:vAlign w:val="center"/>
          </w:tcPr>
          <w:p>
            <w:pPr>
              <w:spacing w:after="40"/>
            </w:pPr>
            <w:r>
              <w:rPr>
                <w:sz w:val="15"/>
              </w:rPr>
              <w:t>按既有 lock 一次执行并保留全部结果</w:t>
            </w:r>
          </w:p>
        </w:tc>
        <w:tc>
          <w:tcPr>
            <w:tcW w:type="dxa" w:w="1176"/>
            <w:vAlign w:val="center"/>
          </w:tcPr>
          <w:p>
            <w:pPr>
              <w:spacing w:after="40"/>
            </w:pPr>
            <w:r>
              <w:rPr>
                <w:sz w:val="15"/>
              </w:rPr>
              <w:t>TODO_EXPERIMENT</w:t>
            </w:r>
          </w:p>
        </w:tc>
        <w:tc>
          <w:tcPr>
            <w:tcW w:type="dxa" w:w="1176"/>
            <w:vAlign w:val="center"/>
          </w:tcPr>
          <w:p>
            <w:pPr>
              <w:spacing w:after="40"/>
            </w:pPr>
            <w:r>
              <w:rPr>
                <w:sz w:val="15"/>
              </w:rPr>
              <w:t>AMIGOS 或 Emognition 授权数据</w:t>
            </w:r>
          </w:p>
        </w:tc>
        <w:tc>
          <w:tcPr>
            <w:tcW w:type="dxa" w:w="1176"/>
            <w:vAlign w:val="center"/>
          </w:tcPr>
          <w:p>
            <w:pPr>
              <w:spacing w:after="40"/>
            </w:pPr>
            <w:r>
              <w:rPr>
                <w:sz w:val="15"/>
              </w:rPr>
              <w:t>非 identity effectiveness 或诚实 failure receipt</w:t>
            </w:r>
          </w:p>
        </w:tc>
        <w:tc>
          <w:tcPr>
            <w:tcW w:type="dxa" w:w="1176"/>
            <w:vAlign w:val="center"/>
          </w:tcPr>
          <w:p>
            <w:pPr>
              <w:spacing w:after="40"/>
            </w:pPr>
            <w:r>
              <w:rPr>
                <w:sz w:val="15"/>
              </w:rPr>
              <w:t>Yes</w:t>
            </w:r>
          </w:p>
        </w:tc>
      </w:tr>
      <w:tr>
        <w:trPr>
          <w:cantSplit/>
        </w:trPr>
        <w:tc>
          <w:tcPr>
            <w:tcW w:type="dxa" w:w="1176"/>
            <w:vAlign w:val="center"/>
            <w:shd w:fill="EAF2F8"/>
          </w:tcPr>
          <w:p>
            <w:pPr>
              <w:spacing w:after="40"/>
            </w:pPr>
            <w:r>
              <w:rPr>
                <w:sz w:val="15"/>
              </w:rPr>
              <w:t>T2</w:t>
            </w:r>
          </w:p>
        </w:tc>
        <w:tc>
          <w:tcPr>
            <w:tcW w:type="dxa" w:w="1176"/>
            <w:vAlign w:val="center"/>
            <w:shd w:fill="EAF2F8"/>
          </w:tcPr>
          <w:p>
            <w:pPr>
              <w:spacing w:after="40"/>
            </w:pPr>
            <w:r>
              <w:rPr>
                <w:sz w:val="15"/>
              </w:rPr>
              <w:t>R1/R2/R3</w:t>
            </w:r>
          </w:p>
        </w:tc>
        <w:tc>
          <w:tcPr>
            <w:tcW w:type="dxa" w:w="1176"/>
            <w:vAlign w:val="center"/>
            <w:shd w:fill="EAF2F8"/>
          </w:tcPr>
          <w:p>
            <w:pPr>
              <w:spacing w:after="40"/>
            </w:pPr>
            <w:r>
              <w:rPr>
                <w:sz w:val="15"/>
              </w:rPr>
              <w:t>保持收紧后的 claim boundary</w:t>
            </w:r>
          </w:p>
        </w:tc>
        <w:tc>
          <w:tcPr>
            <w:tcW w:type="dxa" w:w="1176"/>
            <w:vAlign w:val="center"/>
            <w:shd w:fill="EAF2F8"/>
          </w:tcPr>
          <w:p>
            <w:pPr>
              <w:spacing w:after="40"/>
            </w:pPr>
            <w:r>
              <w:rPr>
                <w:sz w:val="15"/>
              </w:rPr>
              <w:t>同步 title abstract highlights cover letter</w:t>
            </w:r>
          </w:p>
        </w:tc>
        <w:tc>
          <w:tcPr>
            <w:tcW w:type="dxa" w:w="1176"/>
            <w:vAlign w:val="center"/>
            <w:shd w:fill="EAF2F8"/>
          </w:tcPr>
          <w:p>
            <w:pPr>
              <w:spacing w:after="40"/>
            </w:pPr>
            <w:r>
              <w:rPr>
                <w:sz w:val="15"/>
              </w:rPr>
              <w:t>DONE</w:t>
            </w:r>
          </w:p>
        </w:tc>
        <w:tc>
          <w:tcPr>
            <w:tcW w:type="dxa" w:w="1176"/>
            <w:vAlign w:val="center"/>
            <w:shd w:fill="EAF2F8"/>
          </w:tcPr>
          <w:p>
            <w:pPr>
              <w:spacing w:after="40"/>
            </w:pPr>
            <w:r>
              <w:rPr>
                <w:sz w:val="15"/>
              </w:rPr>
              <w:t>无需新数据</w:t>
            </w:r>
          </w:p>
        </w:tc>
        <w:tc>
          <w:tcPr>
            <w:tcW w:type="dxa" w:w="1176"/>
            <w:vAlign w:val="center"/>
            <w:shd w:fill="EAF2F8"/>
          </w:tcPr>
          <w:p>
            <w:pPr>
              <w:spacing w:after="40"/>
            </w:pPr>
            <w:r>
              <w:rPr>
                <w:sz w:val="15"/>
              </w:rPr>
              <w:t>不宣称普遍安全或外部有效性</w:t>
            </w:r>
          </w:p>
        </w:tc>
        <w:tc>
          <w:tcPr>
            <w:tcW w:type="dxa" w:w="1176"/>
            <w:vAlign w:val="center"/>
            <w:shd w:fill="EAF2F8"/>
          </w:tcPr>
          <w:p>
            <w:pPr>
              <w:spacing w:after="40"/>
            </w:pPr>
            <w:r>
              <w:rPr>
                <w:sz w:val="15"/>
              </w:rPr>
              <w:t>No</w:t>
            </w:r>
          </w:p>
        </w:tc>
      </w:tr>
      <w:tr>
        <w:trPr>
          <w:cantSplit/>
        </w:trPr>
        <w:tc>
          <w:tcPr>
            <w:tcW w:type="dxa" w:w="1176"/>
            <w:vAlign w:val="center"/>
          </w:tcPr>
          <w:p>
            <w:pPr>
              <w:spacing w:after="40"/>
            </w:pPr>
            <w:r>
              <w:rPr>
                <w:sz w:val="15"/>
              </w:rPr>
              <w:t>T3</w:t>
            </w:r>
          </w:p>
        </w:tc>
        <w:tc>
          <w:tcPr>
            <w:tcW w:type="dxa" w:w="1176"/>
            <w:vAlign w:val="center"/>
          </w:tcPr>
          <w:p>
            <w:pPr>
              <w:spacing w:after="40"/>
            </w:pPr>
            <w:r>
              <w:rPr>
                <w:sz w:val="15"/>
              </w:rPr>
              <w:t>R1</w:t>
            </w:r>
          </w:p>
        </w:tc>
        <w:tc>
          <w:tcPr>
            <w:tcW w:type="dxa" w:w="1176"/>
            <w:vAlign w:val="center"/>
          </w:tcPr>
          <w:p>
            <w:pPr>
              <w:spacing w:after="40"/>
            </w:pPr>
            <w:r>
              <w:rPr>
                <w:sz w:val="15"/>
              </w:rPr>
              <w:t>补全 OPCT 方程和 witness 关系</w:t>
            </w:r>
          </w:p>
        </w:tc>
        <w:tc>
          <w:tcPr>
            <w:tcW w:type="dxa" w:w="1176"/>
            <w:vAlign w:val="center"/>
          </w:tcPr>
          <w:p>
            <w:pPr>
              <w:spacing w:after="40"/>
            </w:pPr>
            <w:r>
              <w:rPr>
                <w:sz w:val="15"/>
              </w:rPr>
              <w:t>公式化并声明非统计独立</w:t>
            </w:r>
          </w:p>
        </w:tc>
        <w:tc>
          <w:tcPr>
            <w:tcW w:type="dxa" w:w="1176"/>
            <w:vAlign w:val="center"/>
          </w:tcPr>
          <w:p>
            <w:pPr>
              <w:spacing w:after="40"/>
            </w:pPr>
            <w:r>
              <w:rPr>
                <w:sz w:val="15"/>
              </w:rPr>
              <w:t>DONE</w:t>
            </w:r>
          </w:p>
        </w:tc>
        <w:tc>
          <w:tcPr>
            <w:tcW w:type="dxa" w:w="1176"/>
            <w:vAlign w:val="center"/>
          </w:tcPr>
          <w:p>
            <w:pPr>
              <w:spacing w:after="40"/>
            </w:pPr>
            <w:r>
              <w:rPr>
                <w:sz w:val="15"/>
              </w:rPr>
              <w:t>无需新数据</w:t>
            </w:r>
          </w:p>
        </w:tc>
        <w:tc>
          <w:tcPr>
            <w:tcW w:type="dxa" w:w="1176"/>
            <w:vAlign w:val="center"/>
          </w:tcPr>
          <w:p>
            <w:pPr>
              <w:spacing w:after="40"/>
            </w:pPr>
            <w:r>
              <w:rPr>
                <w:sz w:val="15"/>
              </w:rPr>
              <w:t>Methods Eqs. 6--7</w:t>
            </w:r>
          </w:p>
        </w:tc>
        <w:tc>
          <w:tcPr>
            <w:tcW w:type="dxa" w:w="1176"/>
            <w:vAlign w:val="center"/>
          </w:tcPr>
          <w:p>
            <w:pPr>
              <w:spacing w:after="40"/>
            </w:pPr>
            <w:r>
              <w:rPr>
                <w:sz w:val="15"/>
              </w:rPr>
              <w:t>No</w:t>
            </w:r>
          </w:p>
        </w:tc>
      </w:tr>
      <w:tr>
        <w:trPr>
          <w:cantSplit/>
        </w:trPr>
        <w:tc>
          <w:tcPr>
            <w:tcW w:type="dxa" w:w="1176"/>
            <w:vAlign w:val="center"/>
            <w:shd w:fill="EAF2F8"/>
          </w:tcPr>
          <w:p>
            <w:pPr>
              <w:spacing w:after="40"/>
            </w:pPr>
            <w:r>
              <w:rPr>
                <w:sz w:val="15"/>
              </w:rPr>
              <w:t>T4</w:t>
            </w:r>
          </w:p>
        </w:tc>
        <w:tc>
          <w:tcPr>
            <w:tcW w:type="dxa" w:w="1176"/>
            <w:vAlign w:val="center"/>
            <w:shd w:fill="EAF2F8"/>
          </w:tcPr>
          <w:p>
            <w:pPr>
              <w:spacing w:after="40"/>
            </w:pPr>
            <w:r>
              <w:rPr>
                <w:sz w:val="15"/>
              </w:rPr>
              <w:t>R2</w:t>
            </w:r>
          </w:p>
        </w:tc>
        <w:tc>
          <w:tcPr>
            <w:tcW w:type="dxa" w:w="1176"/>
            <w:vAlign w:val="center"/>
            <w:shd w:fill="EAF2F8"/>
          </w:tcPr>
          <w:p>
            <w:pPr>
              <w:spacing w:after="40"/>
            </w:pPr>
            <w:r>
              <w:rPr>
                <w:sz w:val="15"/>
              </w:rPr>
              <w:t>关闭训练数据重叠质疑</w:t>
            </w:r>
          </w:p>
        </w:tc>
        <w:tc>
          <w:tcPr>
            <w:tcW w:type="dxa" w:w="1176"/>
            <w:vAlign w:val="center"/>
            <w:shd w:fill="EAF2F8"/>
          </w:tcPr>
          <w:p>
            <w:pPr>
              <w:spacing w:after="40"/>
            </w:pPr>
            <w:r>
              <w:rPr>
                <w:sz w:val="15"/>
              </w:rPr>
              <w:t>15/15 raw-partition-first GPU 重建</w:t>
            </w:r>
          </w:p>
        </w:tc>
        <w:tc>
          <w:tcPr>
            <w:tcW w:type="dxa" w:w="1176"/>
            <w:vAlign w:val="center"/>
            <w:shd w:fill="EAF2F8"/>
          </w:tcPr>
          <w:p>
            <w:pPr>
              <w:spacing w:after="40"/>
            </w:pPr>
            <w:r>
              <w:rPr>
                <w:sz w:val="15"/>
              </w:rPr>
              <w:t>DONE</w:t>
            </w:r>
          </w:p>
        </w:tc>
        <w:tc>
          <w:tcPr>
            <w:tcW w:type="dxa" w:w="1176"/>
            <w:vAlign w:val="center"/>
            <w:shd w:fill="EAF2F8"/>
          </w:tcPr>
          <w:p>
            <w:pPr>
              <w:spacing w:after="40"/>
            </w:pPr>
            <w:r>
              <w:rPr>
                <w:sz w:val="15"/>
              </w:rPr>
              <w:t>EPPVR 原始数据</w:t>
            </w:r>
          </w:p>
        </w:tc>
        <w:tc>
          <w:tcPr>
            <w:tcW w:type="dxa" w:w="1176"/>
            <w:vAlign w:val="center"/>
            <w:shd w:fill="EAF2F8"/>
          </w:tcPr>
          <w:p>
            <w:pPr>
              <w:spacing w:after="40"/>
            </w:pPr>
            <w:r>
              <w:rPr>
                <w:sz w:val="15"/>
              </w:rPr>
              <w:t>9,600 fits 和 21/21 validation</w:t>
            </w:r>
          </w:p>
        </w:tc>
        <w:tc>
          <w:tcPr>
            <w:tcW w:type="dxa" w:w="1176"/>
            <w:vAlign w:val="center"/>
            <w:shd w:fill="EAF2F8"/>
          </w:tcPr>
          <w:p>
            <w:pPr>
              <w:spacing w:after="40"/>
            </w:pPr>
            <w:r>
              <w:rPr>
                <w:sz w:val="15"/>
              </w:rPr>
              <w:t>No</w:t>
            </w:r>
          </w:p>
        </w:tc>
      </w:tr>
      <w:tr>
        <w:trPr>
          <w:cantSplit/>
        </w:trPr>
        <w:tc>
          <w:tcPr>
            <w:tcW w:type="dxa" w:w="1176"/>
            <w:vAlign w:val="center"/>
          </w:tcPr>
          <w:p>
            <w:pPr>
              <w:spacing w:after="40"/>
            </w:pPr>
            <w:r>
              <w:rPr>
                <w:sz w:val="15"/>
              </w:rPr>
              <w:t>T5</w:t>
            </w:r>
          </w:p>
        </w:tc>
        <w:tc>
          <w:tcPr>
            <w:tcW w:type="dxa" w:w="1176"/>
            <w:vAlign w:val="center"/>
          </w:tcPr>
          <w:p>
            <w:pPr>
              <w:spacing w:after="40"/>
            </w:pPr>
            <w:r>
              <w:rPr>
                <w:sz w:val="15"/>
              </w:rPr>
              <w:t>R2</w:t>
            </w:r>
          </w:p>
        </w:tc>
        <w:tc>
          <w:tcPr>
            <w:tcW w:type="dxa" w:w="1176"/>
            <w:vAlign w:val="center"/>
          </w:tcPr>
          <w:p>
            <w:pPr>
              <w:spacing w:after="40"/>
            </w:pPr>
            <w:r>
              <w:rPr>
                <w:sz w:val="15"/>
              </w:rPr>
              <w:t>传播 0.02 endpoint 测量误差</w:t>
            </w:r>
          </w:p>
        </w:tc>
        <w:tc>
          <w:tcPr>
            <w:tcW w:type="dxa" w:w="1176"/>
            <w:vAlign w:val="center"/>
          </w:tcPr>
          <w:p>
            <w:pPr>
              <w:spacing w:after="40"/>
            </w:pPr>
            <w:r>
              <w:rPr>
                <w:sz w:val="15"/>
              </w:rPr>
              <w:t>paired crossed bootstrap 与 soft labels</w:t>
            </w:r>
          </w:p>
        </w:tc>
        <w:tc>
          <w:tcPr>
            <w:tcW w:type="dxa" w:w="1176"/>
            <w:vAlign w:val="center"/>
          </w:tcPr>
          <w:p>
            <w:pPr>
              <w:spacing w:after="40"/>
            </w:pPr>
            <w:r>
              <w:rPr>
                <w:sz w:val="15"/>
              </w:rPr>
              <w:t>DONE</w:t>
            </w:r>
          </w:p>
        </w:tc>
        <w:tc>
          <w:tcPr>
            <w:tcW w:type="dxa" w:w="1176"/>
            <w:vAlign w:val="center"/>
          </w:tcPr>
          <w:p>
            <w:pPr>
              <w:spacing w:after="40"/>
            </w:pPr>
            <w:r>
              <w:rPr>
                <w:sz w:val="15"/>
              </w:rPr>
              <w:t>现有预测</w:t>
            </w:r>
          </w:p>
        </w:tc>
        <w:tc>
          <w:tcPr>
            <w:tcW w:type="dxa" w:w="1176"/>
            <w:vAlign w:val="center"/>
          </w:tcPr>
          <w:p>
            <w:pPr>
              <w:spacing w:after="40"/>
            </w:pPr>
            <w:r>
              <w:rPr>
                <w:sz w:val="15"/>
              </w:rPr>
              <w:t>不确定性表与限定结论</w:t>
            </w:r>
          </w:p>
        </w:tc>
        <w:tc>
          <w:tcPr>
            <w:tcW w:type="dxa" w:w="1176"/>
            <w:vAlign w:val="center"/>
          </w:tcPr>
          <w:p>
            <w:pPr>
              <w:spacing w:after="40"/>
            </w:pPr>
            <w:r>
              <w:rPr>
                <w:sz w:val="15"/>
              </w:rPr>
              <w:t>No</w:t>
            </w:r>
          </w:p>
        </w:tc>
      </w:tr>
      <w:tr>
        <w:trPr>
          <w:cantSplit/>
        </w:trPr>
        <w:tc>
          <w:tcPr>
            <w:tcW w:type="dxa" w:w="1176"/>
            <w:vAlign w:val="center"/>
            <w:shd w:fill="EAF2F8"/>
          </w:tcPr>
          <w:p>
            <w:pPr>
              <w:spacing w:after="40"/>
            </w:pPr>
            <w:r>
              <w:rPr>
                <w:sz w:val="15"/>
              </w:rPr>
              <w:t>T6</w:t>
            </w:r>
          </w:p>
        </w:tc>
        <w:tc>
          <w:tcPr>
            <w:tcW w:type="dxa" w:w="1176"/>
            <w:vAlign w:val="center"/>
            <w:shd w:fill="EAF2F8"/>
          </w:tcPr>
          <w:p>
            <w:pPr>
              <w:spacing w:after="40"/>
            </w:pPr>
            <w:r>
              <w:rPr>
                <w:sz w:val="15"/>
              </w:rPr>
              <w:t>R4</w:t>
            </w:r>
          </w:p>
        </w:tc>
        <w:tc>
          <w:tcPr>
            <w:tcW w:type="dxa" w:w="1176"/>
            <w:vAlign w:val="center"/>
            <w:shd w:fill="EAF2F8"/>
          </w:tcPr>
          <w:p>
            <w:pPr>
              <w:spacing w:after="40"/>
            </w:pPr>
            <w:r>
              <w:rPr>
                <w:sz w:val="15"/>
              </w:rPr>
              <w:t>发布匿名复现入口</w:t>
            </w:r>
          </w:p>
        </w:tc>
        <w:tc>
          <w:tcPr>
            <w:tcW w:type="dxa" w:w="1176"/>
            <w:vAlign w:val="center"/>
            <w:shd w:fill="EAF2F8"/>
          </w:tcPr>
          <w:p>
            <w:pPr>
              <w:spacing w:after="40"/>
            </w:pPr>
            <w:r>
              <w:rPr>
                <w:sz w:val="15"/>
              </w:rPr>
              <w:t>只读仓库或归档 DOI</w:t>
            </w:r>
          </w:p>
        </w:tc>
        <w:tc>
          <w:tcPr>
            <w:tcW w:type="dxa" w:w="1176"/>
            <w:vAlign w:val="center"/>
            <w:shd w:fill="EAF2F8"/>
          </w:tcPr>
          <w:p>
            <w:pPr>
              <w:spacing w:after="40"/>
            </w:pPr>
            <w:r>
              <w:rPr>
                <w:sz w:val="15"/>
              </w:rPr>
              <w:t>TODO_AUTHOR_CONFIRM</w:t>
            </w:r>
          </w:p>
        </w:tc>
        <w:tc>
          <w:tcPr>
            <w:tcW w:type="dxa" w:w="1176"/>
            <w:vAlign w:val="center"/>
            <w:shd w:fill="EAF2F8"/>
          </w:tcPr>
          <w:p>
            <w:pPr>
              <w:spacing w:after="40"/>
            </w:pPr>
            <w:r>
              <w:rPr>
                <w:sz w:val="15"/>
              </w:rPr>
              <w:t>公开位置与许可确认</w:t>
            </w:r>
          </w:p>
        </w:tc>
        <w:tc>
          <w:tcPr>
            <w:tcW w:type="dxa" w:w="1176"/>
            <w:vAlign w:val="center"/>
            <w:shd w:fill="EAF2F8"/>
          </w:tcPr>
          <w:p>
            <w:pPr>
              <w:spacing w:after="40"/>
            </w:pPr>
            <w:r>
              <w:rPr>
                <w:sz w:val="15"/>
              </w:rPr>
              <w:t>Data and code availability URL</w:t>
            </w:r>
          </w:p>
        </w:tc>
        <w:tc>
          <w:tcPr>
            <w:tcW w:type="dxa" w:w="1176"/>
            <w:vAlign w:val="center"/>
            <w:shd w:fill="EAF2F8"/>
          </w:tcPr>
          <w:p>
            <w:pPr>
              <w:spacing w:after="40"/>
            </w:pPr>
            <w:r>
              <w:rPr>
                <w:sz w:val="15"/>
              </w:rPr>
              <w:t>Yes</w:t>
            </w:r>
          </w:p>
        </w:tc>
      </w:tr>
      <w:tr>
        <w:trPr>
          <w:cantSplit/>
        </w:trPr>
        <w:tc>
          <w:tcPr>
            <w:tcW w:type="dxa" w:w="1176"/>
            <w:vAlign w:val="center"/>
          </w:tcPr>
          <w:p>
            <w:pPr>
              <w:spacing w:after="40"/>
            </w:pPr>
            <w:r>
              <w:rPr>
                <w:sz w:val="15"/>
              </w:rPr>
              <w:t>T7</w:t>
            </w:r>
          </w:p>
        </w:tc>
        <w:tc>
          <w:tcPr>
            <w:tcW w:type="dxa" w:w="1176"/>
            <w:vAlign w:val="center"/>
          </w:tcPr>
          <w:p>
            <w:pPr>
              <w:spacing w:after="40"/>
            </w:pPr>
            <w:r>
              <w:rPr>
                <w:sz w:val="15"/>
              </w:rPr>
              <w:t>R3/R4</w:t>
            </w:r>
          </w:p>
        </w:tc>
        <w:tc>
          <w:tcPr>
            <w:tcW w:type="dxa" w:w="1176"/>
            <w:vAlign w:val="center"/>
          </w:tcPr>
          <w:p>
            <w:pPr>
              <w:spacing w:after="40"/>
            </w:pPr>
            <w:r>
              <w:rPr>
                <w:sz w:val="15"/>
              </w:rPr>
              <w:t>确认投稿元数据</w:t>
            </w:r>
          </w:p>
        </w:tc>
        <w:tc>
          <w:tcPr>
            <w:tcW w:type="dxa" w:w="1176"/>
            <w:vAlign w:val="center"/>
          </w:tcPr>
          <w:p>
            <w:pPr>
              <w:spacing w:after="40"/>
            </w:pPr>
            <w:r>
              <w:rPr>
                <w:sz w:val="15"/>
              </w:rPr>
              <w:t>核对伦理英文名与 Funding</w:t>
            </w:r>
          </w:p>
        </w:tc>
        <w:tc>
          <w:tcPr>
            <w:tcW w:type="dxa" w:w="1176"/>
            <w:vAlign w:val="center"/>
          </w:tcPr>
          <w:p>
            <w:pPr>
              <w:spacing w:after="40"/>
            </w:pPr>
            <w:r>
              <w:rPr>
                <w:sz w:val="15"/>
              </w:rPr>
              <w:t>TODO_AUTHOR_CONFIRM</w:t>
            </w:r>
          </w:p>
        </w:tc>
        <w:tc>
          <w:tcPr>
            <w:tcW w:type="dxa" w:w="1176"/>
            <w:vAlign w:val="center"/>
          </w:tcPr>
          <w:p>
            <w:pPr>
              <w:spacing w:after="40"/>
            </w:pPr>
            <w:r>
              <w:rPr>
                <w:sz w:val="15"/>
              </w:rPr>
              <w:t>伦理批件和资助信息</w:t>
            </w:r>
          </w:p>
        </w:tc>
        <w:tc>
          <w:tcPr>
            <w:tcW w:type="dxa" w:w="1176"/>
            <w:vAlign w:val="center"/>
          </w:tcPr>
          <w:p>
            <w:pPr>
              <w:spacing w:after="40"/>
            </w:pPr>
            <w:r>
              <w:rPr>
                <w:sz w:val="15"/>
              </w:rPr>
              <w:t>最终 ethics 和 funding statements</w:t>
            </w:r>
          </w:p>
        </w:tc>
        <w:tc>
          <w:tcPr>
            <w:tcW w:type="dxa" w:w="1176"/>
            <w:vAlign w:val="center"/>
          </w:tcPr>
          <w:p>
            <w:pPr>
              <w:spacing w:after="40"/>
            </w:pPr>
            <w:r>
              <w:rPr>
                <w:sz w:val="15"/>
              </w:rPr>
              <w:t>Yes</w:t>
            </w:r>
          </w:p>
        </w:tc>
      </w:tr>
      <w:tr>
        <w:trPr>
          <w:cantSplit/>
        </w:trPr>
        <w:tc>
          <w:tcPr>
            <w:tcW w:type="dxa" w:w="1176"/>
            <w:vAlign w:val="center"/>
            <w:shd w:fill="EAF2F8"/>
          </w:tcPr>
          <w:p>
            <w:pPr>
              <w:spacing w:after="40"/>
            </w:pPr>
            <w:r>
              <w:rPr>
                <w:sz w:val="15"/>
              </w:rPr>
              <w:t>T8</w:t>
            </w:r>
          </w:p>
        </w:tc>
        <w:tc>
          <w:tcPr>
            <w:tcW w:type="dxa" w:w="1176"/>
            <w:vAlign w:val="center"/>
            <w:shd w:fill="EAF2F8"/>
          </w:tcPr>
          <w:p>
            <w:pPr>
              <w:spacing w:after="40"/>
            </w:pPr>
            <w:r>
              <w:rPr>
                <w:sz w:val="15"/>
              </w:rPr>
              <w:t>R4</w:t>
            </w:r>
          </w:p>
        </w:tc>
        <w:tc>
          <w:tcPr>
            <w:tcW w:type="dxa" w:w="1176"/>
            <w:vAlign w:val="center"/>
            <w:shd w:fill="EAF2F8"/>
          </w:tcPr>
          <w:p>
            <w:pPr>
              <w:spacing w:after="40"/>
            </w:pPr>
            <w:r>
              <w:rPr>
                <w:sz w:val="15"/>
              </w:rPr>
              <w:t>压缩主文信息负载</w:t>
            </w:r>
          </w:p>
        </w:tc>
        <w:tc>
          <w:tcPr>
            <w:tcW w:type="dxa" w:w="1176"/>
            <w:vAlign w:val="center"/>
            <w:shd w:fill="EAF2F8"/>
          </w:tcPr>
          <w:p>
            <w:pPr>
              <w:spacing w:after="40"/>
            </w:pPr>
            <w:r>
              <w:rPr>
                <w:sz w:val="15"/>
              </w:rPr>
              <w:t>将重复诊断图移至补充材料，保留核心图</w:t>
            </w:r>
          </w:p>
        </w:tc>
        <w:tc>
          <w:tcPr>
            <w:tcW w:type="dxa" w:w="1176"/>
            <w:vAlign w:val="center"/>
            <w:shd w:fill="EAF2F8"/>
          </w:tcPr>
          <w:p>
            <w:pPr>
              <w:spacing w:after="40"/>
            </w:pPr>
            <w:r>
              <w:rPr>
                <w:sz w:val="15"/>
              </w:rPr>
              <w:t>DONE</w:t>
            </w:r>
          </w:p>
        </w:tc>
        <w:tc>
          <w:tcPr>
            <w:tcW w:type="dxa" w:w="1176"/>
            <w:vAlign w:val="center"/>
            <w:shd w:fill="EAF2F8"/>
          </w:tcPr>
          <w:p>
            <w:pPr>
              <w:spacing w:after="40"/>
            </w:pPr>
            <w:r>
              <w:rPr>
                <w:sz w:val="15"/>
              </w:rPr>
              <w:t>无需新数据</w:t>
            </w:r>
          </w:p>
        </w:tc>
        <w:tc>
          <w:tcPr>
            <w:tcW w:type="dxa" w:w="1176"/>
            <w:vAlign w:val="center"/>
            <w:shd w:fill="EAF2F8"/>
          </w:tcPr>
          <w:p>
            <w:pPr>
              <w:spacing w:after="40"/>
            </w:pPr>
            <w:r>
              <w:rPr>
                <w:sz w:val="15"/>
              </w:rPr>
              <w:t>更紧凑的投稿稿</w:t>
            </w:r>
          </w:p>
        </w:tc>
        <w:tc>
          <w:tcPr>
            <w:tcW w:type="dxa" w:w="1176"/>
            <w:vAlign w:val="center"/>
            <w:shd w:fill="EAF2F8"/>
          </w:tcPr>
          <w:p>
            <w:pPr>
              <w:spacing w:after="40"/>
            </w:pPr>
            <w:r>
              <w:rPr>
                <w:sz w:val="15"/>
              </w:rPr>
              <w:t>No</w:t>
            </w:r>
          </w:p>
        </w:tc>
      </w:tr>
    </w:tbl>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nature-review-studio | 2026-09-14 | dcs-opct-v11-final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