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a4"/>
      </w:pPr>
      <w:r>
        <w:rPr>
          <w:rFonts w:ascii="맑은 고딕" w:hAnsi="맑은 고딕" w:eastAsia="맑은 고딕" w:cs="맑은 고딕"/>
          <w:b/>
          <w:color w:val="000000"/>
          <w:sz w:val="32"/>
        </w:rPr>
        <w:t>분석개요</w:t>
      </w:r>
    </w:p>
    <w:p>
      <w:pPr>
        <w:pStyle w:val="a5"/>
      </w:pPr>
      <w:r>
        <w:rPr>
          <w:rFonts w:ascii="맑은 고딕" w:hAnsi="맑은 고딕" w:eastAsia="맑은 고딕" w:cs="맑은 고딕"/>
          <w:color w:val="000000"/>
          <w:sz w:val="23"/>
        </w:rPr>
        <w:t>청년 대졸자의 첫 일자리 시도 선택과 시도별 필요 임금 프리미엄: 2015·2020년 GOMS pooled mixed logit with control function</w:t>
      </w:r>
    </w:p>
    <w:p>
      <w:pPr>
        <w:pStyle w:val="1"/>
      </w:pPr>
      <w:r>
        <w:rPr>
          <w:rFonts w:ascii="맑은 고딕" w:hAnsi="맑은 고딕" w:eastAsia="맑은 고딕" w:cs="맑은 고딕"/>
          <w:b/>
          <w:color w:val="000000"/>
          <w:sz w:val="25"/>
        </w:rPr>
        <w:t>1. 연구 목적과 핵심 질문</w:t>
      </w:r>
    </w:p>
    <w:p>
      <w:pPr>
        <w:pStyle w:val="FirstParagraph"/>
        <w:spacing w:line="312" w:lineRule="auto" w:after="40"/>
        <w:jc w:val="both"/>
      </w:pPr>
      <w:r>
        <w:rPr>
          <w:rFonts w:ascii="맑은 고딕" w:hAnsi="맑은 고딕" w:eastAsia="맑은 고딕" w:cs="맑은 고딕"/>
          <w:color w:val="000000"/>
          <w:sz w:val="21"/>
        </w:rPr>
        <w:t>본 연구는 2015년과 2020년 대졸자직업이동경로조사(GOMS)를 결합하여 청년 대졸자의 첫 일자리 시도 선택을 분석한다. 핵심 연구질문은 임금이 지역 선택에 유의한 영향을 미치는지 확인하는 데 그치지 않는다. 본 연구가 직접 측정하려는 대상은 각 비서울 시도가 청년 대졸자의 평균 선택확률을 서울보다 높이기 위해 필요한 최소 임금 인상률이다. 이 지표를 시도별 wage-equivalent attraction premium으로 정의한다.</w:t>
      </w:r>
    </w:p>
    <w:p>
      <w:pPr>
        <w:pStyle w:val="a0"/>
        <w:spacing w:line="312" w:lineRule="auto" w:after="40"/>
        <w:jc w:val="both"/>
      </w:pPr>
      <w:r>
        <w:rPr>
          <w:rFonts w:ascii="맑은 고딕" w:hAnsi="맑은 고딕" w:eastAsia="맑은 고딕" w:cs="맑은 고딕"/>
          <w:color w:val="000000"/>
          <w:sz w:val="21"/>
        </w:rPr>
        <w:t>분석은 노동시장 진입기에 발생하는 최초의 공간적 배치에 초점을 둔다. GOMS는 최근 대학 졸업자의 교육경로, 고교 및 대학 소재지, 첫 일자리의 소재지와 산업, 개인 특성을 함께 관측한다. 따라서 지역 임금기회와 교육과정에서 형성된 지역연고가 첫 일자리 입지선택에 미치는 영향을 동일한 선택모형 안에서 분석할 수 있다. 특히 고교 소재지 일치와 대학 소재지 일치를 분리하여, 청년의 지역선택이 단일한 고향 선호로 환원되지 않고 서로 다른 교육단계의 장소특정적 연고에 의해 달라질 수 있음을 검토한다.</w:t>
      </w:r>
    </w:p>
    <w:p>
      <w:pPr>
        <w:pStyle w:val="a0"/>
        <w:spacing w:line="312" w:lineRule="auto" w:after="40"/>
        <w:jc w:val="both"/>
      </w:pPr>
      <w:r>
        <w:rPr>
          <w:rFonts w:ascii="맑은 고딕" w:hAnsi="맑은 고딕" w:eastAsia="맑은 고딕" w:cs="맑은 고딕"/>
          <w:color w:val="000000"/>
          <w:sz w:val="21"/>
        </w:rPr>
        <w:t>연구의 기여는 네 가지다. 첫째, 16개 시도권을 선택대안으로 설정하여 지역별 청년유치 난이도를 임금 비율로 직접 비교한다. 둘째, 후보 시도별 임금기회를 개인의 첫 일자리 산업과 연령집단에 맞추어 구성하고, 셀 임금의 내생성을 leave-one-out external wage instrument와 control-function 방식으로 보정한다. 셋째, 임금, 고교 소재지 일치, 대학 소재지 일치에 대한 개인 간 선호 이질성을 mixed logit으로 추정한다. 넷째, 전체 표본과 서울 고교 출신 및 서울 소재 대학 출신 집단에서 시도별 필요 임금 프리미엄을 별도로 산출하여, 서울과의 교육연고가 비서울 지역의 청년유치 비용을 얼마나 높이는지 제시한다.</w:t>
      </w:r>
    </w:p>
    <w:p>
      <w:pPr>
        <w:pStyle w:val="a0"/>
        <w:spacing w:line="312" w:lineRule="auto" w:after="40"/>
        <w:jc w:val="both"/>
      </w:pPr>
      <w:r>
        <w:rPr>
          <w:rFonts w:ascii="맑은 고딕" w:hAnsi="맑은 고딕" w:eastAsia="맑은 고딕" w:cs="맑은 고딕"/>
          <w:color w:val="000000"/>
          <w:sz w:val="21"/>
        </w:rPr>
        <w:t>추정된 프리미엄은 임금보조정책의 일반균형 효과가 아니다. 기업의 노동수요, 일자리 수, 직무구성, 주거비, 지역 어메니티와 장기 기대를 고정한 상태에서, 현재 추정된 선택구조하에서 특정 시도의 평균 선택확률이 서울의 평균 선택확률을 넘어서는 데 필요한 부분균형적 임금보상이다. 결과는 실제 균형임금이나 정책집행 후 이동량이 아니라 worker-side attraction threshold로 해석한다.</w:t>
      </w:r>
    </w:p>
    <w:p>
      <w:pPr>
        <w:pStyle w:val="1"/>
      </w:pPr>
      <w:r>
        <w:rPr>
          <w:rFonts w:ascii="맑은 고딕" w:hAnsi="맑은 고딕" w:eastAsia="맑은 고딕" w:cs="맑은 고딕"/>
          <w:b/>
          <w:color w:val="000000"/>
          <w:sz w:val="25"/>
        </w:rPr>
        <w:t>2. 기존 설계 대비 핵심 변경</w:t>
      </w:r>
    </w:p>
    <w:p>
      <w:pPr>
        <w:pStyle w:val="FirstParagraph"/>
        <w:spacing w:line="312" w:lineRule="auto" w:after="40"/>
        <w:jc w:val="both"/>
      </w:pPr>
      <w:r>
        <w:rPr>
          <w:rFonts w:ascii="맑은 고딕" w:hAnsi="맑은 고딕" w:eastAsia="맑은 고딕" w:cs="맑은 고딕"/>
          <w:color w:val="000000"/>
          <w:sz w:val="21"/>
        </w:rPr>
        <w:t>현재 분석은 인구주택총조사 기반의 청년 임금근로자 배치 분석에서 GOMS 기반의 청년 대졸자 첫 일자리 선택 분석으로 전환되었다. 이에 따라 표본, 지역연고 변수, 임금기회 매칭과 시뮬레이션의 목표가 다음과 같이 변경된다.</w:t>
      </w:r>
    </w:p>
    <w:tbl>
      <w:tblPr>
        <w:tblStyle w:val="Table"/>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474"/>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구분</w:t>
            </w:r>
          </w:p>
        </w:tc>
        <w:tc>
          <w:tcPr>
            <w:tcW w:type="dxa" w:w="3458"/>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기존 설계</w:t>
            </w:r>
          </w:p>
        </w:tc>
        <w:tc>
          <w:tcPr>
            <w:tcW w:type="dxa" w:w="4535"/>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현재 설계</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개인자료</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2015·2020년 인구주택총조사</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2015·2020년 GOMS</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분석대상</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청년 임금근로자의 관측 근무지 배치</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20–34세 대졸자의 첫 일자리 시도 선택</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지역연고</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출생 시도 일치</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고교 소재지 일치와 대학 소재지 일치</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개인 통제</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연령, 성별, 혼인, 교육수준</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센터링 연령, 성별, STEM 전공, 대학유형, 표준화 GPA</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임금기회</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시도×산업×연도</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시도×첫 일자리 산업×연령집단×연도</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선택모형</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출생지 일치 중심 pooled mixed logit</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임금·고교일치·대학일치 random coefficients를 포함한 pooled mixed logit</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핵심 시뮬레이션</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선택확률 1%p 상승 또는 서울 parity</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각 시도의 선택확률이 서울을 최초로 초과하는 최소 임금 인상률</w:t>
            </w:r>
          </w:p>
        </w:tc>
      </w:tr>
      <w:tr>
        <w:tc>
          <w:tcPr>
            <w:tcW w:type="dxa" w:w="147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연고 시뮬레이션</w:t>
            </w:r>
          </w:p>
        </w:tc>
        <w:tc>
          <w:tcPr>
            <w:tcW w:type="dxa" w:w="345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수도권 출생 여부</w:t>
            </w:r>
          </w:p>
        </w:tc>
        <w:tc>
          <w:tcPr>
            <w:tcW w:type="dxa" w:w="453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 고교 출신과 서울 소재 대학 출신을 각각 분석</w:t>
            </w:r>
          </w:p>
        </w:tc>
      </w:tr>
    </w:tbl>
    <w:p>
      <w:pPr>
        <w:pStyle w:val="a0"/>
        <w:spacing w:after="40"/>
      </w:pPr>
    </w:p>
    <w:p>
      <w:pPr>
        <w:pStyle w:val="1"/>
      </w:pPr>
      <w:r>
        <w:rPr>
          <w:rFonts w:ascii="맑은 고딕" w:hAnsi="맑은 고딕" w:eastAsia="맑은 고딕" w:cs="맑은 고딕"/>
          <w:b/>
          <w:color w:val="000000"/>
          <w:sz w:val="25"/>
        </w:rPr>
        <w:t>3. 표본 구성과 선택대안</w:t>
      </w:r>
    </w:p>
    <w:p>
      <w:pPr>
        <w:pStyle w:val="a0"/>
        <w:spacing w:line="312" w:lineRule="auto" w:after="40"/>
        <w:jc w:val="both"/>
      </w:pPr>
      <w:r>
        <w:rPr>
          <w:rFonts w:ascii="맑은 고딕" w:hAnsi="맑은 고딕" w:eastAsia="맑은 고딕" w:cs="맑은 고딕"/>
          <w:color w:val="000000"/>
          <w:sz w:val="21"/>
        </w:rPr>
        <w:t>개인자료는 2015년과 2020년 GOMS를 이용한다. 본표본은 조사시점 기준 20–34세이며, 첫 일자리의 종사상 지위가 상용, 임시 또는 일용 임금근로자인 응답자로 제한한다. 현재 직장이 첫 일자리인 경우에는 현 직장 문항에서 첫 일자리 소재지와 산업을 가져오고, 이직한 경우에는 과거 첫 일자리 문항에서 해당 정보를 가져온다. 첫 일자리 소재지 또는 산업이 결측인 관측치는 제외한다. 임금패널과의 일관성을 위해 농림어업, 광업, 가구 내 고용활동 및 국제·외국기관 산업은 제외하고 C–S 대분류 산업을 사용한다.</w:t>
      </w:r>
    </w:p>
    <w:p>
      <w:pPr>
        <w:pStyle w:val="a0"/>
        <w:spacing w:line="312" w:lineRule="auto" w:after="40"/>
        <w:jc w:val="both"/>
      </w:pPr>
      <w:r>
        <w:rPr>
          <w:rFonts w:ascii="맑은 고딕" w:hAnsi="맑은 고딕" w:eastAsia="맑은 고딕" w:cs="맑은 고딕"/>
          <w:color w:val="000000"/>
          <w:sz w:val="21"/>
        </w:rPr>
        <w:t>분석단위는 개인 i, 조사연도 t, 후보 시도 j의 개인-대안 관측치다. 각 개인은 16개의 후보 시도에 대해 16개 행을 가지며, 실제 첫 일자리 소재지에 해당하는 행에서만 선택변수 decision이 1이다. 2015년과 2020년 원자료의 개인번호 중복을 방지하기 위해 연도와 개인번호를 결합한 subject_pool을 선택상황 식별자로 사용한다.</w:t>
      </w:r>
    </w:p>
    <w:p>
      <w:pPr>
        <w:pStyle w:val="a0"/>
        <w:spacing w:line="312" w:lineRule="auto" w:after="40"/>
        <w:jc w:val="both"/>
      </w:pPr>
      <w:r>
        <w:rPr>
          <w:rFonts w:ascii="맑은 고딕" w:hAnsi="맑은 고딕" w:eastAsia="맑은 고딕" w:cs="맑은 고딕"/>
          <w:color w:val="000000"/>
          <w:sz w:val="21"/>
        </w:rPr>
        <w:t>선택대안은 다음의 16개 시도권이다. 세종은 시계열 일관성과 임금셀의 안정성을 위해 충남과 병합하며, 서울을 기준대안으로 설정한다.</w:t>
      </w:r>
    </w:p>
    <w:tbl>
      <w:tblPr>
        <w:tblStyle w:val="Table"/>
        <w:tblW w:type="auto" w:w="0"/>
        <w:jc w:val="center"/>
        <w:tblLayout w:type="fixed"/>
        <w:tblLook w:firstColumn="1" w:firstRow="1" w:lastColumn="0" w:lastRow="0" w:noHBand="0" w:noVBand="1" w:val="04A0"/>
      </w:tblPr>
      <w:tblGrid>
        <w:gridCol w:w="2464"/>
        <w:gridCol w:w="2464"/>
        <w:gridCol w:w="2464"/>
        <w:gridCol w:w="2464"/>
      </w:tblGrid>
      <w:tr>
        <w:trPr>
          <w:tblHeader w:val="true"/>
        </w:trPr>
        <w:tc>
          <w:tcPr>
            <w:tcW w:type="dxa" w:w="850"/>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대안</w:t>
            </w:r>
          </w:p>
        </w:tc>
        <w:tc>
          <w:tcPr>
            <w:tcW w:type="dxa" w:w="1984"/>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시도권</w:t>
            </w:r>
          </w:p>
        </w:tc>
        <w:tc>
          <w:tcPr>
            <w:tcW w:type="dxa" w:w="2268"/>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원자료 시도코드</w:t>
            </w:r>
          </w:p>
        </w:tc>
        <w:tc>
          <w:tcPr>
            <w:tcW w:type="dxa" w:w="4309"/>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비고</w:t>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서울</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11</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기준대안</w:t>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부산</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21</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대구</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22</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4</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인천</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23</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5</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광주</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24</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6</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대전</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25</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7</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울산</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26</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8</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경기</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31</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9</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강원</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32</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10</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충북</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33</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11</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충남세종</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34, 29</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세종은 충남과 병합</w:t>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12</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전북</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35</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13</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전남</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36</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14</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경북</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37</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15</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경남</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38</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r>
        <w:tc>
          <w:tcPr>
            <w:tcW w:type="dxa" w:w="850"/>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16</w:t>
            </w:r>
          </w:p>
        </w:tc>
        <w:tc>
          <w:tcPr>
            <w:tcW w:type="dxa" w:w="198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제주</w:t>
            </w:r>
          </w:p>
        </w:tc>
        <w:tc>
          <w:tcPr>
            <w:tcW w:type="dxa" w:w="2268"/>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39</w:t>
            </w:r>
          </w:p>
        </w:tc>
        <w:tc>
          <w:tcPr>
            <w:tcW w:type="dxa" w:w="430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r>
          </w:p>
        </w:tc>
      </w:tr>
    </w:tbl>
    <w:p>
      <w:pPr>
        <w:pStyle w:val="a0"/>
        <w:spacing w:after="40"/>
      </w:pPr>
    </w:p>
    <w:p>
      <w:pPr>
        <w:pStyle w:val="1"/>
      </w:pPr>
      <w:r>
        <w:rPr>
          <w:rFonts w:ascii="맑은 고딕" w:hAnsi="맑은 고딕" w:eastAsia="맑은 고딕" w:cs="맑은 고딕"/>
          <w:b/>
          <w:color w:val="000000"/>
          <w:sz w:val="25"/>
        </w:rPr>
        <w:t>4. 주요 변수와 장기자료 구성</w:t>
      </w:r>
    </w:p>
    <w:p>
      <w:pPr>
        <w:pStyle w:val="a0"/>
        <w:spacing w:line="312" w:lineRule="auto" w:after="40"/>
        <w:jc w:val="both"/>
      </w:pPr>
      <w:r>
        <w:rPr>
          <w:rFonts w:ascii="맑은 고딕" w:hAnsi="맑은 고딕" w:eastAsia="맑은 고딕" w:cs="맑은 고딕"/>
          <w:color w:val="000000"/>
          <w:sz w:val="21"/>
        </w:rPr>
        <w:t>핵심 대안속성은 임금기회, control-function residual, 고교 소재지 일치, 대학 소재지 일치다. 개인특성은 대안 자체에서 변하지 않으므로 서울을 제외한 각 시도 대안더미와 상호작용시켜 포함한다. 연령은 25세를 중심으로 센터링하며, 성별은 남성 더미, 전공은 자연·공학계열 더미, 대학유형은 4년제 및 교육대학 대 전문대학, GPA는 대학별 만점척도를 이용해 0–1 범위로 표준화한다.</w:t>
      </w:r>
    </w:p>
    <w:tbl>
      <w:tblPr>
        <w:tblStyle w:val="Table"/>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71"/>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변수</w:t>
            </w:r>
          </w:p>
        </w:tc>
        <w:tc>
          <w:tcPr>
            <w:tcW w:type="dxa" w:w="4649"/>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정의</w:t>
            </w:r>
          </w:p>
        </w:tc>
        <w:tc>
          <w:tcPr>
            <w:tcW w:type="dxa" w:w="2778"/>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모형상 역할</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decision</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개인의 실제 첫 일자리 시도에서 1, 나머지 후보 시도에서 0</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종속변수</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wages</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후보 시도×첫 일자리 산업×연령집단×임금연도의 관측 평균임금. 선택자료에서는 100으로 나누어 사용</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핵심 대안속성, random coefficient</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res</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후보 시도 임금셀의 first-stage residual을 100으로 나눈 값</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임금 내생성 보정, 고정계수</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high</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후보 시도가 응답자의 고교 소재지와 같으면 1</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고교단계 지역연고, random coefficient</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college</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후보 시도가 응답자의 대학 소재지와 같으면 1</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대학단계 지역연고, random coefficient</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a2–a16</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서울을 제외한 시도별 대안상수항</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2015년 기준 비임금 상대매력</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a2_y2020–a16_y2020</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시도 대안상수항×2020년 더미</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 대비 시도별 비임금 매력의 시간변화</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y_wages, y_res, y_high, y_college</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각 핵심 대안속성×2020년 더미</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2020년 평균계수의 변화분</w:t>
            </w:r>
          </w:p>
        </w:tc>
      </w:tr>
      <w:tr>
        <w:tc>
          <w:tcPr>
            <w:tcW w:type="dxa" w:w="1871"/>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a_j_age, a_j_gender, a_j_major, a_j_edu, a_j_gpa</w:t>
            </w:r>
          </w:p>
        </w:tc>
        <w:tc>
          <w:tcPr>
            <w:tcW w:type="dxa" w:w="464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시도 대안더미와 개인특성의 상호작용</w:t>
            </w:r>
          </w:p>
        </w:tc>
        <w:tc>
          <w:tcPr>
            <w:tcW w:type="dxa" w:w="277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대안별 관측 이질성 통제</w:t>
            </w:r>
          </w:p>
        </w:tc>
      </w:tr>
    </w:tbl>
    <w:p>
      <w:pPr>
        <w:pStyle w:val="a0"/>
        <w:spacing w:after="40"/>
      </w:pPr>
    </w:p>
    <w:p>
      <w:pPr>
        <w:pStyle w:val="a0"/>
        <w:spacing w:line="312" w:lineRule="auto" w:after="40"/>
        <w:jc w:val="both"/>
      </w:pPr>
      <w:r>
        <w:rPr>
          <w:rFonts w:ascii="맑은 고딕" w:hAnsi="맑은 고딕" w:eastAsia="맑은 고딕" w:cs="맑은 고딕"/>
          <w:color w:val="000000"/>
          <w:sz w:val="21"/>
        </w:rPr>
        <w:t>연령집단은 20–24세, 25–29세, 30–34세의 세 구간으로 구성한다. 2015년 선택자료에는 2014년 임금기회와 residual을, 2020년 선택자료에는 2019년 값을 결합한다. 따라서 임금속성은 첫 일자리 선택보다 앞선 시점의 지역 노동시장 기회를 나타낸다. 개인의 첫 일자리 산업은 관측된 상태로 두고, 동일 산업과 연령집단에서 후보 시도별 임금기회가 달라질 때 지역선택이 어떻게 달라지는지를 추정한다.</w:t>
      </w:r>
    </w:p>
    <w:p>
      <w:pPr>
        <w:pStyle w:val="1"/>
      </w:pPr>
      <w:r>
        <w:rPr>
          <w:rFonts w:ascii="맑은 고딕" w:hAnsi="맑은 고딕" w:eastAsia="맑은 고딕" w:cs="맑은 고딕"/>
          <w:b/>
          <w:color w:val="000000"/>
          <w:sz w:val="25"/>
        </w:rPr>
        <w:t>5. 시도·산업·연령집단 임금과 control-function 보정</w:t>
      </w:r>
    </w:p>
    <w:p>
      <w:pPr>
        <w:pStyle w:val="a0"/>
        <w:spacing w:line="312" w:lineRule="auto" w:after="40"/>
        <w:jc w:val="both"/>
      </w:pPr>
      <w:r>
        <w:rPr>
          <w:rFonts w:ascii="맑은 고딕" w:hAnsi="맑은 고딕" w:eastAsia="맑은 고딕" w:cs="맑은 고딕"/>
          <w:color w:val="000000"/>
          <w:sz w:val="21"/>
        </w:rPr>
        <w:t>임금자료는 지역별고용조사를 이용해 시도, 산업, 연령집단, 연도 셀의 평균임금으로 구축한다. 셀 평균은 지역별고용조사 표본가중치를 적용해 산출하며, 선택모형에는 로그임금이 아닌 level wage를 사용한다. 이 선택은 반사실 시뮬레이션에서 특정 시도의 임금을 일정 비율 인상하는 실험을 직접 구현하기 위한 것이다.</w:t>
      </w:r>
    </w:p>
    <w:p>
      <w:pPr>
        <w:pStyle w:val="a0"/>
        <w:spacing w:line="312" w:lineRule="auto" w:after="40"/>
        <w:jc w:val="both"/>
      </w:pPr>
      <w:r>
        <w:rPr>
          <w:rFonts w:ascii="맑은 고딕" w:hAnsi="맑은 고딕" w:eastAsia="맑은 고딕" w:cs="맑은 고딕"/>
          <w:color w:val="000000"/>
          <w:sz w:val="21"/>
        </w:rPr>
        <w:t>시도별 임금은 외생적인 대안속성으로 보기 어렵다. 고임금 지역은 비관측 기업생산성, 직무의 질, 승진기회, 지역 어메니티 또는 노동수요 강도에서도 다를 수 있으며, 이 요인들은 첫 일자리 지역선택에도 직접 영향을 줄 수 있다. 주 first stage는 동일 산업과 연령집단의 타 시도 임금으로 구성한 leave-one-out external wage instrument를 사용한다. 자기 시도의 임금을 외부 임금지표에서 제외하여 동시적 지역충격이 도구변수에 기계적으로 포함되는 문제를 줄인다.</w:t>
      </w:r>
    </w:p>
    <w:p>
      <w:pPr>
        <w:pStyle w:val="a0"/>
        <w:spacing w:line="312" w:lineRule="auto" w:after="40"/>
        <w:jc w:val="both"/>
      </w:pPr>
      <w:r>
        <w:rPr>
          <w:rFonts w:ascii="맑은 고딕" w:hAnsi="맑은 고딕" w:eastAsia="맑은 고딕" w:cs="맑은 고딕"/>
          <w:color w:val="000000"/>
          <w:sz w:val="21"/>
        </w:rPr>
        <w:t>First stage는 장기 시도·산업·연령집단 임금패널에서 추정한다. 지역×산업 고정효과와 산업×연도 고정효과를 포함하고, 필요하면 초기 임금수준과 연도효과의 상호작용을 추가해 임금수렴 경로를 통제한다. 추정된 셀 임금 residual을 선택모형에 함께 포함한다. residual 계수의 유의성은 임금과 선택효용의 비관측 성분 사이에 상관이 존재할 가능성을 보여주지만, 도구변수의 배제제약을 독립적으로 입증하지는 않는다.</w:t>
      </w:r>
    </w:p>
    <w:p>
      <w:pPr>
        <w:pStyle w:val="Formula"/>
      </w:pPr>
      <w:r>
        <w:rPr>
          <w:rFonts w:ascii="맑은 고딕" w:hAnsi="맑은 고딕" w:eastAsia="맑은 고딕" w:cs="맑은 고딕"/>
          <w:color w:val="000000"/>
          <w:sz w:val="20"/>
        </w:rPr>
        <w:t>wagesᵢⱼₜ = observed level wage of province j × first-job industry × age group × matched wage year</w:t>
      </w:r>
    </w:p>
    <w:p>
      <w:pPr>
        <w:pStyle w:val="Formula"/>
      </w:pPr>
      <w:r>
        <w:rPr>
          <w:rFonts w:ascii="맑은 고딕" w:hAnsi="맑은 고딕" w:eastAsia="맑은 고딕" w:cs="맑은 고딕"/>
          <w:color w:val="000000"/>
          <w:sz w:val="20"/>
        </w:rPr>
        <w:t>resᵢⱼₜ = observed cell wage − first-stage fitted cell wage</w:t>
      </w:r>
    </w:p>
    <w:p>
      <w:pPr>
        <w:pStyle w:val="a0"/>
        <w:spacing w:line="312" w:lineRule="auto" w:after="40"/>
        <w:jc w:val="both"/>
      </w:pPr>
      <w:r>
        <w:rPr>
          <w:rFonts w:ascii="맑은 고딕" w:hAnsi="맑은 고딕" w:eastAsia="맑은 고딕" w:cs="맑은 고딕"/>
          <w:color w:val="000000"/>
          <w:sz w:val="21"/>
        </w:rPr>
        <w:t>이 residual은 개인 임금방정식의 잔차가 아니다. 선택되지 않은 후보 시도에서는 개인 임금을 관측할 수 없으므로, control-function 항은 후보 시도별 셀 임금의 first-stage residual이어야 한다. 반사실 시뮬레이션에서는 임금만 변화시키고 residual은 기준값으로 고정한다. 이는 비관측 기업의 질이나 지역 어메니티가 임금인상과 동시에 변하지 않는 부분균형 실험에 해당한다.</w:t>
      </w:r>
    </w:p>
    <w:p>
      <w:pPr>
        <w:pStyle w:val="1"/>
      </w:pPr>
      <w:r>
        <w:rPr>
          <w:rFonts w:ascii="맑은 고딕" w:hAnsi="맑은 고딕" w:eastAsia="맑은 고딕" w:cs="맑은 고딕"/>
          <w:b/>
          <w:color w:val="000000"/>
          <w:sz w:val="25"/>
        </w:rPr>
        <w:t>6. Pooled mixed logit 모형</w:t>
      </w:r>
    </w:p>
    <w:p>
      <w:pPr>
        <w:pStyle w:val="a0"/>
        <w:spacing w:line="312" w:lineRule="auto" w:after="40"/>
        <w:jc w:val="both"/>
      </w:pPr>
      <w:r>
        <w:rPr>
          <w:rFonts w:ascii="맑은 고딕" w:hAnsi="맑은 고딕" w:eastAsia="맑은 고딕" w:cs="맑은 고딕"/>
          <w:color w:val="000000"/>
          <w:sz w:val="21"/>
        </w:rPr>
        <w:t>2단계에서는 개인 i가 조사연도 t에 후보 시도 j를 첫 일자리 소재지로 선택할 때의 간접효용을 추정한다. 서울의 대안상수항과 개인특성 상호작용을 기준으로 정규화한다. 2015년을 기준연도로 두고, 핵심 대안속성과 시도별 대안상수항에 2020년 상호작용을 추가한다.</w:t>
      </w:r>
    </w:p>
    <w:p>
      <w:pPr>
        <w:pStyle w:val="Formula"/>
      </w:pPr>
      <w:r>
        <w:rPr>
          <w:rFonts w:ascii="맑은 고딕" w:hAnsi="맑은 고딕" w:eastAsia="맑은 고딕" w:cs="맑은 고딕"/>
          <w:color w:val="000000"/>
          <w:sz w:val="20"/>
        </w:rPr>
        <w:t>Vᵢⱼₜ = ASCⱼ + ASCⱼ×2020 + βWᵢ·wagesᵢⱼₜ + κW·(2020×wagesᵢⱼₜ) + λ·resᵢⱼₜ + κR·(2020×resᵢⱼₜ)</w:t>
      </w:r>
    </w:p>
    <w:p>
      <w:pPr>
        <w:pStyle w:val="Formula"/>
      </w:pPr>
      <w:r>
        <w:rPr>
          <w:rFonts w:ascii="맑은 고딕" w:hAnsi="맑은 고딕" w:eastAsia="맑은 고딕" w:cs="맑은 고딕"/>
          <w:color w:val="000000"/>
          <w:sz w:val="20"/>
        </w:rPr>
        <w:t xml:space="preserve">          + βHᵢ·highᵢⱼ + κH·(2020×highᵢⱼ) + βCᵢ·collegeᵢⱼ + κC·(2020×collegeᵢⱼ) + γⱼ′Zᵢ</w:t>
      </w:r>
    </w:p>
    <w:p>
      <w:pPr>
        <w:pStyle w:val="a0"/>
        <w:spacing w:line="312" w:lineRule="auto" w:after="40"/>
        <w:jc w:val="both"/>
      </w:pPr>
      <w:r>
        <w:rPr>
          <w:rFonts w:ascii="맑은 고딕" w:hAnsi="맑은 고딕" w:eastAsia="맑은 고딕" w:cs="맑은 고딕"/>
          <w:color w:val="000000"/>
          <w:sz w:val="21"/>
        </w:rPr>
        <w:t>임금, 고교 소재지 일치, 대학 소재지 일치의 계수는 독립적인 정규분포를 따른다고 가정한다. 현재 pooled 기본형은 각 변수의 평균효과가 2020년에 달라질 수 있도록 허용하되, random-coefficient 표준편차는 두 연도에 공통으로 둔다. 따라서 y_wages, y_high, y_college는 2020년 평균계수의 변화분이며, sd_wages, sd_high, sd_college는 2015년과 2020년 표본 전체에 공통인 선호 이질성의 크기다.</w:t>
      </w:r>
    </w:p>
    <w:p>
      <w:pPr>
        <w:pStyle w:val="Formula"/>
      </w:pPr>
      <w:r>
        <w:rPr>
          <w:rFonts w:ascii="맑은 고딕" w:hAnsi="맑은 고딕" w:eastAsia="맑은 고딕" w:cs="맑은 고딕"/>
          <w:color w:val="000000"/>
          <w:sz w:val="20"/>
        </w:rPr>
        <w:t>βWᵢ = βW + σWνWᵢ,   βHᵢ = βH + σHνHᵢ,   βCᵢ = βC + σCνCᵢ,   ν ~ N(0,1)</w:t>
      </w:r>
    </w:p>
    <w:p>
      <w:pPr>
        <w:pStyle w:val="a0"/>
        <w:spacing w:line="312" w:lineRule="auto" w:after="40"/>
        <w:jc w:val="both"/>
      </w:pPr>
      <w:r>
        <w:rPr>
          <w:rFonts w:ascii="맑은 고딕" w:hAnsi="맑은 고딕" w:eastAsia="맑은 고딕" w:cs="맑은 고딕"/>
          <w:color w:val="000000"/>
          <w:sz w:val="21"/>
        </w:rPr>
        <w:t>추정은 R의 logitr를 이용한 simulated maximum likelihood로 수행한다. 최종 본모형은 1,000개 simulation draws와 5개 multistart를 사용하고, robust variance-covariance matrix를 보고한다. 동일한 명세의 conditional logit을 기준모형으로 제시하며, 2015년과 2020년을 각각 별도로 추정한 mixed logit 결과를 시간비교의 보조 근거로 사용한다. 한 개인당 선택상황은 한 번이므로 random coefficients는 반복선택을 이용한 개인별 계수 추정이 아니라 표본 내 잠재적 선호분포를 나타낸다.</w:t>
      </w:r>
    </w:p>
    <w:p>
      <w:pPr>
        <w:pStyle w:val="1"/>
      </w:pPr>
      <w:r>
        <w:rPr>
          <w:rFonts w:ascii="맑은 고딕" w:hAnsi="맑은 고딕" w:eastAsia="맑은 고딕" w:cs="맑은 고딕"/>
          <w:b/>
          <w:color w:val="000000"/>
          <w:sz w:val="25"/>
        </w:rPr>
        <w:t>7. 반사실 시뮬레이션의 공통 원칙</w:t>
      </w:r>
    </w:p>
    <w:p>
      <w:pPr>
        <w:pStyle w:val="a0"/>
        <w:spacing w:line="312" w:lineRule="auto" w:after="40"/>
        <w:jc w:val="both"/>
      </w:pPr>
      <w:r>
        <w:rPr>
          <w:rFonts w:ascii="맑은 고딕" w:hAnsi="맑은 고딕" w:eastAsia="맑은 고딕" w:cs="맑은 고딕"/>
          <w:color w:val="000000"/>
          <w:sz w:val="21"/>
        </w:rPr>
        <w:t>반사실 시뮬레이션은 pooled 모형에서 2015년과 2020년의 효용구조를 각각 복원하여 수행한다. 각 연도의 관측 개인특성, 첫 일자리 산업, 연령집단, 고교와 대학 소재지를 그대로 유지한다. 특정 시도 j의 임금에만 비율 프리미엄 δ를 적용하고, 서울과 다른 시도의 임금, control-function residual, 대안상수항과 개인특성은 고정한다.</w:t>
      </w:r>
    </w:p>
    <w:p>
      <w:pPr>
        <w:pStyle w:val="Formula"/>
      </w:pPr>
      <w:r>
        <w:rPr>
          <w:rFonts w:ascii="맑은 고딕" w:hAnsi="맑은 고딕" w:eastAsia="맑은 고딕" w:cs="맑은 고딕"/>
          <w:color w:val="000000"/>
          <w:sz w:val="20"/>
        </w:rPr>
        <w:t>wageᶜᶠᵢⱼₜ(δ) = wageᵢⱼₜ × (1 + δ),   only for the targeted province j</w:t>
      </w:r>
    </w:p>
    <w:p>
      <w:pPr>
        <w:pStyle w:val="a0"/>
        <w:spacing w:line="312" w:lineRule="auto" w:after="40"/>
        <w:jc w:val="both"/>
      </w:pPr>
      <w:r>
        <w:rPr>
          <w:rFonts w:ascii="맑은 고딕" w:hAnsi="맑은 고딕" w:eastAsia="맑은 고딕" w:cs="맑은 고딕"/>
          <w:color w:val="000000"/>
          <w:sz w:val="21"/>
        </w:rPr>
        <w:t>모든 프리미엄 수준에서 동일한 random-coefficient draws를 사용한다. 이 common-draw 방식은 프리미엄 변화에 따른 예측확률 차이가 simulation noise에 의해 발생하는 문제를 줄인다. 각 개인의 선택확률을 random draws에 대해 평균한 뒤, 다시 분석표본의 개인에 대해 평균하여 시도별 평균 예측 선택확률을 계산한다. 본문 주 결과는 추정표본의 단순평균으로 제시하고, GOMS 표본가중치를 적용한 확률평균을 강건성 분석으로 비교한다.</w:t>
      </w:r>
    </w:p>
    <w:p>
      <w:pPr>
        <w:pStyle w:val="1"/>
      </w:pPr>
      <w:r>
        <w:rPr>
          <w:rFonts w:ascii="맑은 고딕" w:hAnsi="맑은 고딕" w:eastAsia="맑은 고딕" w:cs="맑은 고딕"/>
          <w:b/>
          <w:color w:val="000000"/>
          <w:sz w:val="25"/>
        </w:rPr>
        <w:t>8. 시뮬레이션 1: 전체 표본의 시도별 서울 parity premium</w:t>
      </w:r>
    </w:p>
    <w:p>
      <w:pPr>
        <w:pStyle w:val="a0"/>
        <w:spacing w:line="312" w:lineRule="auto" w:after="40"/>
        <w:jc w:val="both"/>
      </w:pPr>
      <w:r>
        <w:rPr>
          <w:rFonts w:ascii="맑은 고딕" w:hAnsi="맑은 고딕" w:eastAsia="맑은 고딕" w:cs="맑은 고딕"/>
          <w:color w:val="000000"/>
          <w:sz w:val="21"/>
        </w:rPr>
        <w:t>시뮬레이션 1은 전체 20–34세 분석표본을 이용한다. 서울을 제외한 각 시도 j에 대해 임금을 0%부터 순차적으로 높이며, 해당 시도의 평균 예측 선택확률이 같은 반사실 상황에서 서울의 평균 예측 선택확률보다 최초로 높아지는 지점을 찾는다. 목표 시도의 임금이 상승하면 그 시도의 확률은 증가하고 서울의 확률은 logit 분모를 통해 감소하므로, 두 확률은 동일한 counterfactual에서 비교해야 한다.</w:t>
      </w:r>
    </w:p>
    <w:p>
      <w:pPr>
        <w:pStyle w:val="Formula"/>
      </w:pPr>
      <w:r>
        <w:rPr>
          <w:rFonts w:ascii="맑은 고딕" w:hAnsi="맑은 고딕" w:eastAsia="맑은 고딕" w:cs="맑은 고딕"/>
          <w:color w:val="000000"/>
          <w:sz w:val="20"/>
        </w:rPr>
        <w:t>δ*ⱼₜ = min{δ ≥ 0 | P̄ⱼₜ(δ) ≥ P̄Seoul,ₜ(δ)}</w:t>
      </w:r>
    </w:p>
    <w:p>
      <w:pPr>
        <w:pStyle w:val="a0"/>
        <w:spacing w:line="312" w:lineRule="auto" w:after="40"/>
        <w:jc w:val="both"/>
      </w:pPr>
      <w:r>
        <w:rPr>
          <w:rFonts w:ascii="맑은 고딕" w:hAnsi="맑은 고딕" w:eastAsia="맑은 고딕" w:cs="맑은 고딕"/>
          <w:color w:val="000000"/>
          <w:sz w:val="21"/>
        </w:rPr>
        <w:t>탐색은 1%p 단위의 임금 인상률로 최초 교차구간을 확인한 뒤, 필요한 경우 0.1%p 단위로 세분화한다. 기준상태에서 이미 특정 시도의 평균 선택확률이 서울보다 높다면 필요 프리미엄은 0%로 기록한다. 설정한 상한에서도 교차하지 않으면 임의의 수치로 대체하지 않고 “상한 초과”로 보고한다. 결과는 2015년과 2020년 각각에 대해 산출하고, 2020년 필요 프리미엄에서 2015년 필요 프리미엄을 차감하여 청년유치 난이도의 시간변화를 제시한다.</w:t>
      </w:r>
    </w:p>
    <w:p>
      <w:pPr>
        <w:pStyle w:val="a0"/>
        <w:spacing w:line="312" w:lineRule="auto" w:after="40"/>
        <w:jc w:val="both"/>
      </w:pPr>
      <w:r>
        <w:rPr>
          <w:rFonts w:ascii="맑은 고딕" w:hAnsi="맑은 고딕" w:eastAsia="맑은 고딕" w:cs="맑은 고딕"/>
          <w:color w:val="000000"/>
          <w:sz w:val="21"/>
        </w:rPr>
        <w:t>주 산출표에는 기준 예측확률, 서울 기준 예측확률, 필요 임금 프리미엄, 교차지점의 두 예측확률과 연도 간 변화량을 포함한다. 지도에서는 각 비서울 시도의 필요 프리미엄을 동일한 구간으로 표시한다. 이 지표가 클수록 해당 시도가 평균적인 청년 대졸자에게 서울과 경쟁하기 위해 더 큰 임금보상을 필요로 한다.</w:t>
      </w:r>
    </w:p>
    <w:p>
      <w:pPr>
        <w:pStyle w:val="1"/>
      </w:pPr>
      <w:r>
        <w:rPr>
          <w:rFonts w:ascii="맑은 고딕" w:hAnsi="맑은 고딕" w:eastAsia="맑은 고딕" w:cs="맑은 고딕"/>
          <w:b/>
          <w:color w:val="000000"/>
          <w:sz w:val="25"/>
        </w:rPr>
        <w:t>9. 시뮬레이션 2: 서울 교육연고에 따른 프리미엄 변화</w:t>
      </w:r>
    </w:p>
    <w:p>
      <w:pPr>
        <w:pStyle w:val="FirstParagraph"/>
        <w:spacing w:line="312" w:lineRule="auto" w:after="40"/>
        <w:jc w:val="both"/>
      </w:pPr>
      <w:r>
        <w:rPr>
          <w:rFonts w:ascii="맑은 고딕" w:hAnsi="맑은 고딕" w:eastAsia="맑은 고딕" w:cs="맑은 고딕"/>
          <w:color w:val="000000"/>
          <w:sz w:val="21"/>
        </w:rPr>
        <w:t>시뮬레이션 2는 서울과의 교육연고가 비서울 지역의 필요 임금 프리미엄을 얼마나 높이는지 평가한다. 고교와 대학은 서로 다른 시기에 형성된 지역연고를 나타내므로 두 조건을 결합하지 않고 별도로 분석한다.</w:t>
      </w:r>
    </w:p>
    <w:p>
      <w:pPr>
        <w:pStyle w:val="2"/>
      </w:pPr>
      <w:r>
        <w:rPr>
          <w:rFonts w:ascii="맑은 고딕" w:hAnsi="맑은 고딕" w:eastAsia="맑은 고딕" w:cs="맑은 고딕"/>
          <w:b/>
          <w:color w:val="000000"/>
          <w:sz w:val="22"/>
        </w:rPr>
        <w:t>9.1 서울에서 고등학교를 졸업한 표본</w:t>
      </w:r>
    </w:p>
    <w:p>
      <w:pPr>
        <w:pStyle w:val="a0"/>
        <w:spacing w:line="312" w:lineRule="auto" w:after="40"/>
        <w:jc w:val="both"/>
      </w:pPr>
      <w:r>
        <w:rPr>
          <w:rFonts w:ascii="맑은 고딕" w:hAnsi="맑은 고딕" w:eastAsia="맑은 고딕" w:cs="맑은 고딕"/>
          <w:color w:val="000000"/>
          <w:sz w:val="21"/>
        </w:rPr>
        <w:t>고교 소재지가 서울인 응답자만 추출하여 시뮬레이션 1과 동일한 절차를 반복한다. 이 표본에서는 서울 대안의 high가 1이므로, 평균적으로 양(+)의 고교 소재지 일치효과가 존재할 경우 서울의 기준효용이 높아진다. 각 시도의 서울 parity premium을 전체 표본 결과와 비교하여, 서울 고교연고가 비서울 시도의 추가 임금보상 요구를 얼마나 확대하는지 계산한다.</w:t>
      </w:r>
    </w:p>
    <w:p>
      <w:pPr>
        <w:pStyle w:val="2"/>
      </w:pPr>
      <w:r>
        <w:rPr>
          <w:rFonts w:ascii="맑은 고딕" w:hAnsi="맑은 고딕" w:eastAsia="맑은 고딕" w:cs="맑은 고딕"/>
          <w:b/>
          <w:color w:val="000000"/>
          <w:sz w:val="22"/>
        </w:rPr>
        <w:t>9.2 서울 소재 대학을 졸업한 표본</w:t>
      </w:r>
    </w:p>
    <w:p>
      <w:pPr>
        <w:pStyle w:val="a0"/>
        <w:spacing w:line="312" w:lineRule="auto" w:after="40"/>
        <w:jc w:val="both"/>
      </w:pPr>
      <w:r>
        <w:rPr>
          <w:rFonts w:ascii="맑은 고딕" w:hAnsi="맑은 고딕" w:eastAsia="맑은 고딕" w:cs="맑은 고딕"/>
          <w:color w:val="000000"/>
          <w:sz w:val="21"/>
        </w:rPr>
        <w:t>대학 소재지가 서울인 응답자만 추출하여 동일한 프리미엄을 계산한다. 이 표본에서는 서울 대안의 college가 1이므로, 대학에서 형성된 취업정보, 동문 네트워크와 지역특정적 인적자본이 서울 선택에 결부될 가능성을 반영한다. 전체 표본 및 서울 고교 출신 결과와 비교하여 대학연고가 고교연고보다 강한지, 지역별 차이가 어떠한지 검토한다.</w:t>
      </w:r>
    </w:p>
    <w:p>
      <w:pPr>
        <w:pStyle w:val="Formula"/>
      </w:pPr>
      <w:r>
        <w:rPr>
          <w:rFonts w:ascii="맑은 고딕" w:hAnsi="맑은 고딕" w:eastAsia="맑은 고딕" w:cs="맑은 고딕"/>
          <w:color w:val="000000"/>
          <w:sz w:val="20"/>
        </w:rPr>
        <w:t>Additional premium from Seoul high-school tie = δ*ⱼ, Seoul-HS − δ*ⱼ, Full sample</w:t>
      </w:r>
    </w:p>
    <w:p>
      <w:pPr>
        <w:pStyle w:val="Formula"/>
      </w:pPr>
      <w:r>
        <w:rPr>
          <w:rFonts w:ascii="맑은 고딕" w:hAnsi="맑은 고딕" w:eastAsia="맑은 고딕" w:cs="맑은 고딕"/>
          <w:color w:val="000000"/>
          <w:sz w:val="20"/>
        </w:rPr>
        <w:t>Additional premium from Seoul college tie = δ*ⱼ, Seoul-college − δ*ⱼ, Full sample</w:t>
      </w:r>
    </w:p>
    <w:p>
      <w:pPr>
        <w:pStyle w:val="a0"/>
        <w:spacing w:line="312" w:lineRule="auto" w:after="40"/>
        <w:jc w:val="both"/>
      </w:pPr>
      <w:r>
        <w:rPr>
          <w:rFonts w:ascii="맑은 고딕" w:hAnsi="맑은 고딕" w:eastAsia="맑은 고딕" w:cs="맑은 고딕"/>
          <w:color w:val="000000"/>
          <w:sz w:val="21"/>
        </w:rPr>
        <w:t>관측된 하위표본 비교는 교육연고뿐 아니라 성별, 전공, 대학유형과 성적 구성 차이도 함께 반영한다. 이 점을 보완하기 위해 부록에서는 전체 표본의 개인특성을 유지한 채 고교 소재지만 서울로 재설정하는 표준화 시뮬레이션과 대학 소재지만 서울로 재설정하는 시뮬레이션을 별도로 수행한다. 본문은 실제 서울 고교 출신과 서울 소재 대학 출신의 정책적으로 관측 가능한 집단별 프리미엄을 제시하고, 표준화 결과는 연고변수의 순수한 모형상 기여를 확인하는 용도로 사용한다. 고교와 대학이 모두 서울인 집단은 표본수가 충분할 때 부록에서 추가로 제시한다.</w:t>
      </w:r>
    </w:p>
    <w:p>
      <w:pPr>
        <w:pStyle w:val="1"/>
      </w:pPr>
      <w:r>
        <w:rPr>
          <w:rFonts w:ascii="맑은 고딕" w:hAnsi="맑은 고딕" w:eastAsia="맑은 고딕" w:cs="맑은 고딕"/>
          <w:b/>
          <w:color w:val="000000"/>
          <w:sz w:val="25"/>
        </w:rPr>
        <w:t>10. 핵심 결과표와 해석 구조</w:t>
      </w:r>
    </w:p>
    <w:p>
      <w:pPr>
        <w:pStyle w:val="a0"/>
        <w:spacing w:line="312" w:lineRule="auto" w:after="40"/>
        <w:jc w:val="both"/>
      </w:pPr>
      <w:r>
        <w:rPr>
          <w:rFonts w:ascii="맑은 고딕" w:hAnsi="맑은 고딕" w:eastAsia="맑은 고딕" w:cs="맑은 고딕"/>
          <w:color w:val="000000"/>
          <w:sz w:val="21"/>
        </w:rPr>
        <w:t>모형의 계수표 자체보다 경제적 크기와 시뮬레이션 결과가 논문의 중심이 되어야 한다. 임금 평균계수와 표준편차는 청년 대졸자의 평균 임금반응과 개인 간 이질성을 나타내며, high와 college의 평균 및 표준편차는 교육단계별 지역연고의 평균효과와 분포를 보여준다. y_wages, y_high와 y_college는 2015년 대비 2020년의 평균효과 변화를 나타낸다. residual과 y_res는 임금 내생성의 방향과 시간차이를 보여주는 보정항으로 해석한다.</w:t>
      </w:r>
    </w:p>
    <w:tbl>
      <w:tblPr>
        <w:tblStyle w:val="Table"/>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14"/>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산출물</w:t>
            </w:r>
          </w:p>
        </w:tc>
        <w:tc>
          <w:tcPr>
            <w:tcW w:type="dxa" w:w="3969"/>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핵심 내용</w:t>
            </w:r>
          </w:p>
        </w:tc>
        <w:tc>
          <w:tcPr>
            <w:tcW w:type="dxa" w:w="3515"/>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정책적 해석</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모형 1</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Conditional logit with CF</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평균적 선택구조와 mixed logit 결과의 기준</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모형 2</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Pooled mixed logit: wages, high, college random</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임금 및 교육연고 선호의 개인 간 이질성</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연도별 모형</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2015년과 2020년 separate mixed logit</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pooled 상호작용 결과의 안정성 점검</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시뮬레이션 1</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전체 표본의 시도별 서울 parity premium</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평균적 청년 대졸자 유치비용</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시뮬레이션 2-A</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 고교 출신의 시도별 parity premium</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고교단계 서울연고가 추가하는 유치비용</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시뮬레이션 2-B</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 소재 대학 출신의 시도별 parity premium</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대학단계 서울연고가 추가하는 유치비용</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시간비교</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2020년 프리미엄 − 2015년 프리미엄</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서울과 경쟁하기 위한 임금보상의 변화</w:t>
            </w:r>
          </w:p>
        </w:tc>
      </w:tr>
      <w:tr>
        <w:tc>
          <w:tcPr>
            <w:tcW w:type="dxa" w:w="181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지도 및 순위표</w:t>
            </w:r>
          </w:p>
        </w:tc>
        <w:tc>
          <w:tcPr>
            <w:tcW w:type="dxa" w:w="39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시도별 필요 프리미엄의 공간분포</w:t>
            </w:r>
          </w:p>
        </w:tc>
        <w:tc>
          <w:tcPr>
            <w:tcW w:type="dxa" w:w="3515"/>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임금정책의 지역별 현실성 차이</w:t>
            </w:r>
          </w:p>
        </w:tc>
      </w:tr>
    </w:tbl>
    <w:p>
      <w:pPr>
        <w:pStyle w:val="a0"/>
        <w:spacing w:after="40"/>
      </w:pPr>
    </w:p>
    <w:p>
      <w:pPr>
        <w:pStyle w:val="1"/>
      </w:pPr>
      <w:r>
        <w:rPr>
          <w:rFonts w:ascii="맑은 고딕" w:hAnsi="맑은 고딕" w:eastAsia="맑은 고딕" w:cs="맑은 고딕"/>
          <w:b/>
          <w:color w:val="000000"/>
          <w:sz w:val="25"/>
        </w:rPr>
        <w:t>11. 강건성 분석과 추론</w:t>
      </w:r>
    </w:p>
    <w:p>
      <w:pPr>
        <w:pStyle w:val="a0"/>
        <w:spacing w:line="312" w:lineRule="auto" w:after="40"/>
        <w:jc w:val="both"/>
      </w:pPr>
      <w:r>
        <w:rPr>
          <w:rFonts w:ascii="맑은 고딕" w:hAnsi="맑은 고딕" w:eastAsia="맑은 고딕" w:cs="맑은 고딕"/>
          <w:color w:val="000000"/>
          <w:sz w:val="21"/>
        </w:rPr>
        <w:t>첫째, random-coefficient 분포와 계산설정을 점검한다. 본모형은 wages, high, college에 정규분포를 적용한다. 임금계수의 평균에 비해 표준편차가 작아 음의 임금계수 질량이 사실상 없다는 점을 확인하고, 임금계수의 lognormal 가정은 강건성 분석으로 제시한다. 500개와 1,000개 draws, 단일 시작값과 5개 multistart에서 핵심 계수, log-likelihood와 프리미엄이 안정적인지 비교한다.</w:t>
      </w:r>
    </w:p>
    <w:p>
      <w:pPr>
        <w:pStyle w:val="a0"/>
        <w:spacing w:line="312" w:lineRule="auto" w:after="40"/>
        <w:jc w:val="both"/>
      </w:pPr>
      <w:r>
        <w:rPr>
          <w:rFonts w:ascii="맑은 고딕" w:hAnsi="맑은 고딕" w:eastAsia="맑은 고딕" w:cs="맑은 고딕"/>
          <w:color w:val="000000"/>
          <w:sz w:val="21"/>
        </w:rPr>
        <w:t>둘째, 명세와 표본 정의를 점검한다. control-function residual을 제외한 모형, high와 college를 각각 단독으로 포함한 모형, 2015년과 2020년 separate estimates, GOMS 가중치를 적용한 예측확률 평균, 20–29세 표본, 대학유형별 표본과 첫 일자리 산업 재분류를 비교한다. 출생 시도 정보를 일관되게 구성할 수 있는 경우에는 high를 출생 시도 일치로 대체하되, high와 출생지 일치를 동시에 넣어 중복된 연고효과를 과도하게 통제하지 않는다.</w:t>
      </w:r>
    </w:p>
    <w:p>
      <w:pPr>
        <w:pStyle w:val="a0"/>
        <w:spacing w:line="312" w:lineRule="auto" w:after="40"/>
        <w:jc w:val="both"/>
      </w:pPr>
      <w:r>
        <w:rPr>
          <w:rFonts w:ascii="맑은 고딕" w:hAnsi="맑은 고딕" w:eastAsia="맑은 고딕" w:cs="맑은 고딕"/>
          <w:color w:val="000000"/>
          <w:sz w:val="21"/>
        </w:rPr>
        <w:t>셋째, 임금 first stage를 점검한다. 도구변수의 계수와 F-statistic, leave-one-out 구성의 민감도, 특정 산업 또는 시도가 first stage를 지배하는지 확인한다. employment-growth Bartik은 대체 도구변수로 제시하되, 주 도구변수보다 약한 경우 이를 숨기지 않고 결과의 차이를 보고한다. 임금셀의 표본수가 작은 조합을 제외하거나 산업을 더 큰 범주로 묶은 결과도 비교한다.</w:t>
      </w:r>
    </w:p>
    <w:p>
      <w:pPr>
        <w:pStyle w:val="a0"/>
        <w:spacing w:line="312" w:lineRule="auto" w:after="40"/>
        <w:jc w:val="both"/>
      </w:pPr>
      <w:r>
        <w:rPr>
          <w:rFonts w:ascii="맑은 고딕" w:hAnsi="맑은 고딕" w:eastAsia="맑은 고딕" w:cs="맑은 고딕"/>
          <w:color w:val="000000"/>
          <w:sz w:val="21"/>
        </w:rPr>
        <w:t>넷째, 필요 프리미엄의 불확실성을 제시한다. 최종 논문에서는 추정계수의 분산-공분산행렬에서 모수벡터를 반복 추출하고 각 추출값마다 parity premium을 다시 계산하는 parametric simulation을 이용해 신뢰구간을 산출한다. 이는 first-stage 임금셀의 표본오차까지 완전히 전파하지는 않으므로, 신뢰구간은 구축된 임금기회와 residual이 주어진 조건에서의 불확실성으로 해석한다.</w:t>
      </w:r>
    </w:p>
    <w:p>
      <w:pPr>
        <w:pStyle w:val="1"/>
      </w:pPr>
      <w:r>
        <w:rPr>
          <w:rFonts w:ascii="맑은 고딕" w:hAnsi="맑은 고딕" w:eastAsia="맑은 고딕" w:cs="맑은 고딕"/>
          <w:b/>
          <w:color w:val="000000"/>
          <w:sz w:val="25"/>
        </w:rPr>
        <w:t>12. 해석상의 한계와 논의 방향</w:t>
      </w:r>
    </w:p>
    <w:p>
      <w:pPr>
        <w:pStyle w:val="a0"/>
        <w:spacing w:line="312" w:lineRule="auto" w:after="40"/>
        <w:jc w:val="both"/>
      </w:pPr>
      <w:r>
        <w:rPr>
          <w:rFonts w:ascii="맑은 고딕" w:hAnsi="맑은 고딕" w:eastAsia="맑은 고딕" w:cs="맑은 고딕"/>
          <w:color w:val="000000"/>
          <w:sz w:val="21"/>
        </w:rPr>
        <w:t>첫째, GOMS는 최근 대학 졸업자를 대상으로 하므로 결과를 대학 비진학 청년이나 전체 청년노동시장에 일반화할 수 없다. 이 제한은 동시에 노동시장 진입기의 고학력 청년이라는 명확한 분석대상을 제공한다. 논문은 “청년 전체”보다 “recent college graduates entering their first wage job”이라는 표현을 사용해야 한다.</w:t>
      </w:r>
    </w:p>
    <w:p>
      <w:pPr>
        <w:pStyle w:val="a0"/>
        <w:spacing w:line="312" w:lineRule="auto" w:after="40"/>
        <w:jc w:val="both"/>
      </w:pPr>
      <w:r>
        <w:rPr>
          <w:rFonts w:ascii="맑은 고딕" w:hAnsi="맑은 고딕" w:eastAsia="맑은 고딕" w:cs="맑은 고딕"/>
          <w:color w:val="000000"/>
          <w:sz w:val="21"/>
        </w:rPr>
        <w:t>둘째, 본 연구는 관측된 첫 일자리 산업에 조건부인 시도 선택을 추정한다. 산업과 지역이 공동으로 선택될 수 있으나 현재 모형은 산업선택을 구조적으로 설명하지 않는다. 따라서 프리미엄은 같은 산업과 연령집단의 청년이 후보 시도별 임금기회에 반응하는 조건부 지표다.</w:t>
      </w:r>
    </w:p>
    <w:p>
      <w:pPr>
        <w:pStyle w:val="a0"/>
        <w:spacing w:line="312" w:lineRule="auto" w:after="40"/>
        <w:jc w:val="both"/>
      </w:pPr>
      <w:r>
        <w:rPr>
          <w:rFonts w:ascii="맑은 고딕" w:hAnsi="맑은 고딕" w:eastAsia="맑은 고딕" w:cs="맑은 고딕"/>
          <w:color w:val="000000"/>
          <w:sz w:val="21"/>
        </w:rPr>
        <w:t>셋째, 고교 및 대학 소재지 일치효과는 장소특정적 연고, 정보, 네트워크와 지역 인적자본을 함께 포착한다. 표준편차가 크고 정규분포의 음의 질량이 존재할 경우 일부 청년은 해당 교육지역을 선호하지 않는 잠재적 이질성을 가진 것으로 해석할 수 있다. 다만 특정 개인이 실제로 해당 지역을 기피한다고 직접 관측한 것은 아니며, 추정된 선호분포의 해석이라는 점을 분명히 해야 한다.</w:t>
      </w:r>
    </w:p>
    <w:p>
      <w:pPr>
        <w:pStyle w:val="a0"/>
        <w:spacing w:line="312" w:lineRule="auto" w:after="40"/>
        <w:jc w:val="both"/>
      </w:pPr>
      <w:r>
        <w:rPr>
          <w:rFonts w:ascii="맑은 고딕" w:hAnsi="맑은 고딕" w:eastAsia="맑은 고딕" w:cs="맑은 고딕"/>
          <w:color w:val="000000"/>
          <w:sz w:val="21"/>
        </w:rPr>
        <w:t>넷째, control-function 결과는 도구변수의 타당성에 의존한다. 타 시도의 동일 산업·연령집단 임금이 후보 시도 선택효용에 직접 영향을 주지 않는다는 배제제약은 완전하게 검증할 수 없다. first-stage strength와 대체 IV, placebo 및 산업별 민감도 분석을 통해 설득력을 높여야 한다.</w:t>
      </w:r>
    </w:p>
    <w:p>
      <w:pPr>
        <w:pStyle w:val="a0"/>
        <w:spacing w:line="312" w:lineRule="auto" w:after="40"/>
        <w:jc w:val="both"/>
      </w:pPr>
      <w:r>
        <w:rPr>
          <w:rFonts w:ascii="맑은 고딕" w:hAnsi="맑은 고딕" w:eastAsia="맑은 고딕" w:cs="맑은 고딕"/>
          <w:color w:val="000000"/>
          <w:sz w:val="21"/>
        </w:rPr>
        <w:t>다섯째, 시뮬레이션은 부분균형이다. 특정 시도의 임금을 올렸을 때 기업의 고용수요, 지역별 일자리 수, 주거비와 인구집중이 다시 조정되는 과정을 포함하지 않는다. 필요 프리미엄이 큰 지역은 단순한 임금보조만으로 서울과 경쟁하기 어렵다는 신호로 해석하고, 기업 생산성, 고임금 직무의 공급, 주거와 생활서비스 개선을 함께 논의한다.</w:t>
      </w:r>
    </w:p>
    <w:p>
      <w:pPr>
        <w:pStyle w:val="1"/>
      </w:pPr>
      <w:r>
        <w:rPr>
          <w:rFonts w:ascii="맑은 고딕" w:hAnsi="맑은 고딕" w:eastAsia="맑은 고딕" w:cs="맑은 고딕"/>
          <w:b/>
          <w:color w:val="000000"/>
          <w:sz w:val="25"/>
        </w:rPr>
        <w:t>13. 분석 흐름 요약</w:t>
      </w:r>
    </w:p>
    <w:tbl>
      <w:tblPr>
        <w:tblStyle w:val="Table"/>
        <w:tblW w:type="auto" w:w="0"/>
        <w:jc w:val="center"/>
        <w:tblLayout w:type="fixed"/>
        <w:tblLook w:firstColumn="1" w:firstRow="1" w:lastColumn="0" w:lastRow="0" w:noHBand="0" w:noVBand="1" w:val="04A0"/>
      </w:tblPr>
      <w:tblGrid>
        <w:gridCol w:w="3286"/>
        <w:gridCol w:w="3286"/>
        <w:gridCol w:w="3286"/>
      </w:tblGrid>
      <w:tr>
        <w:trPr>
          <w:tblHeader w:val="true"/>
        </w:trPr>
        <w:tc>
          <w:tcPr>
            <w:tcW w:type="dxa" w:w="794"/>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단계</w:t>
            </w:r>
          </w:p>
        </w:tc>
        <w:tc>
          <w:tcPr>
            <w:tcW w:type="dxa" w:w="5669"/>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분석 내용</w:t>
            </w:r>
          </w:p>
        </w:tc>
        <w:tc>
          <w:tcPr>
            <w:tcW w:type="dxa" w:w="2948"/>
            <w:shd w:fill="D9D9D9"/>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color w:val="000000"/>
                <w:sz w:val="17"/>
              </w:rPr>
              <w:t>주요 산출물</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2015년과 2020년 GOMS에서 20–34세 첫 일자리 임금근로자 표본 구성</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연도별 개인표본</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2</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첫 일자리 소재지와 산업, 고교 및 대학 소재지를 16개 시도권으로 재코딩</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선택대안 및 교육연고 변수</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3</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지역별고용조사로 시도×산업×연령집단×연도 가중 평균임금 구성</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후보 시도별 level wage opportunity</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4</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Leave-one-out external wage IV를 이용해 first stage 추정</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셀 수준 CF residual</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5</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각 개인을 16개 후보 시도로 확장하고 2014년 또는 2019년 임금과 residual 결합</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개인×대안 long data</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6</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2015년과 2020년 자료를 subject_pool로 결합하고 연도 상호작용 생성</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Pooled choice data</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7</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Conditional logit과 pooled mixed logit 추정</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평균효과, 연도변화, 선호 이질성</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8</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전체 표본에서 각 시도의 임금을 높여 서울 확률을 최초로 초과하는 지점 탐색</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시뮬레이션 1: 시도별 parity premium</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9</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서울 고교 출신과 서울 소재 대학 출신을 각각 추출해 동일 시뮬레이션 반복</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시뮬레이션 2: 교육연고별 추가 프리미엄</w:t>
            </w:r>
          </w:p>
        </w:tc>
      </w:tr>
      <w:tr>
        <w:tc>
          <w:tcPr>
            <w:tcW w:type="dxa" w:w="794"/>
            <w:vAlign w:val="center"/>
            <w:tcMar>
              <w:top w:w="70" w:type="dxa"/>
              <w:start w:w="90" w:type="dxa"/>
              <w:bottom w:w="70" w:type="dxa"/>
              <w:end w:w="90" w:type="dxa"/>
            </w:tcMar>
          </w:tcPr>
          <w:p>
            <w:pPr>
              <w:spacing w:before="0" w:after="0" w:line="276" w:lineRule="auto"/>
              <w:jc w:val="center"/>
            </w:pPr>
            <w:r>
              <w:rPr>
                <w:rFonts w:ascii="맑은 고딕" w:hAnsi="맑은 고딕" w:eastAsia="맑은 고딕" w:cs="맑은 고딕"/>
                <w:color w:val="000000"/>
              </w:rPr>
            </w:r>
            <w:r>
              <w:rPr>
                <w:rFonts w:ascii="맑은 고딕" w:hAnsi="맑은 고딕" w:eastAsia="맑은 고딕" w:cs="맑은 고딕"/>
                <w:b w:val="0"/>
                <w:color w:val="000000"/>
                <w:sz w:val="17"/>
              </w:rPr>
              <w:t>10</w:t>
            </w:r>
          </w:p>
        </w:tc>
        <w:tc>
          <w:tcPr>
            <w:tcW w:type="dxa" w:w="5669"/>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연도별·명세별 강건성, 가중치와 프리미엄 신뢰구간 점검</w:t>
            </w:r>
          </w:p>
        </w:tc>
        <w:tc>
          <w:tcPr>
            <w:tcW w:type="dxa" w:w="2948"/>
            <w:vAlign w:val="center"/>
            <w:tcMar>
              <w:top w:w="70" w:type="dxa"/>
              <w:start w:w="90" w:type="dxa"/>
              <w:bottom w:w="70" w:type="dxa"/>
              <w:end w:w="90" w:type="dxa"/>
            </w:tcMar>
          </w:tcPr>
          <w:p>
            <w:pPr>
              <w:spacing w:before="0" w:after="0" w:line="276" w:lineRule="auto"/>
              <w:jc w:val="both"/>
            </w:pPr>
            <w:r>
              <w:rPr>
                <w:rFonts w:ascii="맑은 고딕" w:hAnsi="맑은 고딕" w:eastAsia="맑은 고딕" w:cs="맑은 고딕"/>
                <w:color w:val="000000"/>
              </w:rPr>
            </w:r>
            <w:r>
              <w:rPr>
                <w:rFonts w:ascii="맑은 고딕" w:hAnsi="맑은 고딕" w:eastAsia="맑은 고딕" w:cs="맑은 고딕"/>
                <w:b w:val="0"/>
                <w:color w:val="000000"/>
                <w:sz w:val="17"/>
              </w:rPr>
              <w:t>최종 표, 지도, 정책적 feasibility 평가</w:t>
            </w:r>
          </w:p>
        </w:tc>
      </w:tr>
    </w:tbl>
    <w:p>
      <w:pPr>
        <w:pStyle w:val="a0"/>
        <w:spacing w:after="40"/>
      </w:pPr>
    </w:p>
    <w:p>
      <w:pPr>
        <w:pStyle w:val="1"/>
      </w:pPr>
      <w:r>
        <w:rPr>
          <w:rFonts w:ascii="맑은 고딕" w:hAnsi="맑은 고딕" w:eastAsia="맑은 고딕" w:cs="맑은 고딕"/>
          <w:b/>
          <w:color w:val="000000"/>
          <w:sz w:val="25"/>
        </w:rPr>
        <w:t>14. 핵심 참고문헌</w:t>
      </w:r>
    </w:p>
    <w:p>
      <w:pPr>
        <w:pStyle w:val="a0"/>
        <w:ind w:left="340" w:hanging="340"/>
        <w:jc w:val="both"/>
      </w:pPr>
      <w:r>
        <w:rPr>
          <w:rFonts w:ascii="맑은 고딕" w:hAnsi="맑은 고딕" w:eastAsia="맑은 고딕" w:cs="맑은 고딕"/>
          <w:color w:val="000000"/>
          <w:sz w:val="19"/>
        </w:rPr>
        <w:t>Bayer, P., Ferreira, F., &amp; McMillan, R. (2007). A unified framework for measuring preferences for schools and neighborhoods. Journal of Political Economy, 115(4), 588–638.</w:t>
      </w:r>
    </w:p>
    <w:p>
      <w:pPr>
        <w:pStyle w:val="a0"/>
        <w:ind w:left="340" w:hanging="340"/>
        <w:jc w:val="both"/>
      </w:pPr>
      <w:r>
        <w:rPr>
          <w:rFonts w:ascii="맑은 고딕" w:hAnsi="맑은 고딕" w:eastAsia="맑은 고딕" w:cs="맑은 고딕"/>
          <w:color w:val="000000"/>
          <w:sz w:val="19"/>
        </w:rPr>
        <w:t>Dahl, G. B. (2002). Mobility and the return to education: Testing a Roy model with multiple markets. Econometrica, 70(6), 2367–2420.</w:t>
      </w:r>
    </w:p>
    <w:p>
      <w:pPr>
        <w:pStyle w:val="a0"/>
        <w:ind w:left="340" w:hanging="340"/>
        <w:jc w:val="both"/>
      </w:pPr>
      <w:r>
        <w:rPr>
          <w:rFonts w:ascii="맑은 고딕" w:hAnsi="맑은 고딕" w:eastAsia="맑은 고딕" w:cs="맑은 고딕"/>
          <w:color w:val="000000"/>
          <w:sz w:val="19"/>
        </w:rPr>
        <w:t>Dahl, M. S., &amp; Sorenson, O. (2010). The migration of technical workers. Journal of Urban Economics, 67(1), 33–45.</w:t>
      </w:r>
    </w:p>
    <w:p>
      <w:pPr>
        <w:pStyle w:val="a0"/>
        <w:ind w:left="340" w:hanging="340"/>
        <w:jc w:val="both"/>
      </w:pPr>
      <w:r>
        <w:rPr>
          <w:rFonts w:ascii="맑은 고딕" w:hAnsi="맑은 고딕" w:eastAsia="맑은 고딕" w:cs="맑은 고딕"/>
          <w:color w:val="000000"/>
          <w:sz w:val="19"/>
        </w:rPr>
        <w:t>Kennan, J., &amp; Walker, J. R. (2011). The effect of expected income on individual migration decisions. Econometrica, 79(1), 211–251.</w:t>
      </w:r>
    </w:p>
    <w:p>
      <w:pPr>
        <w:pStyle w:val="a0"/>
        <w:ind w:left="340" w:hanging="340"/>
        <w:jc w:val="both"/>
      </w:pPr>
      <w:r>
        <w:rPr>
          <w:rFonts w:ascii="맑은 고딕" w:hAnsi="맑은 고딕" w:eastAsia="맑은 고딕" w:cs="맑은 고딕"/>
          <w:color w:val="000000"/>
          <w:sz w:val="19"/>
        </w:rPr>
        <w:t>McFadden, D., &amp; Train, K. (2000). Mixed MNL models for discrete response. Journal of Applied Econometrics, 15(5), 447–470.</w:t>
      </w:r>
    </w:p>
    <w:p>
      <w:pPr>
        <w:pStyle w:val="a0"/>
        <w:ind w:left="340" w:hanging="340"/>
        <w:jc w:val="both"/>
      </w:pPr>
      <w:r>
        <w:rPr>
          <w:rFonts w:ascii="맑은 고딕" w:hAnsi="맑은 고딕" w:eastAsia="맑은 고딕" w:cs="맑은 고딕"/>
          <w:color w:val="000000"/>
          <w:sz w:val="19"/>
        </w:rPr>
        <w:t>Michelacci, C., &amp; Silva, O. (2007). Why so many local entrepreneurs? Review of Economics and Statistics, 89(4), 615–633.</w:t>
      </w:r>
    </w:p>
    <w:p>
      <w:pPr>
        <w:pStyle w:val="a0"/>
        <w:ind w:left="340" w:hanging="340"/>
        <w:jc w:val="both"/>
      </w:pPr>
      <w:r>
        <w:rPr>
          <w:rFonts w:ascii="맑은 고딕" w:hAnsi="맑은 고딕" w:eastAsia="맑은 고딕" w:cs="맑은 고딕"/>
          <w:color w:val="000000"/>
          <w:sz w:val="19"/>
        </w:rPr>
        <w:t>Petrin, A., &amp; Train, K. (2010). A control function approach to endogeneity in consumer choice models. Journal of Marketing Research, 47(1), 3–13.</w:t>
      </w:r>
    </w:p>
    <w:p>
      <w:pPr>
        <w:pStyle w:val="a0"/>
        <w:ind w:left="340" w:hanging="340"/>
        <w:jc w:val="both"/>
      </w:pPr>
      <w:r>
        <w:rPr>
          <w:rFonts w:ascii="맑은 고딕" w:hAnsi="맑은 고딕" w:eastAsia="맑은 고딕" w:cs="맑은 고딕"/>
          <w:color w:val="000000"/>
          <w:sz w:val="19"/>
        </w:rPr>
        <w:t>Revelt, D., &amp; Train, K. (1998). Mixed logit with repeated choices: Households’ choices of appliance efficiency level. Review of Economics and Statistics, 80(4), 647–657.</w:t>
      </w:r>
    </w:p>
    <w:p>
      <w:pPr>
        <w:pStyle w:val="a0"/>
        <w:ind w:left="340" w:hanging="340"/>
        <w:jc w:val="both"/>
      </w:pPr>
      <w:r>
        <w:rPr>
          <w:rFonts w:ascii="맑은 고딕" w:hAnsi="맑은 고딕" w:eastAsia="맑은 고딕" w:cs="맑은 고딕"/>
          <w:color w:val="000000"/>
          <w:sz w:val="19"/>
        </w:rPr>
        <w:t>Roback, J. (1982). Wages, rents, and the quality of life. Journal of Political Economy, 90(6), 1257–1278.</w:t>
      </w:r>
    </w:p>
    <w:p>
      <w:pPr>
        <w:pStyle w:val="a0"/>
        <w:ind w:left="340" w:hanging="340"/>
        <w:jc w:val="both"/>
      </w:pPr>
      <w:r>
        <w:rPr>
          <w:rFonts w:ascii="맑은 고딕" w:hAnsi="맑은 고딕" w:eastAsia="맑은 고딕" w:cs="맑은 고딕"/>
          <w:color w:val="000000"/>
          <w:sz w:val="19"/>
        </w:rPr>
        <w:t>Sjaastad, L. A. (1962). The costs and returns of human migration. Journal of Political Economy, 70(5, Part 2), 80–93.</w:t>
      </w:r>
    </w:p>
    <w:sectPr w:rsidR="00FC1DF7" w:rsidRPr="00DA6CB9">
      <w:footerReference w:type="default" r:id="rId9"/>
      <w:pgSz w:w="12240" w:h="15840"/>
      <w:pgMar w:top="1077" w:right="1191" w:bottom="1077" w:left="1191" w:header="454" w:footer="45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6460" w:rsidRDefault="003C6460">
      <w:pPr>
        <w:spacing w:after="0" w:line="240" w:lineRule="auto"/>
      </w:pPr>
      <w:r>
        <w:separator/>
      </w:r>
    </w:p>
  </w:endnote>
  <w:endnote w:type="continuationSeparator" w:id="0">
    <w:p w:rsidR="003C6460" w:rsidRDefault="003C64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color w:val="000000"/>
        <w:sz w:val="18"/>
      </w:rP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6460" w:rsidRDefault="003C6460">
      <w:r>
        <w:separator/>
      </w:r>
    </w:p>
  </w:footnote>
  <w:footnote w:type="continuationSeparator" w:id="0">
    <w:p w:rsidR="003C6460" w:rsidRDefault="003C64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F1A80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C1DF7"/>
    <w:rsid w:val="003C6460"/>
    <w:rsid w:val="005B04EB"/>
    <w:rsid w:val="00705EB6"/>
    <w:rsid w:val="00810C60"/>
    <w:rsid w:val="00DA6CB9"/>
    <w:rsid w:val="00FC1DF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EE95"/>
  <w15:docId w15:val="{0C3620DF-9F41-48B9-AEF8-857B27F3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바탕" w:hAnsiTheme="minorHAnsi" w:cstheme="minorBidi"/>
        <w:sz w:val="24"/>
        <w:szCs w:val="24"/>
        <w:lang w:val="en-US" w:eastAsia="ko-KR"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spacing w:after="40" w:line="312" w:lineRule="auto"/>
      <w:jc w:val="both"/>
    </w:pPr>
    <w:rPr>
      <w:rFonts w:ascii="맑은 고딕" w:eastAsia="맑은 고딕" w:hAnsi="맑은 고딕" w:cs="맑은 고딕"/>
      <w:b w:val="0"/>
      <w:color w:val="000000"/>
      <w:sz w:val="21"/>
    </w:rPr>
  </w:style>
  <w:style w:type="paragraph" w:styleId="1">
    <w:name w:val="heading 1"/>
    <w:basedOn w:val="a"/>
    <w:next w:val="a0"/>
    <w:uiPriority w:val="9"/>
    <w:qFormat/>
    <w:pPr>
      <w:keepNext/>
      <w:keepLines/>
      <w:spacing w:before="200" w:after="100"/>
      <w:jc w:val="left"/>
      <w:outlineLvl w:val="0"/>
    </w:pPr>
    <w:rPr>
      <w:rFonts w:asciiTheme="majorHAnsi" w:eastAsiaTheme="majorEastAsia" w:hAnsiTheme="majorHAnsi" w:cstheme="majorBidi" w:ascii="맑은 고딕" w:hAnsi="맑은 고딕" w:eastAsia="맑은 고딕" w:cs="맑은 고딕"/>
      <w:b/>
      <w:bCs/>
      <w:color w:val="000000"/>
      <w:sz w:val="25"/>
      <w:szCs w:val="32"/>
    </w:rPr>
  </w:style>
  <w:style w:type="paragraph" w:styleId="2">
    <w:name w:val="heading 2"/>
    <w:basedOn w:val="a"/>
    <w:next w:val="a0"/>
    <w:uiPriority w:val="9"/>
    <w:unhideWhenUsed/>
    <w:qFormat/>
    <w:pPr>
      <w:keepNext/>
      <w:keepLines/>
      <w:spacing w:before="140" w:after="60"/>
      <w:jc w:val="left"/>
      <w:outlineLvl w:val="1"/>
    </w:pPr>
    <w:rPr>
      <w:rFonts w:asciiTheme="majorHAnsi" w:eastAsiaTheme="majorEastAsia" w:hAnsiTheme="majorHAnsi" w:cstheme="majorBidi" w:ascii="맑은 고딕" w:hAnsi="맑은 고딕" w:eastAsia="맑은 고딕" w:cs="맑은 고딕"/>
      <w:b/>
      <w:bCs/>
      <w:color w:val="000000"/>
      <w:sz w:val="22"/>
      <w:szCs w:val="28"/>
    </w:rPr>
  </w:style>
  <w:style w:type="paragraph" w:styleId="3">
    <w:name w:val="heading 3"/>
    <w:basedOn w:val="a"/>
    <w:next w:val="a0"/>
    <w:uiPriority w:val="9"/>
    <w:unhideWhenUsed/>
    <w:qFormat/>
    <w:pPr>
      <w:keepNext/>
      <w:keepLines/>
      <w:spacing w:before="160" w:after="120"/>
      <w:jc w:val="left"/>
      <w:outlineLvl w:val="2"/>
    </w:pPr>
    <w:rPr>
      <w:rFonts w:asciiTheme="majorHAnsi" w:eastAsiaTheme="majorEastAsia" w:hAnsiTheme="majorHAnsi" w:cstheme="majorBidi"/>
      <w:b/>
      <w:bCs/>
      <w:sz w:val="23"/>
    </w:rPr>
  </w:style>
  <w:style w:type="paragraph" w:styleId="4">
    <w:name w:val="heading 4"/>
    <w:basedOn w:val="a"/>
    <w:next w:val="a0"/>
    <w:uiPriority w:val="9"/>
    <w:unhideWhenUsed/>
    <w:qFormat/>
    <w:pPr>
      <w:keepNext/>
      <w:keepLines/>
      <w:spacing w:before="160" w:after="120"/>
      <w:jc w:val="left"/>
      <w:outlineLvl w:val="3"/>
    </w:pPr>
    <w:rPr>
      <w:rFonts w:asciiTheme="majorHAnsi" w:eastAsiaTheme="majorEastAsia" w:hAnsiTheme="majorHAnsi" w:cstheme="majorBidi"/>
      <w:b/>
      <w:bCs/>
      <w:i/>
      <w:sz w:val="22"/>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widowControl/>
      <w:spacing w:line="312" w:lineRule="auto" w:after="40"/>
      <w:jc w:val="both"/>
    </w:pPr>
    <w:rPr>
      <w:rFonts w:ascii="맑은 고딕" w:hAnsi="맑은 고딕" w:eastAsia="맑은 고딕" w:cs="맑은 고딕"/>
      <w:b w:val="0"/>
      <w:color w:val="000000"/>
      <w:sz w:val="21"/>
    </w:rPr>
  </w:style>
  <w:style w:type="paragraph" w:customStyle="1" w:styleId="FirstParagraph">
    <w:name w:val="First Paragraph"/>
    <w:basedOn w:val="a0"/>
    <w:next w:val="a0"/>
    <w:qFormat/>
    <w:pPr>
      <w:spacing w:line="312" w:lineRule="auto" w:after="40"/>
      <w:jc w:val="both"/>
    </w:pPr>
    <w:rPr>
      <w:rFonts w:ascii="맑은 고딕" w:hAnsi="맑은 고딕" w:eastAsia="맑은 고딕" w:cs="맑은 고딕"/>
      <w:b w:val="0"/>
      <w:color w:val="000000"/>
      <w:sz w:val="21"/>
    </w:rPr>
  </w:style>
  <w:style w:type="paragraph" w:customStyle="1" w:styleId="Compact">
    <w:name w:val="Compact"/>
    <w:basedOn w:val="a0"/>
    <w:qFormat/>
  </w:style>
  <w:style w:type="paragraph" w:styleId="a4">
    <w:name w:val="Title"/>
    <w:basedOn w:val="a"/>
    <w:next w:val="a0"/>
    <w:qFormat/>
    <w:pPr>
      <w:keepNext/>
      <w:keepLines/>
      <w:spacing w:before="0" w:after="100"/>
      <w:jc w:val="center"/>
    </w:pPr>
    <w:rPr>
      <w:rFonts w:asciiTheme="majorHAnsi" w:eastAsiaTheme="majorEastAsia" w:hAnsiTheme="majorHAnsi" w:cstheme="majorBidi" w:ascii="맑은 고딕" w:hAnsi="맑은 고딕" w:eastAsia="맑은 고딕" w:cs="맑은 고딕"/>
      <w:b/>
      <w:bCs/>
      <w:color w:val="000000"/>
      <w:sz w:val="32"/>
      <w:szCs w:val="36"/>
    </w:rPr>
  </w:style>
  <w:style w:type="paragraph" w:styleId="a5">
    <w:name w:val="Subtitle"/>
    <w:basedOn w:val="a4"/>
    <w:next w:val="a0"/>
    <w:qFormat/>
    <w:pPr>
      <w:spacing w:before="0" w:after="240"/>
      <w:jc w:val="center"/>
    </w:pPr>
    <w:rPr>
      <w:rFonts w:ascii="맑은 고딕" w:eastAsia="맑은 고딕" w:hAnsi="맑은 고딕" w:cs="맑은 고딕"/>
      <w:b w:val="0"/>
      <w:color w:val="000000"/>
      <w:sz w:val="23"/>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캡션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ac">
    <w:name w:val="Hyperlink"/>
    <w:basedOn w:val="Char"/>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d">
    <w:name w:val="header"/>
    <w:basedOn w:val="a"/>
    <w:link w:val="Char0"/>
    <w:unhideWhenUsed/>
    <w:rsid w:val="00705EB6"/>
    <w:pPr>
      <w:tabs>
        <w:tab w:val="center" w:pos="4680"/>
        <w:tab w:val="right" w:pos="9360"/>
      </w:tabs>
      <w:spacing w:after="0" w:line="240" w:lineRule="auto"/>
    </w:pPr>
  </w:style>
  <w:style w:type="character" w:customStyle="1" w:styleId="Char0">
    <w:name w:val="머리글 Char"/>
    <w:basedOn w:val="a1"/>
    <w:link w:val="ad"/>
    <w:rsid w:val="00705EB6"/>
    <w:rPr>
      <w:rFonts w:ascii="맑은 고딕" w:eastAsia="맑은 고딕" w:hAnsi="맑은 고딕"/>
      <w:color w:val="000000"/>
      <w:sz w:val="21"/>
    </w:rPr>
  </w:style>
  <w:style w:type="paragraph" w:styleId="ae">
    <w:name w:val="footer"/>
    <w:basedOn w:val="a"/>
    <w:link w:val="Char1"/>
    <w:unhideWhenUsed/>
    <w:rsid w:val="00705EB6"/>
    <w:pPr>
      <w:tabs>
        <w:tab w:val="center" w:pos="4680"/>
        <w:tab w:val="right" w:pos="9360"/>
      </w:tabs>
      <w:spacing w:after="0" w:line="240" w:lineRule="auto"/>
    </w:pPr>
  </w:style>
  <w:style w:type="character" w:customStyle="1" w:styleId="Char1">
    <w:name w:val="바닥글 Char"/>
    <w:basedOn w:val="a1"/>
    <w:link w:val="ae"/>
    <w:rsid w:val="00705EB6"/>
    <w:rPr>
      <w:rFonts w:ascii="맑은 고딕" w:eastAsia="맑은 고딕" w:hAnsi="맑은 고딕"/>
      <w:color w:val="000000"/>
      <w:sz w:val="21"/>
    </w:rPr>
  </w:style>
  <w:style w:type="paragraph" w:customStyle="1" w:styleId="Formula">
    <w:name w:val="Formula"/>
    <w:basedOn w:val="a"/>
    <w:pPr>
      <w:keepLines/>
      <w:spacing w:before="80" w:after="80"/>
      <w:jc w:val="center"/>
    </w:pPr>
    <w:rPr>
      <w:rFonts w:ascii="맑은 고딕" w:hAnsi="맑은 고딕" w:eastAsia="맑은 고딕" w:cs="맑은 고딕"/>
      <w:b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1811</Words>
  <Characters>10325</Characters>
  <Application>Microsoft Office Word</Application>
  <DocSecurity>0</DocSecurity>
  <Lines>86</Lines>
  <Paragraphs>24</Paragraphs>
  <ScaleCrop>false</ScaleCrop>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논문개요</dc:title>
  <dc:creator/>
  <cp:keywords>GOMS, mixed logit, control function, wage premium, regional choice</cp:keywords>
  <dc:description/>
  <cp:lastModifiedBy>user</cp:lastModifiedBy>
  <cp:revision>5</cp:revision>
  <dcterms:created xsi:type="dcterms:W3CDTF">2026-07-07T03:24:00Z</dcterms:created>
  <dcterms:modified xsi:type="dcterms:W3CDTF">2026-07-07T03:53:00Z</dcterms:modified>
  <dc:language>ko-KR</dc:language>
  <dc:subject>청년 대졸자의 첫 일자리 시도 선택과 시도별 필요 임금 프리미엄</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청년 취업자의 시도 선택과 시도별 필요 임금 프리미엄: 2015·2020년 pooled mixed logit with control function</vt:lpwstr>
  </property>
</Properties>
</file>