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NEUROGAIT APP Service Terms and Conditions</w:t>
      </w:r>
    </w:p>
    <w:p w:rsidR="00000000" w:rsidDel="00000000" w:rsidP="00000000" w:rsidRDefault="00000000" w:rsidRPr="00000000" w14:paraId="00000008">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SALTED, LTD</w:t>
      </w:r>
    </w:p>
    <w:p w:rsidR="00000000" w:rsidDel="00000000" w:rsidP="00000000" w:rsidRDefault="00000000" w:rsidRPr="00000000" w14:paraId="00000024">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&lt;Chapter 1 Application of terms and conditions&gt;</w:t>
      </w:r>
    </w:p>
    <w:p w:rsidR="00000000" w:rsidDel="00000000" w:rsidP="00000000" w:rsidRDefault="00000000" w:rsidRPr="00000000" w14:paraId="0000002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1. Purpose</w:t>
      </w:r>
    </w:p>
    <w:p w:rsidR="00000000" w:rsidDel="00000000" w:rsidP="00000000" w:rsidRDefault="00000000" w:rsidRPr="00000000" w14:paraId="00000028">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purpose of these terms and conditions, related to NEUROGAIT service use is to stipulate necessary matters such as rights, and duties of the company and members (medical staff and patients, hereinafter referred to as “members”).</w:t>
      </w:r>
    </w:p>
    <w:p w:rsidR="00000000" w:rsidDel="00000000" w:rsidP="00000000" w:rsidRDefault="00000000" w:rsidRPr="00000000" w14:paraId="00000029">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2. Definition of Terms</w:t>
      </w:r>
    </w:p>
    <w:p w:rsidR="00000000" w:rsidDel="00000000" w:rsidP="00000000" w:rsidRDefault="00000000" w:rsidRPr="00000000" w14:paraId="0000002B">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Definition of terms used in these Terms and Conditions is as follows and shall be governed by related laws and service guide.</w:t>
      </w:r>
    </w:p>
    <w:p w:rsidR="00000000" w:rsidDel="00000000" w:rsidP="00000000" w:rsidRDefault="00000000" w:rsidRPr="00000000" w14:paraId="0000002C">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D">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1. NEUROGAIT service: It refers to the service of “NEUROGAIT” brand (e.g. NEUROGAIT APP) provided by the company.</w:t>
      </w:r>
    </w:p>
    <w:p w:rsidR="00000000" w:rsidDel="00000000" w:rsidP="00000000" w:rsidRDefault="00000000" w:rsidRPr="00000000" w14:paraId="0000002E">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F">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2. NEUROGAIT Insole: It refers to the smart device that can be connected to bluetooth that measures users’ ground pressure and balance.</w:t>
      </w:r>
    </w:p>
    <w:p w:rsidR="00000000" w:rsidDel="00000000" w:rsidP="00000000" w:rsidRDefault="00000000" w:rsidRPr="00000000" w14:paraId="00000030">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1">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3. NEUROGAIT APP: It refers to the platform medical institutions and medical staff of the rehabilitation treatment institution (hereinafter referred to as “medical staff”) register patients (hereinafter referred to as “patients) and connect Insole to measure, store, and share patient data. It is a mobile app (android, ios) that provides convenience (balance analysis, exercise recommendations, management, etc.) to the medical staff and patients by providing the company service in accordance with these Terms and Conditions.</w:t>
      </w:r>
    </w:p>
    <w:p w:rsidR="00000000" w:rsidDel="00000000" w:rsidP="00000000" w:rsidRDefault="00000000" w:rsidRPr="00000000" w14:paraId="00000032">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3">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4. Member: It refers to the patients that have conducted the balance analysis using the NEUROGAIT Insole in the NEUROGAIT APP and medical staff who have signed the service membership agreement with the company.</w:t>
      </w:r>
    </w:p>
    <w:p w:rsidR="00000000" w:rsidDel="00000000" w:rsidP="00000000" w:rsidRDefault="00000000" w:rsidRPr="00000000" w14:paraId="00000034">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5">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5. Medical institution: It refers to the institution to which medical staff who provide service to the patients using Insole belong.</w:t>
      </w:r>
    </w:p>
    <w:p w:rsidR="00000000" w:rsidDel="00000000" w:rsidP="00000000" w:rsidRDefault="00000000" w:rsidRPr="00000000" w14:paraId="00000036">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7">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6. Medical staff: It refers to medical staff of medical institutions who have been granted with an ID after signing the service use agreement with the company as a member of the NEUROGAIT APP.</w:t>
      </w:r>
    </w:p>
    <w:p w:rsidR="00000000" w:rsidDel="00000000" w:rsidP="00000000" w:rsidRDefault="00000000" w:rsidRPr="00000000" w14:paraId="00000038">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9">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7. Patient: It refers to patients in medical institutions whose phone number has been verified to be shared with data received through the NEUROGAIT APP.</w:t>
      </w:r>
    </w:p>
    <w:p w:rsidR="00000000" w:rsidDel="00000000" w:rsidP="00000000" w:rsidRDefault="00000000" w:rsidRPr="00000000" w14:paraId="0000003A">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B">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3. Statement, Explanation, and Revision of the Terms and Conditions</w:t>
      </w:r>
    </w:p>
    <w:p w:rsidR="00000000" w:rsidDel="00000000" w:rsidP="00000000" w:rsidRDefault="00000000" w:rsidRPr="00000000" w14:paraId="0000003D">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Application of the terms and conditions</w:t>
      </w:r>
    </w:p>
    <w:p w:rsidR="00000000" w:rsidDel="00000000" w:rsidP="00000000" w:rsidRDefault="00000000" w:rsidRPr="00000000" w14:paraId="0000003F">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0">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1. The use of NEUROGAIT APP shall be governed by these Terms and Conditions, and matters not stipulated in these Terms and Conditions shall be governed by laws and regulations or commercial customs. If the company finds it necessary, these Terms and Conditions may be revised to the extent that it does not violate related laws such as Act On the Consumer Protection in Electronic Commerce, Act on the Regulations of Terms and Conditions, Framework Act on Electronic Documents and Transactions, Electronic Financial Transactions Act, Electronic Signature Act, Act on Promotion of Information and Communications Network Utilization and Information Protection, etc., Consumer Basic Act, etc.</w:t>
      </w:r>
    </w:p>
    <w:p w:rsidR="00000000" w:rsidDel="00000000" w:rsidP="00000000" w:rsidRDefault="00000000" w:rsidRPr="00000000" w14:paraId="00000041">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2">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2. If the Terms and Conditions are revised, the company shall notify the date of application and revised reasons with the current Terms and Conditions 7 days prior to the date of application to the day before the date of application. However, if the Terms and Regulations are revised unfavorable to the members, it shall be notified at least 30 days before. In such cases, the company shall clearly indicate the differences before and after the revision in a manner for members to easily understand. If the members continue to use after the notified date of application, it Is deemed as agreed to the revised Terms and Conditions.</w:t>
      </w:r>
    </w:p>
    <w:p w:rsidR="00000000" w:rsidDel="00000000" w:rsidP="00000000" w:rsidRDefault="00000000" w:rsidRPr="00000000" w14:paraId="00000043">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4">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3. Members who disagree to the revised Terms and Conditions can freely cancel the service membership agreement anytime. The matters not stipulated in these Terms and Conditions and the interpretation of these Terms and Conditions shall be governed by Act on the Consumer Protection in Electronic Commerce, Act on the Regulations of Terms and Conditions, Act on the Consumer Protection in Electronic Commerce and related laws of Fair Trade Commission or commercial customs.</w:t>
      </w:r>
    </w:p>
    <w:p w:rsidR="00000000" w:rsidDel="00000000" w:rsidP="00000000" w:rsidRDefault="00000000" w:rsidRPr="00000000" w14:paraId="00000045">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6">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&lt;Article 2 Service Use&gt;</w:t>
      </w:r>
    </w:p>
    <w:p w:rsidR="00000000" w:rsidDel="00000000" w:rsidP="00000000" w:rsidRDefault="00000000" w:rsidRPr="00000000" w14:paraId="00000048">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4. Establishment of the Membership Agreement</w:t>
      </w:r>
    </w:p>
    <w:p w:rsidR="00000000" w:rsidDel="00000000" w:rsidP="00000000" w:rsidRDefault="00000000" w:rsidRPr="00000000" w14:paraId="0000004A">
      <w:pPr>
        <w:rPr>
          <w:rFonts w:ascii="Calibri" w:cs="Calibri" w:eastAsia="Calibri" w:hAnsi="Calibri"/>
          <w:sz w:val="18"/>
          <w:szCs w:val="18"/>
        </w:rPr>
      </w:pPr>
      <w:r w:rsidDel="00000000" w:rsidR="00000000" w:rsidRPr="00000000">
        <w:rPr>
          <w:rFonts w:ascii="Calibri" w:cs="Calibri" w:eastAsia="Calibri" w:hAnsi="Calibri"/>
          <w:sz w:val="18"/>
          <w:szCs w:val="18"/>
          <w:rtl w:val="0"/>
        </w:rPr>
        <w:tab/>
      </w:r>
    </w:p>
    <w:p w:rsidR="00000000" w:rsidDel="00000000" w:rsidP="00000000" w:rsidRDefault="00000000" w:rsidRPr="00000000" w14:paraId="0000004B">
      <w:pPr>
        <w:ind w:left="4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Membership Agreement shall be established by the agreement of the Terms and Conditions by the person who plans to use the service and the approval of the company on the membership application. The applicant becomes a member when they have registered for the company service. Before entering into the Service membership agreement, the applicant must fully understand the following matters notified by the company regarding the service and use it accurately without error.</w:t>
      </w:r>
    </w:p>
    <w:p w:rsidR="00000000" w:rsidDel="00000000" w:rsidP="00000000" w:rsidRDefault="00000000" w:rsidRPr="00000000" w14:paraId="0000004C">
      <w:pPr>
        <w:ind w:left="425"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D">
      <w:pPr>
        <w:ind w:left="849"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1. Content of the service, matters relating to cancellation methods, etc.</w:t>
      </w:r>
    </w:p>
    <w:p w:rsidR="00000000" w:rsidDel="00000000" w:rsidP="00000000" w:rsidRDefault="00000000" w:rsidRPr="00000000" w14:paraId="0000004E">
      <w:pPr>
        <w:ind w:left="84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F">
      <w:pPr>
        <w:ind w:left="849"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2. Server policy operating saved data within service.</w:t>
      </w:r>
    </w:p>
    <w:p w:rsidR="00000000" w:rsidDel="00000000" w:rsidP="00000000" w:rsidRDefault="00000000" w:rsidRPr="00000000" w14:paraId="00000050">
      <w:pPr>
        <w:ind w:left="84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1">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5. Approval of the Membership Application</w:t>
      </w:r>
    </w:p>
    <w:p w:rsidR="00000000" w:rsidDel="00000000" w:rsidP="00000000" w:rsidRDefault="00000000" w:rsidRPr="00000000" w14:paraId="00000053">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4">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1. The company approves the membership application when the medical staff fills in the verification code in accordance with the sign-up form of the company and verifies their identity. The company approves the membership application when the patient agrees to the service use through an SMS sent to personal phone number by the sign-up form, privacy policy, and provision of the personal information to the third party.</w:t>
      </w:r>
    </w:p>
    <w:p w:rsidR="00000000" w:rsidDel="00000000" w:rsidP="00000000" w:rsidRDefault="00000000" w:rsidRPr="00000000" w14:paraId="00000055">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6">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2. If the company receives the membership application in accordance with the preceding Paragraph, the period of establishment of the membership application begins when the applicant for the service agrees to the terms of use. Disadvantages arising from changes made by the members in personal information or failing to notify the changes when there has been changes in the filled out membership application matters during the membership application belongs to the members.</w:t>
      </w:r>
    </w:p>
    <w:p w:rsidR="00000000" w:rsidDel="00000000" w:rsidP="00000000" w:rsidRDefault="00000000" w:rsidRPr="00000000" w14:paraId="00000057">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ab/>
        <w:tab/>
      </w:r>
    </w:p>
    <w:p w:rsidR="00000000" w:rsidDel="00000000" w:rsidP="00000000" w:rsidRDefault="00000000" w:rsidRPr="00000000" w14:paraId="00000058">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3. The company may cancel the membership agreement when not agreeing to the membership application of the following each Subparagraphs or afterwards, and depending on the severity of the case, the applicant may be charged with compensation. </w:t>
      </w:r>
    </w:p>
    <w:p w:rsidR="00000000" w:rsidDel="00000000" w:rsidP="00000000" w:rsidRDefault="00000000" w:rsidRPr="00000000" w14:paraId="00000059">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ab/>
      </w:r>
    </w:p>
    <w:p w:rsidR="00000000" w:rsidDel="00000000" w:rsidP="00000000" w:rsidRDefault="00000000" w:rsidRPr="00000000" w14:paraId="0000005A">
      <w:pPr>
        <w:ind w:left="851"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1. When in use of someone else’s name or there are false and misdescriptions of the filled out contents.</w:t>
      </w:r>
    </w:p>
    <w:p w:rsidR="00000000" w:rsidDel="00000000" w:rsidP="00000000" w:rsidRDefault="00000000" w:rsidRPr="00000000" w14:paraId="0000005B">
      <w:pPr>
        <w:ind w:left="851"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C">
      <w:pPr>
        <w:ind w:left="851"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2. When reapplying for the membership after the membership agreement has been cancelled by the company.</w:t>
      </w:r>
    </w:p>
    <w:p w:rsidR="00000000" w:rsidDel="00000000" w:rsidP="00000000" w:rsidRDefault="00000000" w:rsidRPr="00000000" w14:paraId="0000005D">
      <w:pPr>
        <w:ind w:left="851"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E">
      <w:pPr>
        <w:ind w:left="851"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3. When the membership entitlement has been lost before by these Terms and Conditions. However, exceptions are made when the company approves of the reregistration after they have been lost with the entitlement. </w:t>
      </w:r>
    </w:p>
    <w:p w:rsidR="00000000" w:rsidDel="00000000" w:rsidP="00000000" w:rsidRDefault="00000000" w:rsidRPr="00000000" w14:paraId="0000005F">
      <w:pPr>
        <w:ind w:left="851"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0">
      <w:pPr>
        <w:ind w:left="851"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4. When in plan to use the service for illegal use or for the purpose of pursuing profit.</w:t>
      </w:r>
    </w:p>
    <w:p w:rsidR="00000000" w:rsidDel="00000000" w:rsidP="00000000" w:rsidRDefault="00000000" w:rsidRPr="00000000" w14:paraId="00000061">
      <w:pPr>
        <w:ind w:left="851"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2">
      <w:pPr>
        <w:ind w:left="851"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5. When applied for the purposes that violate relevant laws or that may impair social well-being or good morals. </w:t>
      </w:r>
    </w:p>
    <w:p w:rsidR="00000000" w:rsidDel="00000000" w:rsidP="00000000" w:rsidRDefault="00000000" w:rsidRPr="00000000" w14:paraId="00000063">
      <w:pPr>
        <w:ind w:left="851"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4">
      <w:pPr>
        <w:ind w:left="851"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6. When there is insufficient space in facilities such as servers and mobile devices due to the company service operation. However, in this case, the approval may be withheld until the cause is resolved.</w:t>
      </w:r>
    </w:p>
    <w:p w:rsidR="00000000" w:rsidDel="00000000" w:rsidP="00000000" w:rsidRDefault="00000000" w:rsidRPr="00000000" w14:paraId="00000065">
      <w:pPr>
        <w:ind w:left="851"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6">
      <w:pPr>
        <w:ind w:left="851"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7. When violating these terms and conditions or violations or illegal use application has been found and use approval, refusal or cancellation of the membership agreement is necessary according to the reasonable decisions made by the company.</w:t>
      </w:r>
    </w:p>
    <w:p w:rsidR="00000000" w:rsidDel="00000000" w:rsidP="00000000" w:rsidRDefault="00000000" w:rsidRPr="00000000" w14:paraId="00000067">
      <w:pPr>
        <w:ind w:left="851"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6. Service Use Initiation</w:t>
      </w:r>
    </w:p>
    <w:p w:rsidR="00000000" w:rsidDel="00000000" w:rsidP="00000000" w:rsidRDefault="00000000" w:rsidRPr="00000000" w14:paraId="00000069">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A">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company initiates the service from the time the member’s service registration is completed. When the service cannot be initiated due to business or technical disturbances, it is notified by phone, e-mail or SMS.</w:t>
      </w:r>
    </w:p>
    <w:p w:rsidR="00000000" w:rsidDel="00000000" w:rsidP="00000000" w:rsidRDefault="00000000" w:rsidRPr="00000000" w14:paraId="0000006B">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7. Service Hours</w:t>
      </w:r>
    </w:p>
    <w:p w:rsidR="00000000" w:rsidDel="00000000" w:rsidP="00000000" w:rsidRDefault="00000000" w:rsidRPr="00000000" w14:paraId="0000006D">
      <w:pPr>
        <w:rPr>
          <w:rFonts w:ascii="Calibri" w:cs="Calibri" w:eastAsia="Calibri" w:hAnsi="Calibri"/>
          <w:sz w:val="18"/>
          <w:szCs w:val="18"/>
        </w:rPr>
      </w:pPr>
      <w:r w:rsidDel="00000000" w:rsidR="00000000" w:rsidRPr="00000000">
        <w:rPr>
          <w:rFonts w:ascii="Calibri" w:cs="Calibri" w:eastAsia="Calibri" w:hAnsi="Calibri"/>
          <w:sz w:val="18"/>
          <w:szCs w:val="18"/>
          <w:rtl w:val="0"/>
        </w:rPr>
        <w:tab/>
      </w:r>
    </w:p>
    <w:p w:rsidR="00000000" w:rsidDel="00000000" w:rsidP="00000000" w:rsidRDefault="00000000" w:rsidRPr="00000000" w14:paraId="0000006E">
      <w:pPr>
        <w:rPr>
          <w:rFonts w:ascii="Calibri" w:cs="Calibri" w:eastAsia="Calibri" w:hAnsi="Calibri"/>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6F">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0">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principle, service hours are 24 hours a day, 7 days a week. However, the service may be temporarily suspended for business or technical reasons. The service may be temporarily suspended for a specified period set by the company for operation purposes. In this case, the temporary suspension facts and suspension period shall be notified however, it shall be notified later for urgent or unavoidable circumstances of which advance notification is not possible. </w:t>
      </w:r>
    </w:p>
    <w:p w:rsidR="00000000" w:rsidDel="00000000" w:rsidP="00000000" w:rsidRDefault="00000000" w:rsidRPr="00000000" w14:paraId="00000071">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8. Service Changes and Suspension</w:t>
      </w:r>
    </w:p>
    <w:p w:rsidR="00000000" w:rsidDel="00000000" w:rsidP="00000000" w:rsidRDefault="00000000" w:rsidRPr="00000000" w14:paraId="00000073">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4">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company may change the server for operational and technical needs, and in this case, the contents of the service to be changed and the date of provision shall be notified to the medical staff and medical institutions. The company may temporarily limit or suspend part or all of the service for cases deeming the following Paragraphs. </w:t>
      </w:r>
    </w:p>
    <w:p w:rsidR="00000000" w:rsidDel="00000000" w:rsidP="00000000" w:rsidRDefault="00000000" w:rsidRPr="00000000" w14:paraId="00000075">
      <w:pPr>
        <w:rPr>
          <w:rFonts w:ascii="Calibri" w:cs="Calibri" w:eastAsia="Calibri" w:hAnsi="Calibri"/>
          <w:sz w:val="18"/>
          <w:szCs w:val="18"/>
        </w:rPr>
      </w:pPr>
      <w:r w:rsidDel="00000000" w:rsidR="00000000" w:rsidRPr="00000000">
        <w:rPr>
          <w:rFonts w:ascii="Calibri" w:cs="Calibri" w:eastAsia="Calibri" w:hAnsi="Calibri"/>
          <w:sz w:val="18"/>
          <w:szCs w:val="18"/>
          <w:rtl w:val="0"/>
        </w:rPr>
        <w:tab/>
      </w:r>
    </w:p>
    <w:p w:rsidR="00000000" w:rsidDel="00000000" w:rsidP="00000000" w:rsidRDefault="00000000" w:rsidRPr="00000000" w14:paraId="00000076">
      <w:pPr>
        <w:ind w:left="849"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1. When avoidable due to software service repair etc.</w:t>
      </w:r>
    </w:p>
    <w:p w:rsidR="00000000" w:rsidDel="00000000" w:rsidP="00000000" w:rsidRDefault="00000000" w:rsidRPr="00000000" w14:paraId="00000077">
      <w:pPr>
        <w:ind w:left="84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8">
      <w:pPr>
        <w:ind w:left="849"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2. When medical institution is purposely disrupting the company’s provision of service.</w:t>
      </w:r>
    </w:p>
    <w:p w:rsidR="00000000" w:rsidDel="00000000" w:rsidP="00000000" w:rsidRDefault="00000000" w:rsidRPr="00000000" w14:paraId="00000079">
      <w:pPr>
        <w:ind w:left="84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A">
      <w:pPr>
        <w:ind w:left="849"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3. In case of force majeure beyond the company’s control, such as service suspension due to administrative actions such as administrative and judicial disposition of national institutions, government organizations, investigating agencies, and other natural disasters, national emergencies, Korea Communications Commission.</w:t>
      </w:r>
    </w:p>
    <w:p w:rsidR="00000000" w:rsidDel="00000000" w:rsidP="00000000" w:rsidRDefault="00000000" w:rsidRPr="00000000" w14:paraId="0000007B">
      <w:pPr>
        <w:ind w:left="84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C">
      <w:pPr>
        <w:ind w:left="849"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4. In principle, service suspension must be notified to the medical staff and medical institutions in advance however, when advance notification is difficult or for unavoidable or urgent cases, it can be notified later. </w:t>
      </w:r>
    </w:p>
    <w:p w:rsidR="00000000" w:rsidDel="00000000" w:rsidP="00000000" w:rsidRDefault="00000000" w:rsidRPr="00000000" w14:paraId="0000007D">
      <w:pPr>
        <w:ind w:left="84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E">
      <w:pPr>
        <w:ind w:left="849"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5. In case of facility inspection and maintenance for the purpose of service improvement, up to 24 hours per month (hereinafter referred to as “grace time”) is not included in the suspension/disabled time.</w:t>
      </w:r>
    </w:p>
    <w:p w:rsidR="00000000" w:rsidDel="00000000" w:rsidP="00000000" w:rsidRDefault="00000000" w:rsidRPr="00000000" w14:paraId="0000007F">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9. Provision of Information</w:t>
      </w:r>
    </w:p>
    <w:p w:rsidR="00000000" w:rsidDel="00000000" w:rsidP="00000000" w:rsidRDefault="00000000" w:rsidRPr="00000000" w14:paraId="00000081">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2">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1. The medical staff provides personal information in using the NEUROGAIT service and the patient member provides personal information to the medical institution in use of NEUROGAIT to be shared of Insole data and provides the information necessary for service use to the third party such as medical staff.</w:t>
      </w:r>
    </w:p>
    <w:p w:rsidR="00000000" w:rsidDel="00000000" w:rsidP="00000000" w:rsidRDefault="00000000" w:rsidRPr="00000000" w14:paraId="00000083">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4">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2. Personal information is used only within members’ agreed purposes and scope for the smooth provision of the NEUROGAIT services. The company does not provide the personal information of the members to the third party unless agreed by the members otherwise except when stipulated by the law. Please refer to the privacy policy for the company’s efforts to safely handle members’ personal information and other specifications.</w:t>
      </w:r>
    </w:p>
    <w:p w:rsidR="00000000" w:rsidDel="00000000" w:rsidP="00000000" w:rsidRDefault="00000000" w:rsidRPr="00000000" w14:paraId="00000085">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&lt;Chapter 3 Property Rights, Data Ownership and Use&gt;</w:t>
      </w:r>
    </w:p>
    <w:p w:rsidR="00000000" w:rsidDel="00000000" w:rsidP="00000000" w:rsidRDefault="00000000" w:rsidRPr="00000000" w14:paraId="00000088">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9">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Members provide the media data and biometrics [information included in the NEUROGAIT service] from the service or through the service by methods such as uploading, transferring, or formation and approve the companies to use. The company owns the contents by using the contents provided to the members as a service by copying, replicating, applying, modifying, and editing. The company uses the member information recorded in contents within the scope of service purposes.</w:t>
      </w:r>
    </w:p>
    <w:p w:rsidR="00000000" w:rsidDel="00000000" w:rsidP="00000000" w:rsidRDefault="00000000" w:rsidRPr="00000000" w14:paraId="0000008A">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10. Intellectual Property Rights</w:t>
      </w:r>
    </w:p>
    <w:p w:rsidR="00000000" w:rsidDel="00000000" w:rsidP="00000000" w:rsidRDefault="00000000" w:rsidRPr="00000000" w14:paraId="0000008C">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D">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1. The company provides medical staff the rights to use the service such as rights to register patient member, rights to measure member’s biometrics, and to send data to the members.</w:t>
      </w:r>
    </w:p>
    <w:p w:rsidR="00000000" w:rsidDel="00000000" w:rsidP="00000000" w:rsidRDefault="00000000" w:rsidRPr="00000000" w14:paraId="0000008E">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F">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2. NEUROGAIT APP or any third party's proprietary notices, symbols, trademarks, service marks, trade names, logos or other marks related to the service (including copyright and trademark marks) shall not be removed, hid, modified, or changed with any other methods. It shall be agreed to not use the name or logo in any manner intended or likely to be misleading or confusing the owner, licensor or authorized user (as the case may be) with any other person.</w:t>
      </w:r>
    </w:p>
    <w:p w:rsidR="00000000" w:rsidDel="00000000" w:rsidP="00000000" w:rsidRDefault="00000000" w:rsidRPr="00000000" w14:paraId="00000090">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1">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3. Platform, brand, products, and services including NEUROGAIT all belong to the company.</w:t>
      </w:r>
    </w:p>
    <w:p w:rsidR="00000000" w:rsidDel="00000000" w:rsidP="00000000" w:rsidRDefault="00000000" w:rsidRPr="00000000" w14:paraId="00000092">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3">
      <w:pPr>
        <w:ind w:left="849"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1. As platforms on which the Services are provided, derivative platforms (Services) or products shall not be modified, copied, or created. </w:t>
      </w:r>
    </w:p>
    <w:p w:rsidR="00000000" w:rsidDel="00000000" w:rsidP="00000000" w:rsidRDefault="00000000" w:rsidRPr="00000000" w14:paraId="00000094">
      <w:pPr>
        <w:ind w:left="84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5">
      <w:pPr>
        <w:ind w:left="849"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Subparagraph 2. Copyright infringement in the act of copying the features, functions, interfaces, and graphics of the service is subject to the relevant laws and regulations.</w:t>
      </w:r>
    </w:p>
    <w:p w:rsidR="00000000" w:rsidDel="00000000" w:rsidP="00000000" w:rsidRDefault="00000000" w:rsidRPr="00000000" w14:paraId="0000009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11. Data Ownership</w:t>
      </w:r>
    </w:p>
    <w:p w:rsidR="00000000" w:rsidDel="00000000" w:rsidP="00000000" w:rsidRDefault="00000000" w:rsidRPr="00000000" w14:paraId="00000098">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9">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company has the ownership of the information, documents, media data, and biometric data of the members and the data and data use rights provided by the members during the use of the service belongs to the company. For business purposes, personal information of the members’ statistical data can be prepared and used, and for this purpose, cookies and e-mails can be sent to the medical staff's mobile (android, ios) app. The patient can refuse this, and the patient's refusal causes the service to stop, for which the patient is responsible and the company will not be held responsible.</w:t>
      </w:r>
    </w:p>
    <w:p w:rsidR="00000000" w:rsidDel="00000000" w:rsidP="00000000" w:rsidRDefault="00000000" w:rsidRPr="00000000" w14:paraId="0000009A">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12. Data Disputes</w:t>
      </w:r>
    </w:p>
    <w:p w:rsidR="00000000" w:rsidDel="00000000" w:rsidP="00000000" w:rsidRDefault="00000000" w:rsidRPr="00000000" w14:paraId="0000009C">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D">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If the medical staff with administrative privileges has deleted the server data, data restoration is not possible. The medical staff shall send the data to the patients in case the patient requests for the personal data and the company does not have any correlation in disputes relating the data ownership or access. The company does not have any responsibilities to be involved in the dispute between the medical staff and the patient, of which the member accepts and agrees. The company is governed by regulations related to service operation and maintenance such as Act on Promotion of Information and Communications Network Utilization and Information Protection, etc., and Protection of Communications Secrets Act. </w:t>
      </w:r>
    </w:p>
    <w:p w:rsidR="00000000" w:rsidDel="00000000" w:rsidP="00000000" w:rsidRDefault="00000000" w:rsidRPr="00000000" w14:paraId="0000009E">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13. Service License</w:t>
      </w:r>
    </w:p>
    <w:p w:rsidR="00000000" w:rsidDel="00000000" w:rsidP="00000000" w:rsidRDefault="00000000" w:rsidRPr="00000000" w14:paraId="000000A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1">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Company owns and reserves all legal rights, ownership, and interest of the service and all intellectual property rights that may exist in the services, including member data or gait and movement information. Unless the company explicitly approves in writing, the NEUROGAIT service or part of the source code cannot be copied, edited, or generate derivatives, or extract through reverse engineering, decompiling, or any other methods. The license to do so is not approved or accepted to a third party. However, exceptions are made for cases governed by the law.</w:t>
      </w:r>
    </w:p>
    <w:p w:rsidR="00000000" w:rsidDel="00000000" w:rsidP="00000000" w:rsidRDefault="00000000" w:rsidRPr="00000000" w14:paraId="000000A2">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&lt;Chapter 4 Contract Management and Responsibility Consultation&gt;</w:t>
      </w:r>
    </w:p>
    <w:p w:rsidR="00000000" w:rsidDel="00000000" w:rsidP="00000000" w:rsidRDefault="00000000" w:rsidRPr="00000000" w14:paraId="000000A4">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14. Contract Termination</w:t>
      </w:r>
    </w:p>
    <w:p w:rsidR="00000000" w:rsidDel="00000000" w:rsidP="00000000" w:rsidRDefault="00000000" w:rsidRPr="00000000" w14:paraId="000000A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7">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If a member wants to terminate the contract, the member must contact the company or apply for service termination online. If a member cancels the contract, the posts registered in the medical staff account where the member stores their personal information and all their personal information and data will be deleted in accordance with the privacy policy. However, information received by the company through medical institutions is an exception. </w:t>
      </w:r>
    </w:p>
    <w:p w:rsidR="00000000" w:rsidDel="00000000" w:rsidP="00000000" w:rsidRDefault="00000000" w:rsidRPr="00000000" w14:paraId="000000A8">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15. Compensation for damages, disclaimer etc.</w:t>
      </w:r>
    </w:p>
    <w:p w:rsidR="00000000" w:rsidDel="00000000" w:rsidP="00000000" w:rsidRDefault="00000000" w:rsidRPr="00000000" w14:paraId="000000AA">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B">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company is exempted from responsibility for service provision if it is unable to provide the service due to a natural disaster or force majeure equivalent thereto. The company is not responsible for any use service disruption for reasons attributable to the member. The company has no obligations to intervene in disputes between members and is not responsible for any damages arising from this. The company is not responsible for the use of services provided free of charge, unless there are special provisions in the relevant laws and regulations. </w:t>
      </w:r>
    </w:p>
    <w:p w:rsidR="00000000" w:rsidDel="00000000" w:rsidP="00000000" w:rsidRDefault="00000000" w:rsidRPr="00000000" w14:paraId="000000AC">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D">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Article 16. Jurisdiction and Governing Law&gt;</w:t>
      </w:r>
    </w:p>
    <w:p w:rsidR="00000000" w:rsidDel="00000000" w:rsidP="00000000" w:rsidRDefault="00000000" w:rsidRPr="00000000" w14:paraId="000000AF">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B0">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1. The jurisdiction of lawsuits related to the service agreement shall be governed by the Civil Procedure Act.</w:t>
      </w:r>
    </w:p>
    <w:p w:rsidR="00000000" w:rsidDel="00000000" w:rsidP="00000000" w:rsidRDefault="00000000" w:rsidRPr="00000000" w14:paraId="000000B1">
      <w:pPr>
        <w:ind w:left="426"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B2">
      <w:pPr>
        <w:ind w:left="426"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Paragraph 2. This Agreement shall be construed in accordance with the laws of the Republic of Korea. </w:t>
      </w:r>
    </w:p>
    <w:p w:rsidR="00000000" w:rsidDel="00000000" w:rsidP="00000000" w:rsidRDefault="00000000" w:rsidRPr="00000000" w14:paraId="000000B3">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B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These Terms and Conditions are effective from January 10th, 2022.</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next w:val="a"/>
    <w:link w:val="2Char"/>
    <w:uiPriority w:val="9"/>
    <w:unhideWhenUsed w:val="1"/>
    <w:qFormat w:val="1"/>
    <w:rsid w:val="00726464"/>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Char" w:customStyle="1">
    <w:name w:val="제목 2 Char"/>
    <w:basedOn w:val="a0"/>
    <w:link w:val="2"/>
    <w:uiPriority w:val="9"/>
    <w:semiHidden w:val="1"/>
    <w:rsid w:val="00726464"/>
    <w:rPr>
      <w:rFonts w:asciiTheme="majorHAnsi" w:cstheme="majorBidi" w:eastAsiaTheme="majorEastAsia" w:hAnsiTheme="majorHAnsi"/>
      <w:color w:val="2f5496" w:themeColor="accent1" w:themeShade="0000BF"/>
      <w:sz w:val="26"/>
      <w:szCs w:val="26"/>
    </w:rPr>
  </w:style>
  <w:style w:type="paragraph" w:styleId="a3">
    <w:name w:val="header"/>
    <w:basedOn w:val="a"/>
    <w:link w:val="Char"/>
    <w:uiPriority w:val="99"/>
    <w:unhideWhenUsed w:val="1"/>
    <w:rsid w:val="00AB62FC"/>
    <w:pPr>
      <w:tabs>
        <w:tab w:val="center" w:pos="4513"/>
        <w:tab w:val="right" w:pos="9026"/>
      </w:tabs>
      <w:snapToGrid w:val="0"/>
    </w:pPr>
  </w:style>
  <w:style w:type="character" w:styleId="Char" w:customStyle="1">
    <w:name w:val="머리글 Char"/>
    <w:basedOn w:val="a0"/>
    <w:link w:val="a3"/>
    <w:uiPriority w:val="99"/>
    <w:rsid w:val="00AB62FC"/>
  </w:style>
  <w:style w:type="paragraph" w:styleId="a4">
    <w:name w:val="footer"/>
    <w:basedOn w:val="a"/>
    <w:link w:val="Char0"/>
    <w:uiPriority w:val="99"/>
    <w:unhideWhenUsed w:val="1"/>
    <w:rsid w:val="00AB62FC"/>
    <w:pPr>
      <w:tabs>
        <w:tab w:val="center" w:pos="4513"/>
        <w:tab w:val="right" w:pos="9026"/>
      </w:tabs>
      <w:snapToGrid w:val="0"/>
    </w:pPr>
  </w:style>
  <w:style w:type="character" w:styleId="Char0" w:customStyle="1">
    <w:name w:val="바닥글 Char"/>
    <w:basedOn w:val="a0"/>
    <w:link w:val="a4"/>
    <w:uiPriority w:val="99"/>
    <w:rsid w:val="00AB62F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GXqXIC7vNXXjQMisrD/M8pCRrQ==">AMUW2mUZE/LYmzjjD5GWfEYw5qNeZuqe/wiur6yMYldAilGnf6Q2Hsmbj12EUhVeu53CjSPXzEay1NYcXsil2hW+IFTOv+vO4CLTZne4GRXM2YQ85SzhIWE=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2022-01-09T05:12:00Z</dcterms:created>
  <dc:creator>Haran Cha</dc:creator>
</cp:coreProperties>
</file>