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0501AE">
      <w:pPr>
        <w:divId w:val="911231656"/>
        <w:rPr>
          <w:rFonts w:ascii="var(--sans)" w:eastAsia="Times New Roman" w:hAnsi="var(--sans)"/>
          <w:b/>
          <w:bCs/>
          <w:caps/>
          <w:color w:val="9FD6D3"/>
          <w:spacing w:val="29"/>
          <w:sz w:val="19"/>
          <w:szCs w:val="19"/>
        </w:rPr>
      </w:pPr>
      <w:r>
        <w:rPr>
          <w:rFonts w:ascii="var(--sans)" w:eastAsia="Times New Roman" w:hAnsi="var(--sans)"/>
          <w:b/>
          <w:bCs/>
          <w:caps/>
          <w:color w:val="9FD6D3"/>
          <w:spacing w:val="29"/>
          <w:sz w:val="19"/>
          <w:szCs w:val="19"/>
        </w:rPr>
        <w:t>Prototipo académico experimental</w:t>
      </w:r>
      <w:r>
        <w:rPr>
          <w:rFonts w:ascii="var(--sans)" w:eastAsia="Times New Roman" w:hAnsi="var(--sans)"/>
          <w:b/>
          <w:bCs/>
          <w:caps/>
          <w:color w:val="9FD6D3"/>
          <w:spacing w:val="29"/>
          <w:sz w:val="19"/>
          <w:szCs w:val="19"/>
        </w:rPr>
        <w:br/>
        <w:t>No es una publicación oficial de la PUCV</w:t>
      </w:r>
    </w:p>
    <w:p w:rsidR="00000000" w:rsidRDefault="000501AE">
      <w:pPr>
        <w:divId w:val="650869558"/>
        <w:rPr>
          <w:rFonts w:ascii="var(--mono)" w:eastAsia="Times New Roman" w:hAnsi="var(--mono)"/>
          <w:color w:val="A8DEDB"/>
          <w:spacing w:val="24"/>
          <w:sz w:val="18"/>
          <w:szCs w:val="18"/>
        </w:rPr>
      </w:pPr>
      <w:r>
        <w:rPr>
          <w:rFonts w:ascii="var(--mono)" w:eastAsia="Times New Roman" w:hAnsi="var(--mono)"/>
          <w:color w:val="A8DEDB"/>
          <w:spacing w:val="24"/>
          <w:sz w:val="18"/>
          <w:szCs w:val="18"/>
        </w:rPr>
        <w:t>COMPLEMENTO · v1.1</w:t>
      </w:r>
    </w:p>
    <w:p w:rsidR="00000000" w:rsidRDefault="000501AE">
      <w:pPr>
        <w:divId w:val="688992108"/>
        <w:rPr>
          <w:rFonts w:ascii="var(--sans)" w:eastAsia="Times New Roman" w:hAnsi="var(--sans)"/>
          <w:caps/>
          <w:color w:val="5FBFBB"/>
          <w:spacing w:val="41"/>
          <w:sz w:val="20"/>
          <w:szCs w:val="20"/>
        </w:rPr>
      </w:pPr>
      <w:r>
        <w:rPr>
          <w:rFonts w:ascii="var(--sans)" w:eastAsia="Times New Roman" w:hAnsi="var(--sans)"/>
          <w:caps/>
          <w:color w:val="5FBFBB"/>
          <w:spacing w:val="41"/>
          <w:sz w:val="20"/>
          <w:szCs w:val="20"/>
        </w:rPr>
        <w:t>Informe 01 · documento complementario</w:t>
      </w:r>
    </w:p>
    <w:p w:rsidR="00000000" w:rsidRDefault="000501AE">
      <w:pPr>
        <w:pStyle w:val="Ttulo1"/>
        <w:spacing w:after="340"/>
        <w:divId w:val="1789466743"/>
        <w:rPr>
          <w:rFonts w:eastAsia="Times New Roman"/>
          <w:color w:val="FFFFFF"/>
          <w:spacing w:val="-8"/>
          <w:sz w:val="94"/>
          <w:szCs w:val="94"/>
        </w:rPr>
      </w:pPr>
      <w:r>
        <w:rPr>
          <w:rFonts w:eastAsia="Times New Roman"/>
          <w:color w:val="FFFFFF"/>
          <w:spacing w:val="-8"/>
          <w:sz w:val="94"/>
          <w:szCs w:val="94"/>
        </w:rPr>
        <w:t xml:space="preserve">La PUCV como </w:t>
      </w:r>
      <w:r>
        <w:rPr>
          <w:rStyle w:val="hl2"/>
          <w:rFonts w:eastAsia="Times New Roman"/>
          <w:spacing w:val="-8"/>
          <w:sz w:val="94"/>
          <w:szCs w:val="94"/>
        </w:rPr>
        <w:t>caso de proyección</w:t>
      </w:r>
      <w:r>
        <w:rPr>
          <w:rFonts w:eastAsia="Times New Roman"/>
          <w:color w:val="FFFFFF"/>
          <w:spacing w:val="-8"/>
          <w:sz w:val="94"/>
          <w:szCs w:val="94"/>
        </w:rPr>
        <w:t>, no como caso comparado</w:t>
      </w:r>
    </w:p>
    <w:p w:rsidR="00000000" w:rsidRDefault="000501AE">
      <w:pPr>
        <w:pStyle w:val="cv-sub"/>
        <w:divId w:val="1789466743"/>
      </w:pPr>
      <w:r>
        <w:t>Por qué esta institución se retira del comparador de diez, qué conflicto de interés lo obliga, y qué puede proyectarse sobre la base que ya existe.</w:t>
      </w:r>
    </w:p>
    <w:p w:rsidR="00000000" w:rsidRDefault="000501AE">
      <w:pPr>
        <w:divId w:val="1789466743"/>
        <w:rPr>
          <w:rFonts w:ascii="var(--serif)" w:eastAsia="Times New Roman" w:hAnsi="var(--serif)"/>
          <w:sz w:val="24"/>
          <w:szCs w:val="24"/>
        </w:rPr>
      </w:pPr>
      <w:r>
        <w:rPr>
          <w:rStyle w:val="cv-tag1"/>
          <w:rFonts w:eastAsia="Times New Roman"/>
        </w:rPr>
        <w:t>Conflicto de interés declarado</w:t>
      </w:r>
      <w:r>
        <w:rPr>
          <w:rFonts w:ascii="var(--serif)" w:eastAsia="Times New Roman" w:hAnsi="var(--serif)"/>
          <w:sz w:val="24"/>
          <w:szCs w:val="24"/>
        </w:rPr>
        <w:t xml:space="preserve"> </w:t>
      </w:r>
    </w:p>
    <w:p w:rsidR="00000000" w:rsidRDefault="000501AE">
      <w:pPr>
        <w:divId w:val="598179594"/>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Documento</w:t>
      </w:r>
    </w:p>
    <w:p w:rsidR="00000000" w:rsidRDefault="000501AE">
      <w:pPr>
        <w:divId w:val="1561400362"/>
        <w:rPr>
          <w:rFonts w:ascii="var(--sans)" w:eastAsia="Times New Roman" w:hAnsi="var(--sans)"/>
          <w:b/>
          <w:bCs/>
          <w:color w:val="E9F2F8"/>
          <w:sz w:val="24"/>
          <w:szCs w:val="24"/>
        </w:rPr>
      </w:pPr>
      <w:r>
        <w:rPr>
          <w:rFonts w:ascii="var(--sans)" w:eastAsia="Times New Roman" w:hAnsi="var(--sans)"/>
          <w:b/>
          <w:bCs/>
          <w:color w:val="E9F2F8"/>
          <w:sz w:val="24"/>
          <w:szCs w:val="24"/>
        </w:rPr>
        <w:t>Complementario</w:t>
      </w:r>
      <w:r>
        <w:rPr>
          <w:rFonts w:ascii="var(--serif)" w:eastAsia="Times New Roman" w:hAnsi="var(--serif)"/>
          <w:color w:val="9DB4C6"/>
          <w:sz w:val="18"/>
          <w:szCs w:val="18"/>
        </w:rPr>
        <w:t>No sustituye al Informe 01</w:t>
      </w:r>
    </w:p>
    <w:p w:rsidR="00000000" w:rsidRDefault="000501AE">
      <w:pPr>
        <w:divId w:val="1310861845"/>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Corte</w:t>
      </w:r>
    </w:p>
    <w:p w:rsidR="00000000" w:rsidRDefault="000501AE">
      <w:pPr>
        <w:divId w:val="2071072731"/>
        <w:rPr>
          <w:rFonts w:ascii="var(--sans)" w:eastAsia="Times New Roman" w:hAnsi="var(--sans)"/>
          <w:b/>
          <w:bCs/>
          <w:color w:val="E9F2F8"/>
          <w:sz w:val="24"/>
          <w:szCs w:val="24"/>
        </w:rPr>
      </w:pPr>
      <w:r>
        <w:rPr>
          <w:rFonts w:ascii="var(--sans)" w:eastAsia="Times New Roman" w:hAnsi="var(--sans)"/>
          <w:b/>
          <w:bCs/>
          <w:color w:val="E9F2F8"/>
          <w:sz w:val="24"/>
          <w:szCs w:val="24"/>
        </w:rPr>
        <w:t>06-09-2026</w:t>
      </w:r>
      <w:r>
        <w:rPr>
          <w:rFonts w:ascii="var(--serif)" w:eastAsia="Times New Roman" w:hAnsi="var(--serif)"/>
          <w:color w:val="9DB4C6"/>
          <w:sz w:val="18"/>
          <w:szCs w:val="18"/>
        </w:rPr>
        <w:t xml:space="preserve">El mismo </w:t>
      </w:r>
      <w:r>
        <w:rPr>
          <w:rFonts w:ascii="var(--serif)" w:eastAsia="Times New Roman" w:hAnsi="var(--serif)"/>
          <w:color w:val="9DB4C6"/>
          <w:sz w:val="18"/>
          <w:szCs w:val="18"/>
        </w:rPr>
        <w:t>del informe principal</w:t>
      </w:r>
    </w:p>
    <w:p w:rsidR="00000000" w:rsidRDefault="000501AE">
      <w:pPr>
        <w:divId w:val="541091080"/>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Autoría</w:t>
      </w:r>
    </w:p>
    <w:p w:rsidR="00000000" w:rsidRDefault="000501AE">
      <w:pPr>
        <w:divId w:val="2058891528"/>
        <w:rPr>
          <w:rFonts w:ascii="var(--sans)" w:eastAsia="Times New Roman" w:hAnsi="var(--sans)"/>
          <w:b/>
          <w:bCs/>
          <w:color w:val="E9F2F8"/>
          <w:sz w:val="24"/>
          <w:szCs w:val="24"/>
        </w:rPr>
      </w:pPr>
      <w:r>
        <w:rPr>
          <w:rFonts w:ascii="var(--sans)" w:eastAsia="Times New Roman" w:hAnsi="var(--sans)"/>
          <w:b/>
          <w:bCs/>
          <w:color w:val="E9F2F8"/>
          <w:sz w:val="24"/>
          <w:szCs w:val="24"/>
        </w:rPr>
        <w:t>Diego H. Ojeda Cifuentes</w:t>
      </w:r>
      <w:r>
        <w:rPr>
          <w:rFonts w:ascii="var(--serif)" w:eastAsia="Times New Roman" w:hAnsi="var(--serif)"/>
          <w:color w:val="9DB4C6"/>
          <w:sz w:val="18"/>
          <w:szCs w:val="18"/>
        </w:rPr>
        <w:t>Parte interesada. Véase §1</w:t>
      </w:r>
    </w:p>
    <w:p w:rsidR="00000000" w:rsidRDefault="000501AE">
      <w:pPr>
        <w:divId w:val="424619975"/>
        <w:rPr>
          <w:rFonts w:ascii="var(--sans)" w:eastAsia="Times New Roman" w:hAnsi="var(--sans)"/>
          <w:b/>
          <w:bCs/>
          <w:caps/>
          <w:color w:val="7F9BB0"/>
          <w:spacing w:val="34"/>
          <w:sz w:val="17"/>
          <w:szCs w:val="17"/>
        </w:rPr>
      </w:pPr>
      <w:r>
        <w:rPr>
          <w:rFonts w:ascii="var(--sans)" w:eastAsia="Times New Roman" w:hAnsi="var(--sans)"/>
          <w:b/>
          <w:bCs/>
          <w:caps/>
          <w:color w:val="7F9BB0"/>
          <w:spacing w:val="34"/>
          <w:sz w:val="17"/>
          <w:szCs w:val="17"/>
        </w:rPr>
        <w:t>Naturaleza</w:t>
      </w:r>
    </w:p>
    <w:p w:rsidR="00000000" w:rsidRDefault="000501AE">
      <w:pPr>
        <w:divId w:val="1980265812"/>
        <w:rPr>
          <w:rFonts w:ascii="var(--sans)" w:eastAsia="Times New Roman" w:hAnsi="var(--sans)"/>
          <w:b/>
          <w:bCs/>
          <w:color w:val="E9F2F8"/>
          <w:sz w:val="24"/>
          <w:szCs w:val="24"/>
        </w:rPr>
      </w:pPr>
      <w:r>
        <w:rPr>
          <w:rFonts w:ascii="var(--sans)" w:eastAsia="Times New Roman" w:hAnsi="var(--sans)"/>
          <w:b/>
          <w:bCs/>
          <w:color w:val="E9F2F8"/>
          <w:sz w:val="24"/>
          <w:szCs w:val="24"/>
        </w:rPr>
        <w:t>Proyecciones</w:t>
      </w:r>
      <w:r>
        <w:rPr>
          <w:rFonts w:ascii="var(--serif)" w:eastAsia="Times New Roman" w:hAnsi="var(--serif)"/>
          <w:color w:val="9DB4C6"/>
          <w:sz w:val="18"/>
          <w:szCs w:val="18"/>
        </w:rPr>
        <w:t>No es evaluación ni ranking</w:t>
      </w:r>
    </w:p>
    <w:p w:rsidR="00000000" w:rsidRDefault="000501AE">
      <w:pPr>
        <w:divId w:val="1268856361"/>
        <w:rPr>
          <w:rFonts w:ascii="var(--sans)" w:eastAsia="Times New Roman" w:hAnsi="var(--sans)"/>
          <w:color w:val="8FA6BA"/>
          <w:sz w:val="19"/>
          <w:szCs w:val="19"/>
        </w:rPr>
      </w:pPr>
      <w:r>
        <w:rPr>
          <w:rFonts w:ascii="var(--sans)" w:eastAsia="Times New Roman" w:hAnsi="var(--sans)"/>
          <w:color w:val="8FA6BA"/>
          <w:sz w:val="19"/>
          <w:szCs w:val="19"/>
        </w:rPr>
        <w:t>Este documento no puntúa, no ordena y no compara. El comparador ordinal del Informe 01 cubre diez instituciones y la Pontifi</w:t>
      </w:r>
      <w:r>
        <w:rPr>
          <w:rFonts w:ascii="var(--sans)" w:eastAsia="Times New Roman" w:hAnsi="var(--sans)"/>
          <w:color w:val="8FA6BA"/>
          <w:sz w:val="19"/>
          <w:szCs w:val="19"/>
        </w:rPr>
        <w:t>cia Universidad Católica de Valparaíso no es una de ellas, por decisión metodológica que aquí se explica y se funda.</w:t>
      </w:r>
    </w:p>
    <w:p w:rsidR="00000000" w:rsidRDefault="000501AE">
      <w:pPr>
        <w:divId w:val="1779523575"/>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v1.1</w:t>
      </w:r>
    </w:p>
    <w:p w:rsidR="00000000" w:rsidRDefault="000501AE">
      <w:pPr>
        <w:pStyle w:val="eyebrow"/>
        <w:divId w:val="1100102970"/>
      </w:pPr>
      <w:r>
        <w:t>La razón del documento</w:t>
      </w:r>
    </w:p>
    <w:p w:rsidR="00000000" w:rsidRDefault="000501AE">
      <w:pPr>
        <w:pStyle w:val="Ttulo2"/>
        <w:divId w:val="1100102970"/>
        <w:rPr>
          <w:rFonts w:eastAsia="Times New Roman"/>
        </w:rPr>
      </w:pPr>
      <w:r>
        <w:rPr>
          <w:rFonts w:eastAsia="Times New Roman"/>
        </w:rPr>
        <w:t>1 · Por qué la PUCV sale del comparador</w:t>
      </w:r>
    </w:p>
    <w:p w:rsidR="00000000" w:rsidRDefault="000501AE">
      <w:pPr>
        <w:pStyle w:val="Ttulo5"/>
        <w:divId w:val="715930160"/>
        <w:rPr>
          <w:rFonts w:eastAsia="Times New Roman"/>
        </w:rPr>
      </w:pPr>
      <w:r>
        <w:rPr>
          <w:rFonts w:eastAsia="Times New Roman"/>
        </w:rPr>
        <w:t>Declaración d</w:t>
      </w:r>
      <w:r>
        <w:rPr>
          <w:rFonts w:eastAsia="Times New Roman"/>
        </w:rPr>
        <w:t>e conflicto de interés</w:t>
      </w:r>
    </w:p>
    <w:p w:rsidR="00000000" w:rsidRDefault="000501AE">
      <w:pPr>
        <w:pStyle w:val="NormalWeb"/>
        <w:divId w:val="715930160"/>
        <w:rPr>
          <w:rFonts w:ascii="var(--serif)" w:hAnsi="var(--serif)"/>
          <w:sz w:val="24"/>
          <w:szCs w:val="24"/>
        </w:rPr>
      </w:pPr>
      <w:r>
        <w:rPr>
          <w:rStyle w:val="Textoennegrita"/>
          <w:rFonts w:ascii="var(--serif)" w:hAnsi="var(--serif)"/>
          <w:sz w:val="24"/>
          <w:szCs w:val="24"/>
        </w:rPr>
        <w:t>Quien firma este informe es parte interesada en una de las instituciones que estudia.</w:t>
      </w:r>
      <w:r>
        <w:rPr>
          <w:rFonts w:ascii="var(--serif)" w:hAnsi="var(--serif)"/>
          <w:sz w:val="24"/>
          <w:szCs w:val="24"/>
        </w:rPr>
        <w:t xml:space="preserve"> Trabajo en el Programa de Derecho, Inteligencia Artificial y Tecnología de la Escuela de Derecho de la </w:t>
      </w:r>
      <w:r>
        <w:rPr>
          <w:rFonts w:ascii="var(--serif)" w:hAnsi="var(--serif)"/>
          <w:sz w:val="24"/>
          <w:szCs w:val="24"/>
        </w:rPr>
        <w:t>Pontificia Universidad Católica de Valparaíso, participo en la organización del certamen de innovación legal de la Facultad, y llevo seis años vinculado a la Universidad.</w:t>
      </w:r>
    </w:p>
    <w:p w:rsidR="00000000" w:rsidRDefault="000501AE">
      <w:pPr>
        <w:pStyle w:val="NormalWeb"/>
        <w:divId w:val="715930160"/>
        <w:rPr>
          <w:rFonts w:ascii="var(--serif)" w:hAnsi="var(--serif)"/>
          <w:sz w:val="24"/>
          <w:szCs w:val="24"/>
        </w:rPr>
      </w:pPr>
      <w:r>
        <w:rPr>
          <w:rFonts w:ascii="var(--serif)" w:hAnsi="var(--serif)"/>
          <w:sz w:val="24"/>
          <w:szCs w:val="24"/>
        </w:rPr>
        <w:t xml:space="preserve">No es un conflicto potencial ni remoto: es actual, directo y sobre el objeto medido. </w:t>
      </w:r>
      <w:r>
        <w:rPr>
          <w:rFonts w:ascii="var(--serif)" w:hAnsi="var(--serif)"/>
          <w:sz w:val="24"/>
          <w:szCs w:val="24"/>
        </w:rPr>
        <w:t>Las versiones anteriores de este informe lo administraron con una declaración y una doble revisión publicada. Este documento sostiene que eso no basta.</w:t>
      </w:r>
    </w:p>
    <w:p w:rsidR="00000000" w:rsidRDefault="000501AE">
      <w:pPr>
        <w:pStyle w:val="lead"/>
        <w:divId w:val="1100102970"/>
        <w:rPr>
          <w:rFonts w:ascii="var(--serif)" w:hAnsi="var(--serif)"/>
        </w:rPr>
      </w:pPr>
      <w:r>
        <w:rPr>
          <w:rFonts w:ascii="var(--serif)" w:hAnsi="var(--serif)"/>
        </w:rPr>
        <w:t>Una declaración de intereses advierte al lector, pero no corrige el dato. Si el investigador tiene un in</w:t>
      </w:r>
      <w:r>
        <w:rPr>
          <w:rFonts w:ascii="var(--serif)" w:hAnsi="var(--serif)"/>
        </w:rPr>
        <w:t>terés en una de las once instituciones que ordena, la advertencia traslada al lector un problema que era del método.</w:t>
      </w:r>
    </w:p>
    <w:p w:rsidR="00000000" w:rsidRDefault="000501AE">
      <w:pPr>
        <w:pStyle w:val="NormalWeb"/>
        <w:divId w:val="1100102970"/>
        <w:rPr>
          <w:rFonts w:ascii="var(--serif)" w:hAnsi="var(--serif)"/>
          <w:sz w:val="24"/>
          <w:szCs w:val="24"/>
        </w:rPr>
      </w:pPr>
      <w:r>
        <w:rPr>
          <w:rFonts w:ascii="var(--serif)" w:hAnsi="var(--serif)"/>
          <w:sz w:val="24"/>
          <w:szCs w:val="24"/>
        </w:rPr>
        <w:t>Hay además un segundo sesgo, y éste es medible. La PUCV fue una de las tres instituciones del piloto de profundidad: se investigó con más r</w:t>
      </w:r>
      <w:r>
        <w:rPr>
          <w:rFonts w:ascii="var(--serif)" w:hAnsi="var(--serif)"/>
          <w:sz w:val="24"/>
          <w:szCs w:val="24"/>
        </w:rPr>
        <w:t xml:space="preserve">utas, se le localizaron más fuentes y se le verificó una proporción mayor. En un instrumento que puntúa capacidades acreditadas mediante evidencia pública, </w:t>
      </w:r>
      <w:r>
        <w:rPr>
          <w:rStyle w:val="Textoennegrita"/>
          <w:rFonts w:ascii="var(--serif)" w:hAnsi="var(--serif)"/>
          <w:sz w:val="24"/>
          <w:szCs w:val="24"/>
        </w:rPr>
        <w:t>investigar más a una institución produce mecánicamente una puntuación más alta</w:t>
      </w:r>
      <w:r>
        <w:rPr>
          <w:rFonts w:ascii="var(--serif)" w:hAnsi="var(--serif)"/>
          <w:sz w:val="24"/>
          <w:szCs w:val="24"/>
        </w:rPr>
        <w:t>, sin que nada haya ca</w:t>
      </w:r>
      <w:r>
        <w:rPr>
          <w:rFonts w:ascii="var(--serif)" w:hAnsi="var(--serif)"/>
          <w:sz w:val="24"/>
          <w:szCs w:val="24"/>
        </w:rPr>
        <w:t>mbiado en la institución.</w:t>
      </w:r>
    </w:p>
    <w:tbl>
      <w:tblPr>
        <w:tblW w:w="5000" w:type="pct"/>
        <w:tblCellMar>
          <w:top w:w="15" w:type="dxa"/>
          <w:left w:w="15" w:type="dxa"/>
          <w:bottom w:w="15" w:type="dxa"/>
          <w:right w:w="15" w:type="dxa"/>
        </w:tblCellMar>
        <w:tblLook w:val="04A0"/>
      </w:tblPr>
      <w:tblGrid>
        <w:gridCol w:w="3906"/>
        <w:gridCol w:w="1035"/>
        <w:gridCol w:w="3733"/>
      </w:tblGrid>
      <w:tr w:rsidR="00000000">
        <w:trPr>
          <w:divId w:val="1100102970"/>
          <w:tblHeader/>
        </w:trPr>
        <w:tc>
          <w:tcPr>
            <w:tcW w:w="3629" w:type="dxa"/>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El sesgo, en cifras del propio corpus</w:t>
            </w:r>
          </w:p>
        </w:tc>
        <w:tc>
          <w:tcPr>
            <w:tcW w:w="0" w:type="auto"/>
            <w:tcMar>
              <w:top w:w="0" w:type="dxa"/>
              <w:left w:w="0" w:type="dxa"/>
              <w:bottom w:w="102" w:type="dxa"/>
              <w:right w:w="113" w:type="dxa"/>
            </w:tcMar>
            <w:vAlign w:val="bottom"/>
            <w:hideMark/>
          </w:tcPr>
          <w:p w:rsidR="00000000" w:rsidRDefault="000501AE">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PUCV</w:t>
            </w:r>
          </w:p>
        </w:tc>
        <w:tc>
          <w:tcPr>
            <w:tcW w:w="0" w:type="auto"/>
            <w:tcMar>
              <w:top w:w="0" w:type="dxa"/>
              <w:left w:w="0" w:type="dxa"/>
              <w:bottom w:w="102" w:type="dxa"/>
              <w:right w:w="170" w:type="dxa"/>
            </w:tcMar>
            <w:vAlign w:val="bottom"/>
            <w:hideMark/>
          </w:tcPr>
          <w:p w:rsidR="00000000" w:rsidRDefault="000501AE">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Media de las demás</w:t>
            </w:r>
          </w:p>
        </w:tc>
      </w:tr>
      <w:tr w:rsidR="00000000">
        <w:trPr>
          <w:divId w:val="1100102970"/>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20"/>
                <w:szCs w:val="20"/>
              </w:rPr>
            </w:pPr>
            <w:r>
              <w:rPr>
                <w:rFonts w:ascii="var(--sans)" w:eastAsia="Times New Roman" w:hAnsi="var(--sans)"/>
                <w:b/>
                <w:bCs/>
                <w:sz w:val="20"/>
                <w:szCs w:val="20"/>
              </w:rPr>
              <w:t>Fuentes localizadas</w:t>
            </w:r>
          </w:p>
        </w:tc>
        <w:tc>
          <w:tcPr>
            <w:tcW w:w="0" w:type="auto"/>
            <w:tcMar>
              <w:top w:w="108" w:type="dxa"/>
              <w:left w:w="0" w:type="dxa"/>
              <w:bottom w:w="108" w:type="dxa"/>
              <w:right w:w="113" w:type="dxa"/>
            </w:tcMar>
            <w:hideMark/>
          </w:tcPr>
          <w:p w:rsidR="00000000" w:rsidRDefault="000501AE">
            <w:pPr>
              <w:spacing w:before="170" w:after="193"/>
              <w:jc w:val="right"/>
              <w:rPr>
                <w:rFonts w:ascii="var(--sans)" w:eastAsia="Times New Roman" w:hAnsi="var(--sans)"/>
                <w:sz w:val="20"/>
                <w:szCs w:val="20"/>
              </w:rPr>
            </w:pPr>
            <w:r>
              <w:rPr>
                <w:rStyle w:val="Textoennegrita"/>
                <w:rFonts w:ascii="var(--sans)" w:eastAsia="Times New Roman" w:hAnsi="var(--sans)"/>
                <w:sz w:val="20"/>
                <w:szCs w:val="20"/>
              </w:rPr>
              <w:t>14</w:t>
            </w:r>
          </w:p>
        </w:tc>
        <w:tc>
          <w:tcPr>
            <w:tcW w:w="0" w:type="auto"/>
            <w:tcMar>
              <w:top w:w="108" w:type="dxa"/>
              <w:left w:w="0" w:type="dxa"/>
              <w:bottom w:w="108" w:type="dxa"/>
              <w:right w:w="170" w:type="dxa"/>
            </w:tcMar>
            <w:hideMark/>
          </w:tcPr>
          <w:p w:rsidR="00000000" w:rsidRDefault="000501AE">
            <w:pPr>
              <w:spacing w:before="170" w:after="193"/>
              <w:jc w:val="right"/>
              <w:rPr>
                <w:rFonts w:ascii="var(--sans)" w:eastAsia="Times New Roman" w:hAnsi="var(--sans)"/>
                <w:sz w:val="20"/>
                <w:szCs w:val="20"/>
              </w:rPr>
            </w:pPr>
            <w:r>
              <w:rPr>
                <w:rFonts w:ascii="var(--sans)" w:eastAsia="Times New Roman" w:hAnsi="var(--sans)"/>
                <w:sz w:val="20"/>
                <w:szCs w:val="20"/>
              </w:rPr>
              <w:t>3,8</w:t>
            </w:r>
          </w:p>
        </w:tc>
      </w:tr>
      <w:tr w:rsidR="00000000">
        <w:trPr>
          <w:divId w:val="1100102970"/>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20"/>
                <w:szCs w:val="20"/>
              </w:rPr>
            </w:pPr>
            <w:r>
              <w:rPr>
                <w:rFonts w:ascii="var(--sans)" w:eastAsia="Times New Roman" w:hAnsi="var(--sans)"/>
                <w:b/>
                <w:bCs/>
                <w:sz w:val="20"/>
                <w:szCs w:val="20"/>
              </w:rPr>
              <w:t>Proporción del corpus verificada en la ronda inicial</w:t>
            </w:r>
          </w:p>
        </w:tc>
        <w:tc>
          <w:tcPr>
            <w:tcW w:w="0" w:type="auto"/>
            <w:tcMar>
              <w:top w:w="108" w:type="dxa"/>
              <w:left w:w="0" w:type="dxa"/>
              <w:bottom w:w="108" w:type="dxa"/>
              <w:right w:w="113" w:type="dxa"/>
            </w:tcMar>
            <w:hideMark/>
          </w:tcPr>
          <w:p w:rsidR="00000000" w:rsidRDefault="000501AE">
            <w:pPr>
              <w:spacing w:before="170" w:after="193"/>
              <w:jc w:val="right"/>
              <w:rPr>
                <w:rFonts w:ascii="var(--sans)" w:eastAsia="Times New Roman" w:hAnsi="var(--sans)"/>
                <w:sz w:val="20"/>
                <w:szCs w:val="20"/>
              </w:rPr>
            </w:pPr>
            <w:r>
              <w:rPr>
                <w:rStyle w:val="Textoennegrita"/>
                <w:rFonts w:ascii="var(--sans)" w:eastAsia="Times New Roman" w:hAnsi="var(--sans)"/>
                <w:sz w:val="20"/>
                <w:szCs w:val="20"/>
              </w:rPr>
              <w:t>86 %</w:t>
            </w:r>
          </w:p>
        </w:tc>
        <w:tc>
          <w:tcPr>
            <w:tcW w:w="0" w:type="auto"/>
            <w:tcMar>
              <w:top w:w="108" w:type="dxa"/>
              <w:left w:w="0" w:type="dxa"/>
              <w:bottom w:w="108" w:type="dxa"/>
              <w:right w:w="170" w:type="dxa"/>
            </w:tcMar>
            <w:hideMark/>
          </w:tcPr>
          <w:p w:rsidR="00000000" w:rsidRDefault="000501AE">
            <w:pPr>
              <w:spacing w:before="170" w:after="193"/>
              <w:jc w:val="right"/>
              <w:rPr>
                <w:rFonts w:ascii="var(--sans)" w:eastAsia="Times New Roman" w:hAnsi="var(--sans)"/>
                <w:sz w:val="20"/>
                <w:szCs w:val="20"/>
              </w:rPr>
            </w:pPr>
            <w:r>
              <w:rPr>
                <w:rFonts w:ascii="var(--sans)" w:eastAsia="Times New Roman" w:hAnsi="var(--sans)"/>
                <w:sz w:val="20"/>
                <w:szCs w:val="20"/>
              </w:rPr>
              <w:t>44 %</w:t>
            </w:r>
          </w:p>
        </w:tc>
      </w:tr>
      <w:tr w:rsidR="00000000">
        <w:trPr>
          <w:divId w:val="1100102970"/>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20"/>
                <w:szCs w:val="20"/>
              </w:rPr>
            </w:pPr>
            <w:r>
              <w:rPr>
                <w:rFonts w:ascii="var(--sans)" w:eastAsia="Times New Roman" w:hAnsi="var(--sans)"/>
                <w:b/>
                <w:bCs/>
                <w:sz w:val="20"/>
                <w:szCs w:val="20"/>
              </w:rPr>
              <w:t>Celdas sin concluir tras la ronda 2</w:t>
            </w:r>
          </w:p>
        </w:tc>
        <w:tc>
          <w:tcPr>
            <w:tcW w:w="0" w:type="auto"/>
            <w:tcMar>
              <w:top w:w="108" w:type="dxa"/>
              <w:left w:w="0" w:type="dxa"/>
              <w:bottom w:w="108" w:type="dxa"/>
              <w:right w:w="113" w:type="dxa"/>
            </w:tcMar>
            <w:hideMark/>
          </w:tcPr>
          <w:p w:rsidR="00000000" w:rsidRDefault="000501AE">
            <w:pPr>
              <w:spacing w:before="170" w:after="193"/>
              <w:jc w:val="right"/>
              <w:rPr>
                <w:rFonts w:ascii="var(--sans)" w:eastAsia="Times New Roman" w:hAnsi="var(--sans)"/>
                <w:sz w:val="20"/>
                <w:szCs w:val="20"/>
              </w:rPr>
            </w:pPr>
            <w:r>
              <w:rPr>
                <w:rStyle w:val="Textoennegrita"/>
                <w:rFonts w:ascii="var(--sans)" w:eastAsia="Times New Roman" w:hAnsi="var(--sans)"/>
                <w:sz w:val="20"/>
                <w:szCs w:val="20"/>
              </w:rPr>
              <w:t>0</w:t>
            </w:r>
          </w:p>
        </w:tc>
        <w:tc>
          <w:tcPr>
            <w:tcW w:w="0" w:type="auto"/>
            <w:tcMar>
              <w:top w:w="108" w:type="dxa"/>
              <w:left w:w="0" w:type="dxa"/>
              <w:bottom w:w="108" w:type="dxa"/>
              <w:right w:w="170" w:type="dxa"/>
            </w:tcMar>
            <w:hideMark/>
          </w:tcPr>
          <w:p w:rsidR="00000000" w:rsidRDefault="000501AE">
            <w:pPr>
              <w:spacing w:before="170" w:after="193"/>
              <w:jc w:val="right"/>
              <w:rPr>
                <w:rFonts w:ascii="var(--sans)" w:eastAsia="Times New Roman" w:hAnsi="var(--sans)"/>
                <w:sz w:val="20"/>
                <w:szCs w:val="20"/>
              </w:rPr>
            </w:pPr>
            <w:r>
              <w:rPr>
                <w:rFonts w:ascii="var(--sans)" w:eastAsia="Times New Roman" w:hAnsi="var(--sans)"/>
                <w:sz w:val="20"/>
                <w:szCs w:val="20"/>
              </w:rPr>
              <w:t>0,5</w:t>
            </w:r>
          </w:p>
        </w:tc>
      </w:tr>
      <w:tr w:rsidR="00000000">
        <w:trPr>
          <w:divId w:val="1100102970"/>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20"/>
                <w:szCs w:val="20"/>
              </w:rPr>
            </w:pPr>
            <w:r>
              <w:rPr>
                <w:rFonts w:ascii="var(--sans)" w:eastAsia="Times New Roman" w:hAnsi="var(--sans)"/>
                <w:b/>
                <w:bCs/>
                <w:sz w:val="20"/>
                <w:szCs w:val="20"/>
              </w:rPr>
              <w:t>Posición que habría ocupado en el comparador</w:t>
            </w:r>
          </w:p>
        </w:tc>
        <w:tc>
          <w:tcPr>
            <w:tcW w:w="0" w:type="auto"/>
            <w:gridSpan w:val="2"/>
            <w:tcMar>
              <w:top w:w="108" w:type="dxa"/>
              <w:left w:w="0" w:type="dxa"/>
              <w:bottom w:w="108" w:type="dxa"/>
              <w:right w:w="113" w:type="dxa"/>
            </w:tcMar>
            <w:hideMark/>
          </w:tcPr>
          <w:p w:rsidR="00000000" w:rsidRDefault="000501AE">
            <w:pPr>
              <w:spacing w:before="170" w:after="193"/>
              <w:jc w:val="right"/>
              <w:rPr>
                <w:rFonts w:ascii="var(--sans)" w:eastAsia="Times New Roman" w:hAnsi="var(--sans)"/>
                <w:sz w:val="20"/>
                <w:szCs w:val="20"/>
              </w:rPr>
            </w:pPr>
            <w:r>
              <w:rPr>
                <w:rFonts w:ascii="var(--sans)" w:eastAsia="Times New Roman" w:hAnsi="var(--sans)"/>
                <w:sz w:val="20"/>
                <w:szCs w:val="20"/>
              </w:rPr>
              <w:t>segunda de once, con banda cerrada 18–18</w:t>
            </w:r>
          </w:p>
        </w:tc>
      </w:tr>
    </w:tbl>
    <w:p w:rsidR="00000000" w:rsidRDefault="000501AE">
      <w:pPr>
        <w:pStyle w:val="tbl-note"/>
        <w:divId w:val="1100102970"/>
      </w:pPr>
      <w:r>
        <w:t>La última fila se publica precisamente porque el documento no la usa. Ocultarla sería administrar el sesgo en la dirección contraria.</w:t>
      </w:r>
    </w:p>
    <w:p w:rsidR="00000000" w:rsidRDefault="000501AE">
      <w:pPr>
        <w:pStyle w:val="Ttulo5"/>
        <w:divId w:val="1330014277"/>
        <w:rPr>
          <w:rFonts w:eastAsia="Times New Roman"/>
        </w:rPr>
      </w:pPr>
      <w:r>
        <w:rPr>
          <w:rFonts w:eastAsia="Times New Roman"/>
        </w:rPr>
        <w:t>La decisión</w:t>
      </w:r>
    </w:p>
    <w:p w:rsidR="00000000" w:rsidRDefault="000501AE">
      <w:pPr>
        <w:pStyle w:val="NormalWeb"/>
        <w:divId w:val="1330014277"/>
        <w:rPr>
          <w:rFonts w:ascii="var(--serif)" w:hAnsi="var(--serif)"/>
          <w:sz w:val="24"/>
          <w:szCs w:val="24"/>
        </w:rPr>
      </w:pPr>
      <w:r>
        <w:rPr>
          <w:rStyle w:val="Textoennegrita"/>
          <w:rFonts w:ascii="var(--serif)" w:hAnsi="var(--serif)"/>
          <w:sz w:val="24"/>
          <w:szCs w:val="24"/>
        </w:rPr>
        <w:t xml:space="preserve">La PUCV se retira del </w:t>
      </w:r>
      <w:r>
        <w:rPr>
          <w:rStyle w:val="Textoennegrita"/>
          <w:rFonts w:ascii="var(--serif)" w:hAnsi="var(--serif)"/>
          <w:sz w:val="24"/>
          <w:szCs w:val="24"/>
        </w:rPr>
        <w:t>comparador ordinal y de las diez variables de capacidad.</w:t>
      </w:r>
      <w:r>
        <w:rPr>
          <w:rFonts w:ascii="var(--serif)" w:hAnsi="var(--serif)"/>
          <w:sz w:val="24"/>
          <w:szCs w:val="24"/>
        </w:rPr>
        <w:t xml:space="preserve"> El Informe 01 compara diez instituciones. Ésta se examina aquí, aparte, y no como posición sino como proyección: qué podría construirse sobre lo que ya existe, y qué haría falta para demostrarlo.</w:t>
      </w:r>
    </w:p>
    <w:p w:rsidR="00000000" w:rsidRDefault="000501AE">
      <w:pPr>
        <w:pStyle w:val="NormalWeb"/>
        <w:divId w:val="1330014277"/>
        <w:rPr>
          <w:rFonts w:ascii="var(--serif)" w:hAnsi="var(--serif)"/>
          <w:sz w:val="24"/>
          <w:szCs w:val="24"/>
        </w:rPr>
      </w:pPr>
      <w:r>
        <w:rPr>
          <w:rFonts w:ascii="var(--serif)" w:hAnsi="var(--serif)"/>
          <w:sz w:val="24"/>
          <w:szCs w:val="24"/>
        </w:rPr>
        <w:t xml:space="preserve">La </w:t>
      </w:r>
      <w:r>
        <w:rPr>
          <w:rFonts w:ascii="var(--serif)" w:hAnsi="var(--serif)"/>
          <w:sz w:val="24"/>
          <w:szCs w:val="24"/>
        </w:rPr>
        <w:t xml:space="preserve">cohorte histórica de once no cambia: sigue siendo el universo del corpus, y las fuentes de la PUCV siguen en el registro. Lo que cambia es que </w:t>
      </w:r>
      <w:r>
        <w:rPr>
          <w:rStyle w:val="Textoennegrita"/>
          <w:rFonts w:ascii="var(--serif)" w:hAnsi="var(--serif)"/>
          <w:sz w:val="24"/>
          <w:szCs w:val="24"/>
        </w:rPr>
        <w:t>no se le asigna puntuación ni lugar</w:t>
      </w:r>
      <w:r>
        <w:rPr>
          <w:rFonts w:ascii="var(--serif)" w:hAnsi="var(--serif)"/>
          <w:sz w:val="24"/>
          <w:szCs w:val="24"/>
        </w:rPr>
        <w:t>.</w:t>
      </w:r>
    </w:p>
    <w:p w:rsidR="00000000" w:rsidRDefault="000501AE">
      <w:pPr>
        <w:pStyle w:val="limite"/>
        <w:divId w:val="1100102970"/>
        <w:rPr>
          <w:rFonts w:ascii="var(--serif)" w:hAnsi="var(--serif)"/>
        </w:rPr>
      </w:pPr>
      <w:r>
        <w:rPr>
          <w:rFonts w:ascii="var(--serif)" w:hAnsi="var(--serif)"/>
          <w:b/>
          <w:bCs/>
          <w:i w:val="0"/>
          <w:iCs w:val="0"/>
        </w:rPr>
        <w:t>Lo que esta decisión cuesta.</w:t>
      </w:r>
      <w:r>
        <w:rPr>
          <w:rFonts w:ascii="var(--serif)" w:hAnsi="var(--serif)"/>
        </w:rPr>
        <w:t xml:space="preserve"> El comparador pierde a una institución </w:t>
      </w:r>
      <w:r>
        <w:rPr>
          <w:rFonts w:ascii="var(--serif)" w:hAnsi="var(--serif)"/>
        </w:rPr>
        <w:t>sobre la que existe más evidencia que sobre casi ninguna otra, y el lector pierde la posibilidad de situarla. Se acepta ese costo porque la alternativa —publicar un orden en el que el autor tiene interés— compromete el instrumento entero, no sólo una fila.</w:t>
      </w:r>
    </w:p>
    <w:p w:rsidR="00000000" w:rsidRDefault="000501AE">
      <w:pPr>
        <w:divId w:val="1748066730"/>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v1.1</w:t>
      </w:r>
    </w:p>
    <w:p w:rsidR="00000000" w:rsidRDefault="000501AE">
      <w:pPr>
        <w:pStyle w:val="eyebrow"/>
        <w:divId w:val="1759718628"/>
      </w:pPr>
      <w:r>
        <w:t>Alcance</w:t>
      </w:r>
    </w:p>
    <w:p w:rsidR="00000000" w:rsidRDefault="000501AE">
      <w:pPr>
        <w:pStyle w:val="Ttulo2"/>
        <w:divId w:val="1759718628"/>
        <w:rPr>
          <w:rFonts w:eastAsia="Times New Roman"/>
        </w:rPr>
      </w:pPr>
      <w:r>
        <w:rPr>
          <w:rFonts w:eastAsia="Times New Roman"/>
        </w:rPr>
        <w:t>2 · Qué hace este documento y qué no hace</w:t>
      </w:r>
    </w:p>
    <w:p w:rsidR="00000000" w:rsidRDefault="000501AE">
      <w:pPr>
        <w:pStyle w:val="Ttulo4"/>
        <w:divId w:val="439297964"/>
        <w:rPr>
          <w:rFonts w:eastAsia="Times New Roman"/>
        </w:rPr>
      </w:pPr>
      <w:r>
        <w:rPr>
          <w:rFonts w:eastAsia="Times New Roman"/>
        </w:rPr>
        <w:t>Lo que sí hace</w:t>
      </w:r>
    </w:p>
    <w:p w:rsidR="00000000" w:rsidRDefault="000501AE">
      <w:pPr>
        <w:numPr>
          <w:ilvl w:val="0"/>
          <w:numId w:val="1"/>
        </w:numPr>
        <w:spacing w:before="100" w:beforeAutospacing="1" w:after="77"/>
        <w:ind w:left="0"/>
        <w:divId w:val="439297964"/>
        <w:rPr>
          <w:rFonts w:ascii="var(--serif)" w:eastAsia="Times New Roman" w:hAnsi="var(--serif)"/>
          <w:sz w:val="24"/>
          <w:szCs w:val="24"/>
        </w:rPr>
      </w:pPr>
      <w:r>
        <w:rPr>
          <w:rFonts w:ascii="var(--serif)" w:eastAsia="Times New Roman" w:hAnsi="var(--serif)"/>
          <w:sz w:val="24"/>
          <w:szCs w:val="24"/>
        </w:rPr>
        <w:t>Describe la base existente con las mismas fuentes verificadas del corpus.</w:t>
      </w:r>
    </w:p>
    <w:p w:rsidR="00000000" w:rsidRDefault="000501AE">
      <w:pPr>
        <w:numPr>
          <w:ilvl w:val="0"/>
          <w:numId w:val="1"/>
        </w:numPr>
        <w:spacing w:before="100" w:beforeAutospacing="1" w:after="77"/>
        <w:ind w:left="0"/>
        <w:divId w:val="439297964"/>
        <w:rPr>
          <w:rFonts w:ascii="var(--serif)" w:eastAsia="Times New Roman" w:hAnsi="var(--serif)"/>
          <w:sz w:val="24"/>
          <w:szCs w:val="24"/>
        </w:rPr>
      </w:pPr>
      <w:r>
        <w:rPr>
          <w:rFonts w:ascii="var(--serif)" w:eastAsia="Times New Roman" w:hAnsi="var(--serif)"/>
          <w:sz w:val="24"/>
          <w:szCs w:val="24"/>
        </w:rPr>
        <w:t xml:space="preserve">Evalúa </w:t>
      </w:r>
      <w:r>
        <w:rPr>
          <w:rStyle w:val="Textoennegrita"/>
          <w:rFonts w:ascii="var(--serif)" w:eastAsia="Times New Roman" w:hAnsi="var(--serif)"/>
          <w:sz w:val="24"/>
          <w:szCs w:val="24"/>
        </w:rPr>
        <w:t>proyecciones</w:t>
      </w:r>
      <w:r>
        <w:rPr>
          <w:rFonts w:ascii="var(--serif)" w:eastAsia="Times New Roman" w:hAnsi="var(--serif)"/>
          <w:sz w:val="24"/>
          <w:szCs w:val="24"/>
        </w:rPr>
        <w:t>: qué es construible sobre esa base, con qué instrumento y con qué indicador.</w:t>
      </w:r>
    </w:p>
    <w:p w:rsidR="00000000" w:rsidRDefault="000501AE">
      <w:pPr>
        <w:numPr>
          <w:ilvl w:val="0"/>
          <w:numId w:val="1"/>
        </w:numPr>
        <w:spacing w:before="100" w:beforeAutospacing="1" w:after="77"/>
        <w:ind w:left="0"/>
        <w:divId w:val="439297964"/>
        <w:rPr>
          <w:rFonts w:ascii="var(--serif)" w:eastAsia="Times New Roman" w:hAnsi="var(--serif)"/>
          <w:sz w:val="24"/>
          <w:szCs w:val="24"/>
        </w:rPr>
      </w:pPr>
      <w:r>
        <w:rPr>
          <w:rFonts w:ascii="var(--serif)" w:eastAsia="Times New Roman" w:hAnsi="var(--serif)"/>
          <w:sz w:val="24"/>
          <w:szCs w:val="24"/>
        </w:rPr>
        <w:t>Identifica un vacío del campo que esta institución está en condiciones de cubrir antes que otras.</w:t>
      </w:r>
    </w:p>
    <w:p w:rsidR="00000000" w:rsidRDefault="000501AE">
      <w:pPr>
        <w:numPr>
          <w:ilvl w:val="0"/>
          <w:numId w:val="1"/>
        </w:numPr>
        <w:spacing w:before="100" w:beforeAutospacing="1" w:after="77"/>
        <w:ind w:left="0"/>
        <w:divId w:val="439297964"/>
        <w:rPr>
          <w:rFonts w:ascii="var(--serif)" w:eastAsia="Times New Roman" w:hAnsi="var(--serif)"/>
          <w:sz w:val="24"/>
          <w:szCs w:val="24"/>
        </w:rPr>
      </w:pPr>
      <w:r>
        <w:rPr>
          <w:rFonts w:ascii="var(--serif)" w:eastAsia="Times New Roman" w:hAnsi="var(--serif)"/>
          <w:sz w:val="24"/>
          <w:szCs w:val="24"/>
        </w:rPr>
        <w:t>Propone un diseño concreto y medible, con los datos que produciría.</w:t>
      </w:r>
    </w:p>
    <w:p w:rsidR="00000000" w:rsidRDefault="000501AE">
      <w:pPr>
        <w:pStyle w:val="Ttulo4"/>
        <w:divId w:val="315036654"/>
        <w:rPr>
          <w:rFonts w:eastAsia="Times New Roman"/>
        </w:rPr>
      </w:pPr>
      <w:r>
        <w:rPr>
          <w:rFonts w:eastAsia="Times New Roman"/>
        </w:rPr>
        <w:t>Lo que no ha</w:t>
      </w:r>
      <w:r>
        <w:rPr>
          <w:rFonts w:eastAsia="Times New Roman"/>
        </w:rPr>
        <w:t>ce</w:t>
      </w:r>
    </w:p>
    <w:p w:rsidR="00000000" w:rsidRDefault="000501AE">
      <w:pPr>
        <w:numPr>
          <w:ilvl w:val="0"/>
          <w:numId w:val="2"/>
        </w:numPr>
        <w:spacing w:before="100" w:beforeAutospacing="1" w:after="77"/>
        <w:ind w:left="0"/>
        <w:divId w:val="315036654"/>
        <w:rPr>
          <w:rFonts w:ascii="var(--serif)" w:eastAsia="Times New Roman" w:hAnsi="var(--serif)"/>
          <w:sz w:val="24"/>
          <w:szCs w:val="24"/>
        </w:rPr>
      </w:pPr>
      <w:r>
        <w:rPr>
          <w:rFonts w:ascii="var(--serif)" w:eastAsia="Times New Roman" w:hAnsi="var(--serif)"/>
          <w:sz w:val="24"/>
          <w:szCs w:val="24"/>
        </w:rPr>
        <w:t>No puntúa, no ordena y no compara con las otras diez.</w:t>
      </w:r>
    </w:p>
    <w:p w:rsidR="00000000" w:rsidRDefault="000501AE">
      <w:pPr>
        <w:numPr>
          <w:ilvl w:val="0"/>
          <w:numId w:val="2"/>
        </w:numPr>
        <w:spacing w:before="100" w:beforeAutospacing="1" w:after="77"/>
        <w:ind w:left="0"/>
        <w:divId w:val="315036654"/>
        <w:rPr>
          <w:rFonts w:ascii="var(--serif)" w:eastAsia="Times New Roman" w:hAnsi="var(--serif)"/>
          <w:sz w:val="24"/>
          <w:szCs w:val="24"/>
        </w:rPr>
      </w:pPr>
      <w:r>
        <w:rPr>
          <w:rFonts w:ascii="var(--serif)" w:eastAsia="Times New Roman" w:hAnsi="var(--serif)"/>
          <w:sz w:val="24"/>
          <w:szCs w:val="24"/>
        </w:rPr>
        <w:t>No evalúa la calidad de la enseñanza ni el desempeño de ninguna unidad ni de ninguna persona.</w:t>
      </w:r>
    </w:p>
    <w:p w:rsidR="00000000" w:rsidRDefault="000501AE">
      <w:pPr>
        <w:numPr>
          <w:ilvl w:val="0"/>
          <w:numId w:val="2"/>
        </w:numPr>
        <w:spacing w:before="100" w:beforeAutospacing="1" w:after="77"/>
        <w:ind w:left="0"/>
        <w:divId w:val="315036654"/>
        <w:rPr>
          <w:rFonts w:ascii="var(--serif)" w:eastAsia="Times New Roman" w:hAnsi="var(--serif)"/>
          <w:sz w:val="24"/>
          <w:szCs w:val="24"/>
        </w:rPr>
      </w:pPr>
      <w:r>
        <w:rPr>
          <w:rFonts w:ascii="var(--serif)" w:eastAsia="Times New Roman" w:hAnsi="var(--serif)"/>
          <w:sz w:val="24"/>
          <w:szCs w:val="24"/>
        </w:rPr>
        <w:t>No presenta las proyecciones como logros: son propuestas, y se escriben en condicional.</w:t>
      </w:r>
    </w:p>
    <w:p w:rsidR="00000000" w:rsidRDefault="000501AE">
      <w:pPr>
        <w:numPr>
          <w:ilvl w:val="0"/>
          <w:numId w:val="2"/>
        </w:numPr>
        <w:spacing w:before="100" w:beforeAutospacing="1" w:after="77"/>
        <w:ind w:left="0"/>
        <w:divId w:val="315036654"/>
        <w:rPr>
          <w:rFonts w:ascii="var(--serif)" w:eastAsia="Times New Roman" w:hAnsi="var(--serif)"/>
          <w:sz w:val="24"/>
          <w:szCs w:val="24"/>
        </w:rPr>
      </w:pPr>
      <w:r>
        <w:rPr>
          <w:rFonts w:ascii="var(--serif)" w:eastAsia="Times New Roman" w:hAnsi="var(--serif)"/>
          <w:sz w:val="24"/>
          <w:szCs w:val="24"/>
        </w:rPr>
        <w:t>No habla en nombr</w:t>
      </w:r>
      <w:r>
        <w:rPr>
          <w:rFonts w:ascii="var(--serif)" w:eastAsia="Times New Roman" w:hAnsi="var(--serif)"/>
          <w:sz w:val="24"/>
          <w:szCs w:val="24"/>
        </w:rPr>
        <w:t>e de la Universidad, de la Facultad ni de la Escuela de Derecho.</w:t>
      </w:r>
    </w:p>
    <w:p w:rsidR="00000000" w:rsidRDefault="000501AE">
      <w:pPr>
        <w:pStyle w:val="Ttulo5"/>
        <w:divId w:val="1549301648"/>
        <w:rPr>
          <w:rFonts w:eastAsia="Times New Roman"/>
        </w:rPr>
      </w:pPr>
      <w:r>
        <w:rPr>
          <w:rFonts w:eastAsia="Times New Roman"/>
        </w:rPr>
        <w:t>Cómo leer una proyección</w:t>
      </w:r>
    </w:p>
    <w:p w:rsidR="00000000" w:rsidRDefault="000501AE">
      <w:pPr>
        <w:pStyle w:val="NormalWeb"/>
        <w:divId w:val="1549301648"/>
        <w:rPr>
          <w:rFonts w:ascii="var(--serif)" w:hAnsi="var(--serif)"/>
          <w:sz w:val="24"/>
          <w:szCs w:val="24"/>
        </w:rPr>
      </w:pPr>
      <w:r>
        <w:rPr>
          <w:rFonts w:ascii="var(--serif)" w:hAnsi="var(--serif)"/>
          <w:sz w:val="24"/>
          <w:szCs w:val="24"/>
        </w:rPr>
        <w:t xml:space="preserve">Cada una de las cuatro proyecciones de la sección 5 declara cuatro cosas: </w:t>
      </w:r>
      <w:r>
        <w:rPr>
          <w:rStyle w:val="Textoennegrita"/>
          <w:rFonts w:ascii="var(--serif)" w:hAnsi="var(--serif)"/>
          <w:sz w:val="24"/>
          <w:szCs w:val="24"/>
        </w:rPr>
        <w:t>de qué evidencia parte</w:t>
      </w:r>
      <w:r>
        <w:rPr>
          <w:rFonts w:ascii="var(--serif)" w:hAnsi="var(--serif)"/>
          <w:sz w:val="24"/>
          <w:szCs w:val="24"/>
        </w:rPr>
        <w:t xml:space="preserve">, </w:t>
      </w:r>
      <w:r>
        <w:rPr>
          <w:rStyle w:val="Textoennegrita"/>
          <w:rFonts w:ascii="var(--serif)" w:hAnsi="var(--serif)"/>
          <w:sz w:val="24"/>
          <w:szCs w:val="24"/>
        </w:rPr>
        <w:t>qué propone</w:t>
      </w:r>
      <w:r>
        <w:rPr>
          <w:rFonts w:ascii="var(--serif)" w:hAnsi="var(--serif)"/>
          <w:sz w:val="24"/>
          <w:szCs w:val="24"/>
        </w:rPr>
        <w:t xml:space="preserve">, </w:t>
      </w:r>
      <w:r>
        <w:rPr>
          <w:rStyle w:val="Textoennegrita"/>
          <w:rFonts w:ascii="var(--serif)" w:hAnsi="var(--serif)"/>
          <w:sz w:val="24"/>
          <w:szCs w:val="24"/>
        </w:rPr>
        <w:t>qué indicador la haría verificable</w:t>
      </w:r>
      <w:r>
        <w:rPr>
          <w:rFonts w:ascii="var(--serif)" w:hAnsi="var(--serif)"/>
          <w:sz w:val="24"/>
          <w:szCs w:val="24"/>
        </w:rPr>
        <w:t xml:space="preserve"> y </w:t>
      </w:r>
      <w:r>
        <w:rPr>
          <w:rStyle w:val="Textoennegrita"/>
          <w:rFonts w:ascii="var(--serif)" w:hAnsi="var(--serif)"/>
          <w:sz w:val="24"/>
          <w:szCs w:val="24"/>
        </w:rPr>
        <w:t>qué la puede hacer</w:t>
      </w:r>
      <w:r>
        <w:rPr>
          <w:rStyle w:val="Textoennegrita"/>
          <w:rFonts w:ascii="var(--serif)" w:hAnsi="var(--serif)"/>
          <w:sz w:val="24"/>
          <w:szCs w:val="24"/>
        </w:rPr>
        <w:t xml:space="preserve"> fracasar</w:t>
      </w:r>
      <w:r>
        <w:rPr>
          <w:rFonts w:ascii="var(--serif)" w:hAnsi="var(--serif)"/>
          <w:sz w:val="24"/>
          <w:szCs w:val="24"/>
        </w:rPr>
        <w:t>. Una proyección sin la cuarta parte es publicidad.</w:t>
      </w:r>
    </w:p>
    <w:p w:rsidR="00000000" w:rsidRDefault="000501AE">
      <w:pPr>
        <w:divId w:val="1293707757"/>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v1.1</w:t>
      </w:r>
    </w:p>
    <w:p w:rsidR="00000000" w:rsidRDefault="000501AE">
      <w:pPr>
        <w:pStyle w:val="eyebrow"/>
        <w:divId w:val="1075712373"/>
      </w:pPr>
      <w:r>
        <w:t>Punto de partida</w:t>
      </w:r>
    </w:p>
    <w:p w:rsidR="00000000" w:rsidRDefault="000501AE">
      <w:pPr>
        <w:pStyle w:val="Ttulo2"/>
        <w:divId w:val="1075712373"/>
        <w:rPr>
          <w:rFonts w:eastAsia="Times New Roman"/>
        </w:rPr>
      </w:pPr>
      <w:r>
        <w:rPr>
          <w:rFonts w:eastAsia="Times New Roman"/>
        </w:rPr>
        <w:t>3 · De dónde parte esto</w:t>
      </w:r>
    </w:p>
    <w:p w:rsidR="00000000" w:rsidRDefault="000501AE">
      <w:pPr>
        <w:pStyle w:val="lead"/>
        <w:divId w:val="1075712373"/>
        <w:rPr>
          <w:rFonts w:ascii="var(--serif)" w:hAnsi="var(--serif)"/>
        </w:rPr>
      </w:pPr>
      <w:r>
        <w:rPr>
          <w:rFonts w:ascii="var(--serif)" w:hAnsi="var(--serif)"/>
        </w:rPr>
        <w:t>Las proyecciones de este documento no se apoyan en intenciones. Se apoyan en cinco hechos q</w:t>
      </w:r>
      <w:r>
        <w:rPr>
          <w:rFonts w:ascii="var(--serif)" w:hAnsi="var(--serif)"/>
        </w:rPr>
        <w:t>ue el corpus verificó contra su publicación original, y que se enumeran aquí sin adjetivos.</w:t>
      </w:r>
    </w:p>
    <w:tbl>
      <w:tblPr>
        <w:tblW w:w="5000" w:type="pct"/>
        <w:tblCellMar>
          <w:top w:w="15" w:type="dxa"/>
          <w:left w:w="15" w:type="dxa"/>
          <w:bottom w:w="15" w:type="dxa"/>
          <w:right w:w="15" w:type="dxa"/>
        </w:tblCellMar>
        <w:tblLook w:val="04A0"/>
      </w:tblPr>
      <w:tblGrid>
        <w:gridCol w:w="6342"/>
        <w:gridCol w:w="2332"/>
      </w:tblGrid>
      <w:tr w:rsidR="00000000">
        <w:trPr>
          <w:divId w:val="1075712373"/>
          <w:tblHeader/>
        </w:trPr>
        <w:tc>
          <w:tcPr>
            <w:tcW w:w="2948" w:type="dxa"/>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Hecho verificado</w:t>
            </w:r>
          </w:p>
        </w:tc>
        <w:tc>
          <w:tcPr>
            <w:tcW w:w="0" w:type="auto"/>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acredita exactamente</w:t>
            </w:r>
          </w:p>
        </w:tc>
      </w:tr>
      <w:tr w:rsidR="00000000">
        <w:trPr>
          <w:divId w:val="1075712373"/>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20"/>
                <w:szCs w:val="20"/>
              </w:rPr>
            </w:pPr>
            <w:r>
              <w:rPr>
                <w:rFonts w:ascii="var(--sans)" w:eastAsia="Times New Roman" w:hAnsi="var(--sans)"/>
                <w:b/>
                <w:bCs/>
                <w:sz w:val="20"/>
                <w:szCs w:val="20"/>
              </w:rPr>
              <w:t>Certamen de innovación legal con cinco versiones entre 2022 y 2026</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20"/>
                <w:szCs w:val="20"/>
              </w:rPr>
            </w:pPr>
            <w:r>
              <w:rPr>
                <w:rFonts w:ascii="var(--sans)" w:eastAsia="Times New Roman" w:hAnsi="var(--sans)"/>
                <w:sz w:val="20"/>
                <w:szCs w:val="20"/>
              </w:rPr>
              <w:t>Continuidad plurianual sostenida, con participación de varias universidades y de otros países. Es la serie más larga que el corpus registra en su ámbito.</w:t>
            </w:r>
          </w:p>
        </w:tc>
      </w:tr>
      <w:tr w:rsidR="00000000">
        <w:trPr>
          <w:divId w:val="1075712373"/>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20"/>
                <w:szCs w:val="20"/>
              </w:rPr>
            </w:pPr>
            <w:r>
              <w:rPr>
                <w:rFonts w:ascii="var(--sans)" w:eastAsia="Times New Roman" w:hAnsi="var(--sans)"/>
                <w:b/>
                <w:bCs/>
                <w:sz w:val="20"/>
                <w:szCs w:val="20"/>
              </w:rPr>
              <w:t>Herramienta de IA propia, desplegada y en uso externo</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20"/>
                <w:szCs w:val="20"/>
              </w:rPr>
            </w:pPr>
            <w:r>
              <w:rPr>
                <w:rFonts w:ascii="var(--sans)" w:eastAsia="Times New Roman" w:hAnsi="var(--sans)"/>
                <w:sz w:val="20"/>
                <w:szCs w:val="20"/>
              </w:rPr>
              <w:t>Un asistente de redacción jurídica accesible sin registro, construido en la Escuela de Derecho, cuyo uso se documenta fuera de la Universidad. No publica métricas de uso.</w:t>
            </w:r>
          </w:p>
        </w:tc>
      </w:tr>
      <w:tr w:rsidR="00000000">
        <w:trPr>
          <w:divId w:val="1075712373"/>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20"/>
                <w:szCs w:val="20"/>
              </w:rPr>
            </w:pPr>
            <w:r>
              <w:rPr>
                <w:rFonts w:ascii="var(--sans)" w:eastAsia="Times New Roman" w:hAnsi="var(--sans)"/>
                <w:b/>
                <w:bCs/>
                <w:sz w:val="20"/>
                <w:szCs w:val="20"/>
              </w:rPr>
              <w:t>Financiamiento concursable de vinculación con el medio en dos años consecutivos</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20"/>
                <w:szCs w:val="20"/>
              </w:rPr>
            </w:pPr>
            <w:r>
              <w:rPr>
                <w:rFonts w:ascii="var(--sans)" w:eastAsia="Times New Roman" w:hAnsi="var(--sans)"/>
                <w:sz w:val="20"/>
                <w:szCs w:val="20"/>
              </w:rPr>
              <w:t>Capacidad de formular y adjudicar proyectos con la IA en el objeto. No acredita presupuesto permanente.</w:t>
            </w:r>
          </w:p>
        </w:tc>
      </w:tr>
      <w:tr w:rsidR="00000000">
        <w:trPr>
          <w:divId w:val="1075712373"/>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20"/>
                <w:szCs w:val="20"/>
              </w:rPr>
            </w:pPr>
            <w:r>
              <w:rPr>
                <w:rFonts w:ascii="var(--sans)" w:eastAsia="Times New Roman" w:hAnsi="var(--sans)"/>
                <w:b/>
                <w:bCs/>
                <w:sz w:val="20"/>
                <w:szCs w:val="20"/>
              </w:rPr>
              <w:t>Experiencia de aula ejecutada dentro de una asignatura jurídica</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20"/>
                <w:szCs w:val="20"/>
              </w:rPr>
            </w:pPr>
            <w:r>
              <w:rPr>
                <w:rFonts w:ascii="var(--sans)" w:eastAsia="Times New Roman" w:hAnsi="var(--sans)"/>
                <w:sz w:val="20"/>
                <w:szCs w:val="20"/>
              </w:rPr>
              <w:t>Prompting y un asistente conversacional dentro de un curso. Fuente única, sin matrí</w:t>
            </w:r>
            <w:r>
              <w:rPr>
                <w:rFonts w:ascii="var(--sans)" w:eastAsia="Times New Roman" w:hAnsi="var(--sans)"/>
                <w:sz w:val="20"/>
                <w:szCs w:val="20"/>
              </w:rPr>
              <w:t>cula ni evaluación publicadas.</w:t>
            </w:r>
          </w:p>
        </w:tc>
      </w:tr>
      <w:tr w:rsidR="00000000">
        <w:trPr>
          <w:divId w:val="1075712373"/>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20"/>
                <w:szCs w:val="20"/>
              </w:rPr>
            </w:pPr>
            <w:r>
              <w:rPr>
                <w:rFonts w:ascii="var(--sans)" w:eastAsia="Times New Roman" w:hAnsi="var(--sans)"/>
                <w:b/>
                <w:bCs/>
                <w:sz w:val="20"/>
                <w:szCs w:val="20"/>
              </w:rPr>
              <w:t>Conducción de Derecho en el instrumento de integridad académica de la Universidad</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20"/>
                <w:szCs w:val="20"/>
              </w:rPr>
            </w:pPr>
            <w:r>
              <w:rPr>
                <w:rFonts w:ascii="var(--sans)" w:eastAsia="Times New Roman" w:hAnsi="var(--sans)"/>
                <w:sz w:val="20"/>
                <w:szCs w:val="20"/>
              </w:rPr>
              <w:t>Participación de la unidad jurídica en la gobernanza universitaria de la materia. El instrumento es universitario y de carácter orientador</w:t>
            </w:r>
            <w:r>
              <w:rPr>
                <w:rFonts w:ascii="var(--sans)" w:eastAsia="Times New Roman" w:hAnsi="var(--sans)"/>
                <w:sz w:val="20"/>
                <w:szCs w:val="20"/>
              </w:rPr>
              <w:t>.</w:t>
            </w:r>
          </w:p>
        </w:tc>
      </w:tr>
    </w:tbl>
    <w:p w:rsidR="00000000" w:rsidRDefault="000501AE">
      <w:pPr>
        <w:pStyle w:val="limite"/>
        <w:divId w:val="1075712373"/>
        <w:rPr>
          <w:rFonts w:ascii="var(--serif)" w:hAnsi="var(--serif)"/>
        </w:rPr>
      </w:pPr>
      <w:r>
        <w:rPr>
          <w:rFonts w:ascii="var(--serif)" w:hAnsi="var(--serif)"/>
          <w:b/>
          <w:bCs/>
          <w:i w:val="0"/>
          <w:iCs w:val="0"/>
        </w:rPr>
        <w:t>Y lo que esa base no acredita.</w:t>
      </w:r>
      <w:r>
        <w:rPr>
          <w:rFonts w:ascii="var(--serif)" w:hAnsi="var(--serif)"/>
        </w:rPr>
        <w:t xml:space="preserve"> No hay acto formal de creación del programa que la sostiene; el financiamiento localizado es íntegramente concursable; no hay línea curricular con créditos; y no hay ninguna medición de efecto sobre el aprendizaje. Las cuat</w:t>
      </w:r>
      <w:r>
        <w:rPr>
          <w:rFonts w:ascii="var(--serif)" w:hAnsi="var(--serif)"/>
        </w:rPr>
        <w:t>ro proyecciones siguientes se dirigen exactamente a esos cuatro huecos.</w:t>
      </w:r>
    </w:p>
    <w:p w:rsidR="00000000" w:rsidRDefault="000501AE">
      <w:pPr>
        <w:spacing w:after="340"/>
        <w:divId w:val="848057793"/>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v1.1</w:t>
      </w:r>
    </w:p>
    <w:p w:rsidR="00000000" w:rsidRDefault="000501AE">
      <w:pPr>
        <w:pStyle w:val="eyebrow"/>
        <w:divId w:val="1083643286"/>
      </w:pPr>
      <w:r>
        <w:t>El dato</w:t>
      </w:r>
    </w:p>
    <w:p w:rsidR="00000000" w:rsidRDefault="000501AE">
      <w:pPr>
        <w:pStyle w:val="Ttulo2"/>
        <w:divId w:val="1083643286"/>
        <w:rPr>
          <w:rFonts w:eastAsia="Times New Roman"/>
        </w:rPr>
      </w:pPr>
      <w:r>
        <w:rPr>
          <w:rFonts w:eastAsia="Times New Roman"/>
        </w:rPr>
        <w:t>4 · El perfil completo, capacidad por capacidad</w:t>
      </w:r>
    </w:p>
    <w:p w:rsidR="00000000" w:rsidRDefault="000501AE">
      <w:pPr>
        <w:pStyle w:val="lead"/>
        <w:divId w:val="1083643286"/>
        <w:rPr>
          <w:rFonts w:ascii="var(--serif)" w:hAnsi="var(--serif)"/>
        </w:rPr>
      </w:pPr>
      <w:r>
        <w:rPr>
          <w:rFonts w:ascii="var(--serif)" w:hAnsi="var(--serif)"/>
        </w:rPr>
        <w:t>El informe principal retira a esta institución del comparador. Retirarla del orden no es retirarle el dato: la rúbrica se le aplicó igual que a las demás, y el resultado se publica aquí entero. Ocultarlo sería administrar el conflicto de interés en la dire</w:t>
      </w:r>
      <w:r>
        <w:rPr>
          <w:rFonts w:ascii="var(--serif)" w:hAnsi="var(--serif)"/>
        </w:rPr>
        <w:t>cción contraria, y dejaría al lector con una institución apartada de la que no puede saber nada.</w:t>
      </w:r>
    </w:p>
    <w:p w:rsidR="00000000" w:rsidRDefault="000501AE">
      <w:pPr>
        <w:pStyle w:val="Ttulo5"/>
        <w:divId w:val="1973510800"/>
        <w:rPr>
          <w:rFonts w:eastAsia="Times New Roman"/>
        </w:rPr>
      </w:pPr>
      <w:r>
        <w:rPr>
          <w:rFonts w:eastAsia="Times New Roman"/>
        </w:rPr>
        <w:t>Qué es este número y qué no es</w:t>
      </w:r>
    </w:p>
    <w:p w:rsidR="00000000" w:rsidRDefault="000501AE">
      <w:pPr>
        <w:pStyle w:val="NormalWeb"/>
        <w:spacing w:after="193"/>
        <w:divId w:val="1973510800"/>
        <w:rPr>
          <w:rFonts w:ascii="var(--serif)" w:hAnsi="var(--serif)"/>
          <w:sz w:val="24"/>
          <w:szCs w:val="24"/>
        </w:rPr>
      </w:pPr>
      <w:r>
        <w:rPr>
          <w:rFonts w:ascii="var(--serif)" w:hAnsi="var(--serif)"/>
          <w:sz w:val="24"/>
          <w:szCs w:val="24"/>
        </w:rPr>
        <w:t xml:space="preserve">Los 18 puntos que siguen son la suma de la rúbrica del anexo D aplicada a este perfil. </w:t>
      </w:r>
      <w:r>
        <w:rPr>
          <w:rStyle w:val="Textoennegrita"/>
          <w:rFonts w:ascii="var(--serif)" w:hAnsi="var(--serif)"/>
          <w:sz w:val="24"/>
          <w:szCs w:val="24"/>
        </w:rPr>
        <w:t>No son una posición.</w:t>
      </w:r>
      <w:r>
        <w:rPr>
          <w:rFonts w:ascii="var(--serif)" w:hAnsi="var(--serif)"/>
          <w:sz w:val="24"/>
          <w:szCs w:val="24"/>
        </w:rPr>
        <w:t xml:space="preserve"> </w:t>
      </w:r>
      <w:r>
        <w:rPr>
          <w:rFonts w:ascii="var(--serif)" w:hAnsi="var(--serif)"/>
          <w:sz w:val="24"/>
          <w:szCs w:val="24"/>
        </w:rPr>
        <w:t>Un orden se construye comparando, y el instrumento que ordena excluye a esta institución por construcción: no hay lugar en el que ponerla, y ponerla igualmente sería reintroducir por la puerta de atrás lo que la sección 8 del informe principal retiró por l</w:t>
      </w:r>
      <w:r>
        <w:rPr>
          <w:rFonts w:ascii="var(--serif)" w:hAnsi="var(--serif)"/>
          <w:sz w:val="24"/>
          <w:szCs w:val="24"/>
        </w:rPr>
        <w:t>a de delante. El número está aquí para que el lector pueda auditar la decisión —ver qué se retiró— y para que las proyecciones de las secciones siguientes se apoyen en una base verificable en lugar de en adjetivos.</w:t>
      </w:r>
    </w:p>
    <w:p w:rsidR="00000000" w:rsidRDefault="000501AE">
      <w:pPr>
        <w:pStyle w:val="fig-q"/>
        <w:divId w:val="1083643286"/>
      </w:pPr>
      <w:r>
        <w:t>¿Qué acredita esta Escuela, y qué le falt</w:t>
      </w:r>
      <w:r>
        <w:t>a para acreditar el resto?</w:t>
      </w:r>
    </w:p>
    <w:p w:rsidR="00000000" w:rsidRDefault="000501AE">
      <w:pPr>
        <w:pStyle w:val="fig-t"/>
        <w:divId w:val="1083643286"/>
      </w:pPr>
      <w:r>
        <w:t>Dos capacidades completas, cinco a las que sólo les falta el instrumento, dos que existen un nivel más arriba y una que no consta</w:t>
      </w:r>
    </w:p>
    <w:p w:rsidR="00000000" w:rsidRDefault="000501AE">
      <w:pPr>
        <w:divId w:val="1083643286"/>
        <w:rPr>
          <w:rFonts w:ascii="var(--serif)" w:eastAsia="Times New Roman" w:hAnsi="var(--serif)"/>
          <w:sz w:val="24"/>
          <w:szCs w:val="24"/>
        </w:rPr>
      </w:pPr>
      <w:r>
        <w:rPr>
          <w:rFonts w:ascii="var(--serif)" w:eastAsia="Times New Roman" w:hAnsi="var(--serif)"/>
          <w:sz w:val="24"/>
          <w:szCs w:val="24"/>
        </w:rPr>
        <w:t>Herramienta desplegad</w:t>
      </w:r>
      <w:r>
        <w:rPr>
          <w:rFonts w:ascii="var(--serif)" w:eastAsia="Times New Roman" w:hAnsi="var(--serif)"/>
          <w:sz w:val="24"/>
          <w:szCs w:val="24"/>
        </w:rPr>
        <w:t>a</w:t>
      </w:r>
      <w:r>
        <w:rPr>
          <w:rFonts w:ascii="var(--serif)" w:eastAsia="Times New Roman" w:hAnsi="var(--serif)"/>
          <w:sz w:val="24"/>
          <w:szCs w:val="24"/>
        </w:rPr>
        <w:t>3</w:t>
      </w:r>
      <w:r>
        <w:rPr>
          <w:rFonts w:ascii="var(--serif)" w:eastAsia="Times New Roman" w:hAnsi="var(--serif)"/>
          <w:sz w:val="24"/>
          <w:szCs w:val="24"/>
        </w:rPr>
        <w:t>complet</w:t>
      </w:r>
      <w:r>
        <w:rPr>
          <w:rFonts w:ascii="var(--serif)" w:eastAsia="Times New Roman" w:hAnsi="var(--serif)"/>
          <w:sz w:val="24"/>
          <w:szCs w:val="24"/>
        </w:rPr>
        <w:t>a</w:t>
      </w:r>
      <w:r>
        <w:rPr>
          <w:rFonts w:ascii="var(--serif)" w:eastAsia="Times New Roman" w:hAnsi="var(--serif)"/>
          <w:sz w:val="24"/>
          <w:szCs w:val="24"/>
        </w:rPr>
        <w:t>Transferenci</w:t>
      </w:r>
      <w:r>
        <w:rPr>
          <w:rFonts w:ascii="var(--serif)" w:eastAsia="Times New Roman" w:hAnsi="var(--serif)"/>
          <w:sz w:val="24"/>
          <w:szCs w:val="24"/>
        </w:rPr>
        <w:t>a</w:t>
      </w:r>
      <w:r>
        <w:rPr>
          <w:rFonts w:ascii="var(--serif)" w:eastAsia="Times New Roman" w:hAnsi="var(--serif)"/>
          <w:sz w:val="24"/>
          <w:szCs w:val="24"/>
        </w:rPr>
        <w:t>3</w:t>
      </w:r>
      <w:r>
        <w:rPr>
          <w:rFonts w:ascii="var(--serif)" w:eastAsia="Times New Roman" w:hAnsi="var(--serif)"/>
          <w:sz w:val="24"/>
          <w:szCs w:val="24"/>
        </w:rPr>
        <w:t>complet</w:t>
      </w:r>
      <w:r>
        <w:rPr>
          <w:rFonts w:ascii="var(--serif)" w:eastAsia="Times New Roman" w:hAnsi="var(--serif)"/>
          <w:sz w:val="24"/>
          <w:szCs w:val="24"/>
        </w:rPr>
        <w:t>a</w:t>
      </w:r>
      <w:r>
        <w:rPr>
          <w:rFonts w:ascii="var(--serif)" w:eastAsia="Times New Roman" w:hAnsi="var(--serif)"/>
          <w:sz w:val="24"/>
          <w:szCs w:val="24"/>
        </w:rPr>
        <w:t>Unidad especializad</w:t>
      </w:r>
      <w:r>
        <w:rPr>
          <w:rFonts w:ascii="var(--serif)" w:eastAsia="Times New Roman" w:hAnsi="var(--serif)"/>
          <w:sz w:val="24"/>
          <w:szCs w:val="24"/>
        </w:rPr>
        <w:t>a</w:t>
      </w:r>
      <w:r>
        <w:rPr>
          <w:rFonts w:ascii="var(--serif)" w:eastAsia="Times New Roman" w:hAnsi="var(--serif)"/>
          <w:sz w:val="24"/>
          <w:szCs w:val="24"/>
        </w:rPr>
        <w:t>2</w:t>
      </w:r>
      <w:r>
        <w:rPr>
          <w:rFonts w:ascii="var(--serif)" w:eastAsia="Times New Roman" w:hAnsi="var(--serif)"/>
          <w:sz w:val="24"/>
          <w:szCs w:val="24"/>
        </w:rPr>
        <w:t>falta el objeto citable q</w:t>
      </w:r>
      <w:r>
        <w:rPr>
          <w:rFonts w:ascii="var(--serif)" w:eastAsia="Times New Roman" w:hAnsi="var(--serif)"/>
          <w:sz w:val="24"/>
          <w:szCs w:val="24"/>
        </w:rPr>
        <w:t>ue la acredit</w:t>
      </w:r>
      <w:r>
        <w:rPr>
          <w:rFonts w:ascii="var(--serif)" w:eastAsia="Times New Roman" w:hAnsi="var(--serif)"/>
          <w:sz w:val="24"/>
          <w:szCs w:val="24"/>
        </w:rPr>
        <w:t>e</w:t>
      </w:r>
      <w:r>
        <w:rPr>
          <w:rFonts w:ascii="var(--serif)" w:eastAsia="Times New Roman" w:hAnsi="var(--serif)"/>
          <w:sz w:val="24"/>
          <w:szCs w:val="24"/>
        </w:rPr>
        <w:t>Presencia en pregrad</w:t>
      </w:r>
      <w:r>
        <w:rPr>
          <w:rFonts w:ascii="var(--serif)" w:eastAsia="Times New Roman" w:hAnsi="var(--serif)"/>
          <w:sz w:val="24"/>
          <w:szCs w:val="24"/>
        </w:rPr>
        <w:t>o</w:t>
      </w:r>
      <w:r>
        <w:rPr>
          <w:rFonts w:ascii="var(--serif)" w:eastAsia="Times New Roman" w:hAnsi="var(--serif)"/>
          <w:sz w:val="24"/>
          <w:szCs w:val="24"/>
        </w:rPr>
        <w:t>2</w:t>
      </w:r>
      <w:r>
        <w:rPr>
          <w:rFonts w:ascii="var(--serif)" w:eastAsia="Times New Roman" w:hAnsi="var(--serif)"/>
          <w:sz w:val="24"/>
          <w:szCs w:val="24"/>
        </w:rPr>
        <w:t>falta el objeto citable que la acredit</w:t>
      </w:r>
      <w:r>
        <w:rPr>
          <w:rFonts w:ascii="var(--serif)" w:eastAsia="Times New Roman" w:hAnsi="var(--serif)"/>
          <w:sz w:val="24"/>
          <w:szCs w:val="24"/>
        </w:rPr>
        <w:t>e</w:t>
      </w:r>
      <w:r>
        <w:rPr>
          <w:rFonts w:ascii="var(--serif)" w:eastAsia="Times New Roman" w:hAnsi="var(--serif)"/>
          <w:sz w:val="24"/>
          <w:szCs w:val="24"/>
        </w:rPr>
        <w:t>Formación estructurad</w:t>
      </w:r>
      <w:r>
        <w:rPr>
          <w:rFonts w:ascii="var(--serif)" w:eastAsia="Times New Roman" w:hAnsi="var(--serif)"/>
          <w:sz w:val="24"/>
          <w:szCs w:val="24"/>
        </w:rPr>
        <w:t>a</w:t>
      </w:r>
      <w:r>
        <w:rPr>
          <w:rFonts w:ascii="var(--serif)" w:eastAsia="Times New Roman" w:hAnsi="var(--serif)"/>
          <w:sz w:val="24"/>
          <w:szCs w:val="24"/>
        </w:rPr>
        <w:t>2</w:t>
      </w:r>
      <w:r>
        <w:rPr>
          <w:rFonts w:ascii="var(--serif)" w:eastAsia="Times New Roman" w:hAnsi="var(--serif)"/>
          <w:sz w:val="24"/>
          <w:szCs w:val="24"/>
        </w:rPr>
        <w:t>falta el objeto citable que la acredit</w:t>
      </w:r>
      <w:r>
        <w:rPr>
          <w:rFonts w:ascii="var(--serif)" w:eastAsia="Times New Roman" w:hAnsi="var(--serif)"/>
          <w:sz w:val="24"/>
          <w:szCs w:val="24"/>
        </w:rPr>
        <w:t>e</w:t>
      </w:r>
      <w:r>
        <w:rPr>
          <w:rFonts w:ascii="var(--serif)" w:eastAsia="Times New Roman" w:hAnsi="var(--serif)"/>
          <w:sz w:val="24"/>
          <w:szCs w:val="24"/>
        </w:rPr>
        <w:t>Alcance declarad</w:t>
      </w:r>
      <w:r>
        <w:rPr>
          <w:rFonts w:ascii="var(--serif)" w:eastAsia="Times New Roman" w:hAnsi="var(--serif)"/>
          <w:sz w:val="24"/>
          <w:szCs w:val="24"/>
        </w:rPr>
        <w:t>o</w:t>
      </w:r>
      <w:r>
        <w:rPr>
          <w:rFonts w:ascii="var(--serif)" w:eastAsia="Times New Roman" w:hAnsi="var(--serif)"/>
          <w:sz w:val="24"/>
          <w:szCs w:val="24"/>
        </w:rPr>
        <w:t>2</w:t>
      </w:r>
      <w:r>
        <w:rPr>
          <w:rFonts w:ascii="var(--serif)" w:eastAsia="Times New Roman" w:hAnsi="var(--serif)"/>
          <w:sz w:val="24"/>
          <w:szCs w:val="24"/>
        </w:rPr>
        <w:t>falta el objeto citable que la acredit</w:t>
      </w:r>
      <w:r>
        <w:rPr>
          <w:rFonts w:ascii="var(--serif)" w:eastAsia="Times New Roman" w:hAnsi="var(--serif)"/>
          <w:sz w:val="24"/>
          <w:szCs w:val="24"/>
        </w:rPr>
        <w:t>e</w:t>
      </w:r>
      <w:r>
        <w:rPr>
          <w:rFonts w:ascii="var(--serif)" w:eastAsia="Times New Roman" w:hAnsi="var(--serif)"/>
          <w:sz w:val="24"/>
          <w:szCs w:val="24"/>
        </w:rPr>
        <w:t>Investigació</w:t>
      </w:r>
      <w:r>
        <w:rPr>
          <w:rFonts w:ascii="var(--serif)" w:eastAsia="Times New Roman" w:hAnsi="var(--serif)"/>
          <w:sz w:val="24"/>
          <w:szCs w:val="24"/>
        </w:rPr>
        <w:t>n</w:t>
      </w:r>
      <w:r>
        <w:rPr>
          <w:rFonts w:ascii="var(--serif)" w:eastAsia="Times New Roman" w:hAnsi="var(--serif)"/>
          <w:sz w:val="24"/>
          <w:szCs w:val="24"/>
        </w:rPr>
        <w:t>2</w:t>
      </w:r>
      <w:r>
        <w:rPr>
          <w:rFonts w:ascii="var(--serif)" w:eastAsia="Times New Roman" w:hAnsi="var(--serif)"/>
          <w:sz w:val="24"/>
          <w:szCs w:val="24"/>
        </w:rPr>
        <w:t>falta el objeto citable que la acredit</w:t>
      </w:r>
      <w:r>
        <w:rPr>
          <w:rFonts w:ascii="var(--serif)" w:eastAsia="Times New Roman" w:hAnsi="var(--serif)"/>
          <w:sz w:val="24"/>
          <w:szCs w:val="24"/>
        </w:rPr>
        <w:t>e</w:t>
      </w:r>
      <w:r>
        <w:rPr>
          <w:rFonts w:ascii="var(--serif)" w:eastAsia="Times New Roman" w:hAnsi="var(--serif)"/>
          <w:sz w:val="24"/>
          <w:szCs w:val="24"/>
        </w:rPr>
        <w:t>Norma pro</w:t>
      </w:r>
      <w:r>
        <w:rPr>
          <w:rFonts w:ascii="var(--serif)" w:eastAsia="Times New Roman" w:hAnsi="var(--serif)"/>
          <w:sz w:val="24"/>
          <w:szCs w:val="24"/>
        </w:rPr>
        <w:t>pi</w:t>
      </w:r>
      <w:r>
        <w:rPr>
          <w:rFonts w:ascii="var(--serif)" w:eastAsia="Times New Roman" w:hAnsi="var(--serif)"/>
          <w:sz w:val="24"/>
          <w:szCs w:val="24"/>
        </w:rPr>
        <w:t>a</w:t>
      </w:r>
      <w:r>
        <w:rPr>
          <w:rFonts w:ascii="var(--serif)" w:eastAsia="Times New Roman" w:hAnsi="var(--serif)"/>
          <w:sz w:val="24"/>
          <w:szCs w:val="24"/>
        </w:rPr>
        <w:t>1</w:t>
      </w:r>
      <w:r>
        <w:rPr>
          <w:rFonts w:ascii="var(--serif)" w:eastAsia="Times New Roman" w:hAnsi="var(--serif)"/>
          <w:sz w:val="24"/>
          <w:szCs w:val="24"/>
        </w:rPr>
        <w:t>existe en la universidad, no en la Faculta</w:t>
      </w:r>
      <w:r>
        <w:rPr>
          <w:rFonts w:ascii="var(--serif)" w:eastAsia="Times New Roman" w:hAnsi="var(--serif)"/>
          <w:sz w:val="24"/>
          <w:szCs w:val="24"/>
        </w:rPr>
        <w:t>d</w:t>
      </w:r>
      <w:r>
        <w:rPr>
          <w:rFonts w:ascii="var(--serif)" w:eastAsia="Times New Roman" w:hAnsi="var(--serif)"/>
          <w:sz w:val="24"/>
          <w:szCs w:val="24"/>
        </w:rPr>
        <w:t>Adopción en la enseñanz</w:t>
      </w:r>
      <w:r>
        <w:rPr>
          <w:rFonts w:ascii="var(--serif)" w:eastAsia="Times New Roman" w:hAnsi="var(--serif)"/>
          <w:sz w:val="24"/>
          <w:szCs w:val="24"/>
        </w:rPr>
        <w:t>a</w:t>
      </w:r>
      <w:r>
        <w:rPr>
          <w:rFonts w:ascii="var(--serif)" w:eastAsia="Times New Roman" w:hAnsi="var(--serif)"/>
          <w:sz w:val="24"/>
          <w:szCs w:val="24"/>
        </w:rPr>
        <w:t>1</w:t>
      </w:r>
      <w:r>
        <w:rPr>
          <w:rFonts w:ascii="var(--serif)" w:eastAsia="Times New Roman" w:hAnsi="var(--serif)"/>
          <w:sz w:val="24"/>
          <w:szCs w:val="24"/>
        </w:rPr>
        <w:t>existe en la universidad, no en la Faculta</w:t>
      </w:r>
      <w:r>
        <w:rPr>
          <w:rFonts w:ascii="var(--serif)" w:eastAsia="Times New Roman" w:hAnsi="var(--serif)"/>
          <w:sz w:val="24"/>
          <w:szCs w:val="24"/>
        </w:rPr>
        <w:t>d</w:t>
      </w:r>
      <w:r>
        <w:rPr>
          <w:rFonts w:ascii="var(--serif)" w:eastAsia="Times New Roman" w:hAnsi="var(--serif)"/>
          <w:sz w:val="24"/>
          <w:szCs w:val="24"/>
        </w:rPr>
        <w:t>Evaluación de efect</w:t>
      </w:r>
      <w:r>
        <w:rPr>
          <w:rFonts w:ascii="var(--serif)" w:eastAsia="Times New Roman" w:hAnsi="var(--serif)"/>
          <w:sz w:val="24"/>
          <w:szCs w:val="24"/>
        </w:rPr>
        <w:t>o</w:t>
      </w:r>
      <w:r>
        <w:rPr>
          <w:rFonts w:ascii="var(--serif)" w:eastAsia="Times New Roman" w:hAnsi="var(--serif)"/>
          <w:sz w:val="24"/>
          <w:szCs w:val="24"/>
        </w:rPr>
        <w:t>0</w:t>
      </w:r>
      <w:r>
        <w:rPr>
          <w:rFonts w:ascii="var(--serif)" w:eastAsia="Times New Roman" w:hAnsi="var(--serif)"/>
          <w:sz w:val="24"/>
          <w:szCs w:val="24"/>
        </w:rPr>
        <w:t>no const</w:t>
      </w:r>
      <w:r>
        <w:rPr>
          <w:rFonts w:ascii="var(--serif)" w:eastAsia="Times New Roman" w:hAnsi="var(--serif)"/>
          <w:sz w:val="24"/>
          <w:szCs w:val="24"/>
        </w:rPr>
        <w:t>a</w:t>
      </w:r>
      <w:r>
        <w:rPr>
          <w:rFonts w:ascii="var(--serif)" w:eastAsia="Times New Roman" w:hAnsi="var(--serif)"/>
          <w:sz w:val="24"/>
          <w:szCs w:val="24"/>
        </w:rPr>
        <w:t>Suma de la rúbrica, sin posició</w:t>
      </w:r>
      <w:r>
        <w:rPr>
          <w:rFonts w:ascii="var(--serif)" w:eastAsia="Times New Roman" w:hAnsi="var(--serif)"/>
          <w:sz w:val="24"/>
          <w:szCs w:val="24"/>
        </w:rPr>
        <w:t>n</w:t>
      </w:r>
      <w:r>
        <w:rPr>
          <w:rFonts w:ascii="var(--serif)" w:eastAsia="Times New Roman" w:hAnsi="var(--serif)"/>
          <w:sz w:val="24"/>
          <w:szCs w:val="24"/>
        </w:rPr>
        <w:t>18 de 3</w:t>
      </w:r>
      <w:r>
        <w:rPr>
          <w:rFonts w:ascii="var(--serif)" w:eastAsia="Times New Roman" w:hAnsi="var(--serif)"/>
          <w:sz w:val="24"/>
          <w:szCs w:val="24"/>
        </w:rPr>
        <w:t>0</w:t>
      </w:r>
      <w:r>
        <w:rPr>
          <w:rFonts w:ascii="var(--serif)" w:eastAsia="Times New Roman" w:hAnsi="var(--serif)"/>
          <w:sz w:val="24"/>
          <w:szCs w:val="24"/>
        </w:rPr>
        <w:t>ninguna celda sin concluir · esta figura no orden</w:t>
      </w:r>
      <w:r>
        <w:rPr>
          <w:rFonts w:ascii="var(--serif)" w:eastAsia="Times New Roman" w:hAnsi="var(--serif)"/>
          <w:sz w:val="24"/>
          <w:szCs w:val="24"/>
        </w:rPr>
        <w:t>a</w:t>
      </w:r>
      <w:r>
        <w:rPr>
          <w:rFonts w:ascii="var(--serif)" w:eastAsia="Times New Roman" w:hAnsi="var(--serif)"/>
          <w:sz w:val="24"/>
          <w:szCs w:val="24"/>
        </w:rPr>
        <w:t xml:space="preserve"> </w:t>
      </w:r>
      <w:r>
        <w:rPr>
          <w:rFonts w:ascii="var(--serif)" w:eastAsia="Times New Roman" w:hAnsi="var(--serif)"/>
          <w:sz w:val="24"/>
          <w:szCs w:val="24"/>
        </w:rPr>
        <w:t xml:space="preserve">Cada capacidad vale </w:t>
      </w:r>
      <w:r>
        <w:rPr>
          <w:rFonts w:ascii="var(--serif)" w:eastAsia="Times New Roman" w:hAnsi="var(--serif)"/>
          <w:sz w:val="24"/>
          <w:szCs w:val="24"/>
        </w:rPr>
        <w:t>hasta tres puntos. Los peldaños llenos son lo que la evidencia pública acredita hoy; los punteados, lo que la rúbrica pide y no encuentra. El perfil no tiene ninguna celda sin concluir: las trece rutas del protocolo que le corresponden se recorrieron, de m</w:t>
      </w:r>
      <w:r>
        <w:rPr>
          <w:rFonts w:ascii="var(--serif)" w:eastAsia="Times New Roman" w:hAnsi="var(--serif)"/>
          <w:sz w:val="24"/>
          <w:szCs w:val="24"/>
        </w:rPr>
        <w:t>odo que cada ausencia es una ausencia comprobada y no un hueco de investigación. La figura no ordena y no admite lectura comparativa</w:t>
      </w:r>
      <w:r>
        <w:rPr>
          <w:rFonts w:ascii="var(--serif)" w:eastAsia="Times New Roman" w:hAnsi="var(--serif)"/>
          <w:sz w:val="24"/>
          <w:szCs w:val="24"/>
        </w:rPr>
        <w:t>.</w:t>
      </w:r>
      <w:r>
        <w:rPr>
          <w:rFonts w:ascii="var(--serif)" w:eastAsia="Times New Roman" w:hAnsi="var(--serif)"/>
          <w:sz w:val="24"/>
          <w:szCs w:val="24"/>
        </w:rPr>
        <w:t xml:space="preserve"> </w:t>
      </w:r>
    </w:p>
    <w:p w:rsidR="00000000" w:rsidRDefault="000501AE">
      <w:pPr>
        <w:spacing w:after="340"/>
        <w:divId w:val="942759142"/>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v1.1</w:t>
      </w:r>
    </w:p>
    <w:p w:rsidR="00000000" w:rsidRDefault="000501AE">
      <w:pPr>
        <w:pStyle w:val="Ttulo3"/>
        <w:divId w:val="1730112457"/>
        <w:rPr>
          <w:rFonts w:eastAsia="Times New Roman"/>
        </w:rPr>
      </w:pPr>
      <w:r>
        <w:rPr>
          <w:rFonts w:eastAsia="Times New Roman"/>
        </w:rPr>
        <w:t xml:space="preserve">Los doce puntos que faltan tienen tres formas, y sólo una </w:t>
      </w:r>
      <w:r>
        <w:rPr>
          <w:rFonts w:eastAsia="Times New Roman"/>
        </w:rPr>
        <w:t>es cara</w:t>
      </w:r>
    </w:p>
    <w:p w:rsidR="00000000" w:rsidRDefault="000501AE">
      <w:pPr>
        <w:pStyle w:val="NormalWeb"/>
        <w:divId w:val="1730112457"/>
        <w:rPr>
          <w:rFonts w:ascii="var(--serif)" w:hAnsi="var(--serif)"/>
          <w:sz w:val="24"/>
          <w:szCs w:val="24"/>
        </w:rPr>
      </w:pPr>
      <w:r>
        <w:rPr>
          <w:rFonts w:ascii="var(--serif)" w:hAnsi="var(--serif)"/>
          <w:sz w:val="24"/>
          <w:szCs w:val="24"/>
        </w:rPr>
        <w:t>El reparto importa más que la suma, porque cada forma se cierra con un acto distinto y cuesta una cosa distinta. Doce puntos repartidos en doce capacidades vacías serían un problema de construcción institucional. Repartidos como están, son sobre to</w:t>
      </w:r>
      <w:r>
        <w:rPr>
          <w:rFonts w:ascii="var(--serif)" w:hAnsi="var(--serif)"/>
          <w:sz w:val="24"/>
          <w:szCs w:val="24"/>
        </w:rPr>
        <w:t>do un problema de publicación.</w:t>
      </w:r>
    </w:p>
    <w:tbl>
      <w:tblPr>
        <w:tblW w:w="5000" w:type="pct"/>
        <w:tblCellMar>
          <w:top w:w="15" w:type="dxa"/>
          <w:left w:w="15" w:type="dxa"/>
          <w:bottom w:w="15" w:type="dxa"/>
          <w:right w:w="15" w:type="dxa"/>
        </w:tblCellMar>
        <w:tblLook w:val="04A0"/>
      </w:tblPr>
      <w:tblGrid>
        <w:gridCol w:w="1701"/>
        <w:gridCol w:w="870"/>
        <w:gridCol w:w="6103"/>
      </w:tblGrid>
      <w:tr w:rsidR="00000000">
        <w:trPr>
          <w:divId w:val="1730112457"/>
          <w:tblHeader/>
        </w:trPr>
        <w:tc>
          <w:tcPr>
            <w:tcW w:w="1701" w:type="dxa"/>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Forma</w:t>
            </w:r>
          </w:p>
        </w:tc>
        <w:tc>
          <w:tcPr>
            <w:tcW w:w="794" w:type="dxa"/>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Puntos</w:t>
            </w:r>
          </w:p>
        </w:tc>
        <w:tc>
          <w:tcPr>
            <w:tcW w:w="0" w:type="auto"/>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falta, y qué acto lo cierra</w:t>
            </w:r>
          </w:p>
        </w:tc>
      </w:tr>
      <w:tr w:rsidR="00000000">
        <w:trPr>
          <w:divId w:val="1730112457"/>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20"/>
                <w:szCs w:val="20"/>
              </w:rPr>
            </w:pPr>
            <w:r>
              <w:rPr>
                <w:rFonts w:ascii="var(--sans)" w:eastAsia="Times New Roman" w:hAnsi="var(--sans)"/>
                <w:b/>
                <w:bCs/>
                <w:sz w:val="20"/>
                <w:szCs w:val="20"/>
              </w:rPr>
              <w:t>Falta el instrumento</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20"/>
                <w:szCs w:val="20"/>
              </w:rPr>
            </w:pPr>
            <w:r>
              <w:rPr>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20"/>
                <w:szCs w:val="20"/>
              </w:rPr>
            </w:pPr>
            <w:r>
              <w:rPr>
                <w:rStyle w:val="Textoennegrita"/>
                <w:rFonts w:ascii="var(--sans)" w:eastAsia="Times New Roman" w:hAnsi="var(--sans)"/>
                <w:sz w:val="20"/>
                <w:szCs w:val="20"/>
              </w:rPr>
              <w:t>Cinco capacidades están en operación y ninguna publica el objeto citable que las acredita.</w:t>
            </w:r>
            <w:r>
              <w:rPr>
                <w:rFonts w:ascii="var(--sans)" w:eastAsia="Times New Roman" w:hAnsi="var(--sans)"/>
                <w:sz w:val="20"/>
                <w:szCs w:val="20"/>
              </w:rPr>
              <w:t xml:space="preserve"> </w:t>
            </w:r>
            <w:r>
              <w:rPr>
                <w:rFonts w:ascii="var(--sans)" w:eastAsia="Times New Roman" w:hAnsi="var(--sans)"/>
                <w:sz w:val="20"/>
                <w:szCs w:val="20"/>
              </w:rPr>
              <w:t>Unidad especializada, presencia en pregrado, formación estructurada, alcance declarado e investigación pierden un punto cada una, y cada una lo recupera publicando un documento que en la mayoría de los casos ya existe: el acto que crea el programa, el códi</w:t>
            </w:r>
            <w:r>
              <w:rPr>
                <w:rFonts w:ascii="var(--sans)" w:eastAsia="Times New Roman" w:hAnsi="var(--sans)"/>
                <w:sz w:val="20"/>
                <w:szCs w:val="20"/>
              </w:rPr>
              <w:t>go y los créditos de la asignatura, el del programa formativo, el alcance real de lo que se ejecuta y el código del proyecto adjudicado. Ninguno de los cinco exige decidir nada nuevo. Exigen publicar lo decidido.</w:t>
            </w:r>
          </w:p>
        </w:tc>
      </w:tr>
      <w:tr w:rsidR="00000000">
        <w:trPr>
          <w:divId w:val="1730112457"/>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20"/>
                <w:szCs w:val="20"/>
              </w:rPr>
            </w:pPr>
            <w:r>
              <w:rPr>
                <w:rFonts w:ascii="var(--sans)" w:eastAsia="Times New Roman" w:hAnsi="var(--sans)"/>
                <w:b/>
                <w:bCs/>
                <w:sz w:val="20"/>
                <w:szCs w:val="20"/>
              </w:rPr>
              <w:t>Falta el nivel</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20"/>
                <w:szCs w:val="20"/>
              </w:rPr>
            </w:pPr>
            <w:r>
              <w:rPr>
                <w:rStyle w:val="Textoennegrita"/>
                <w:rFonts w:ascii="var(--sans)" w:eastAsia="Times New Roman" w:hAnsi="var(--sans)"/>
                <w:sz w:val="20"/>
                <w:szCs w:val="20"/>
              </w:rPr>
              <w:t>Dos capacidades exi</w:t>
            </w:r>
            <w:r>
              <w:rPr>
                <w:rStyle w:val="Textoennegrita"/>
                <w:rFonts w:ascii="var(--sans)" w:eastAsia="Times New Roman" w:hAnsi="var(--sans)"/>
                <w:sz w:val="20"/>
                <w:szCs w:val="20"/>
              </w:rPr>
              <w:t>sten en la Universidad y no en la Escuela.</w:t>
            </w:r>
            <w:r>
              <w:rPr>
                <w:rFonts w:ascii="var(--sans)" w:eastAsia="Times New Roman" w:hAnsi="var(--sans)"/>
                <w:sz w:val="20"/>
                <w:szCs w:val="20"/>
              </w:rPr>
              <w:t xml:space="preserve"> La regla de uso de inteligencia artificial y la adopción declarada en la enseñanza constan como instrumentos universitarios de carácter orientador, no como decisiones de la unidad jurídica. Valen un punto en lugar</w:t>
            </w:r>
            <w:r>
              <w:rPr>
                <w:rFonts w:ascii="var(--sans)" w:eastAsia="Times New Roman" w:hAnsi="var(--sans)"/>
                <w:sz w:val="20"/>
                <w:szCs w:val="20"/>
              </w:rPr>
              <w:t xml:space="preserve"> de tres por esa razón y no por su contenido. Se cierran decidiendo en el nivel que la rúbrica pregunta —un acuerdo de Consejo de Escuela con deberes exigibles—, no construyendo nada nuevo. Es el único de los tres huecos que exige una decisión de gobierno.</w:t>
            </w:r>
          </w:p>
        </w:tc>
      </w:tr>
      <w:tr w:rsidR="00000000">
        <w:trPr>
          <w:divId w:val="1730112457"/>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20"/>
                <w:szCs w:val="20"/>
              </w:rPr>
            </w:pPr>
            <w:r>
              <w:rPr>
                <w:rFonts w:ascii="var(--sans)" w:eastAsia="Times New Roman" w:hAnsi="var(--sans)"/>
                <w:b/>
                <w:bCs/>
                <w:sz w:val="20"/>
                <w:szCs w:val="20"/>
              </w:rPr>
              <w:t>Falta todo</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20"/>
                <w:szCs w:val="20"/>
              </w:rPr>
            </w:pPr>
            <w:r>
              <w:rPr>
                <w:rStyle w:val="Textoennegrita"/>
                <w:rFonts w:ascii="var(--sans)" w:eastAsia="Times New Roman" w:hAnsi="var(--sans)"/>
                <w:sz w:val="20"/>
                <w:szCs w:val="20"/>
              </w:rPr>
              <w:t>La evaluación de efecto no consta, y no consta en ninguna Facultad del país.</w:t>
            </w:r>
            <w:r>
              <w:rPr>
                <w:rFonts w:ascii="var(--sans)" w:eastAsia="Times New Roman" w:hAnsi="var(--sans)"/>
                <w:sz w:val="20"/>
                <w:szCs w:val="20"/>
              </w:rPr>
              <w:t xml:space="preserve"> Es la única de las tres formas que no se cierra con un trámite: exige </w:t>
            </w:r>
            <w:r>
              <w:rPr>
                <w:rFonts w:ascii="var(--sans)" w:eastAsia="Times New Roman" w:hAnsi="var(--sans)"/>
                <w:sz w:val="20"/>
                <w:szCs w:val="20"/>
              </w:rPr>
              <w:t xml:space="preserve">producir evidencia que hoy no existe. También es la única donde el esfuerzo no compra una posición sino una primicia, porque las diez instituciones del comparador están igualmente en cero y no hay un solo proyecto financiado en la materia. Las secciones 5 </w:t>
            </w:r>
            <w:r>
              <w:rPr>
                <w:rFonts w:ascii="var(--sans)" w:eastAsia="Times New Roman" w:hAnsi="var(--sans)"/>
                <w:sz w:val="20"/>
                <w:szCs w:val="20"/>
              </w:rPr>
              <w:t>a 7 desarrollan exactamente esta vía.</w:t>
            </w:r>
          </w:p>
        </w:tc>
      </w:tr>
    </w:tbl>
    <w:p w:rsidR="00000000" w:rsidRDefault="000501AE">
      <w:pPr>
        <w:pStyle w:val="NormalWeb"/>
        <w:spacing w:before="193" w:after="193"/>
        <w:divId w:val="93017778"/>
        <w:rPr>
          <w:rFonts w:ascii="var(--serif)" w:hAnsi="var(--serif)"/>
          <w:sz w:val="24"/>
          <w:szCs w:val="24"/>
        </w:rPr>
      </w:pPr>
      <w:r>
        <w:rPr>
          <w:rFonts w:ascii="var(--serif)" w:hAnsi="var(--serif)"/>
          <w:sz w:val="24"/>
          <w:szCs w:val="24"/>
        </w:rPr>
        <w:t xml:space="preserve">Nueve de los doce puntos que faltan —los cinco del instrumento y los cuatro del nivel— no dependen de construir nada. Dependen de publicar y de decidir dónde corresponde. Es la lectura más incómoda de este documento y </w:t>
      </w:r>
      <w:r>
        <w:rPr>
          <w:rFonts w:ascii="var(--serif)" w:hAnsi="var(--serif)"/>
          <w:sz w:val="24"/>
          <w:szCs w:val="24"/>
        </w:rPr>
        <w:t xml:space="preserve">también la más accionable: </w:t>
      </w:r>
      <w:r>
        <w:rPr>
          <w:rStyle w:val="Textoennegrita"/>
          <w:rFonts w:ascii="var(--serif)" w:hAnsi="var(--serif)"/>
          <w:sz w:val="24"/>
          <w:szCs w:val="24"/>
        </w:rPr>
        <w:t>la distancia entre lo que esta Escuela hace y lo que puede acreditar es, en tres cuartas partes, una distancia documental.</w:t>
      </w:r>
    </w:p>
    <w:p w:rsidR="00000000" w:rsidRDefault="000501AE">
      <w:pPr>
        <w:pStyle w:val="Ttulo3"/>
        <w:divId w:val="1730112457"/>
        <w:rPr>
          <w:rFonts w:eastAsia="Times New Roman"/>
        </w:rPr>
      </w:pPr>
      <w:r>
        <w:rPr>
          <w:rFonts w:eastAsia="Times New Roman"/>
        </w:rPr>
        <w:t>Lo que el perfil sí acredita, y con qué</w:t>
      </w:r>
    </w:p>
    <w:p w:rsidR="00000000" w:rsidRDefault="000501AE">
      <w:pPr>
        <w:pStyle w:val="NormalWeb"/>
        <w:divId w:val="1730112457"/>
        <w:rPr>
          <w:rFonts w:ascii="var(--serif)" w:hAnsi="var(--serif)"/>
          <w:sz w:val="24"/>
          <w:szCs w:val="24"/>
        </w:rPr>
      </w:pPr>
      <w:r>
        <w:rPr>
          <w:rFonts w:ascii="var(--serif)" w:hAnsi="var(--serif)"/>
          <w:sz w:val="24"/>
          <w:szCs w:val="24"/>
        </w:rPr>
        <w:t xml:space="preserve">Las dos capacidades completas son las únicas de todo el corpus en </w:t>
      </w:r>
      <w:r>
        <w:rPr>
          <w:rFonts w:ascii="var(--serif)" w:hAnsi="var(--serif)"/>
          <w:sz w:val="24"/>
          <w:szCs w:val="24"/>
        </w:rPr>
        <w:t>las que esta institución alcanza el grado más alto de la rúbrica, y las dos lo alcanzan por la misma razón: existe un objeto con identificador que cualquiera puede comprobar sin preguntarle nada a la institución.</w:t>
      </w:r>
    </w:p>
    <w:tbl>
      <w:tblPr>
        <w:tblW w:w="5000" w:type="pct"/>
        <w:tblCellMar>
          <w:top w:w="15" w:type="dxa"/>
          <w:left w:w="15" w:type="dxa"/>
          <w:bottom w:w="15" w:type="dxa"/>
          <w:right w:w="15" w:type="dxa"/>
        </w:tblCellMar>
        <w:tblLook w:val="04A0"/>
      </w:tblPr>
      <w:tblGrid>
        <w:gridCol w:w="2495"/>
        <w:gridCol w:w="6179"/>
      </w:tblGrid>
      <w:tr w:rsidR="00000000">
        <w:trPr>
          <w:divId w:val="1730112457"/>
          <w:tblHeader/>
        </w:trPr>
        <w:tc>
          <w:tcPr>
            <w:tcW w:w="2495" w:type="dxa"/>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Capacidad</w:t>
            </w:r>
          </w:p>
        </w:tc>
        <w:tc>
          <w:tcPr>
            <w:tcW w:w="0" w:type="auto"/>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Instrumento formal que la ac</w:t>
            </w:r>
            <w:r>
              <w:rPr>
                <w:rFonts w:ascii="var(--sans)" w:eastAsia="Times New Roman" w:hAnsi="var(--sans)"/>
                <w:b/>
                <w:bCs/>
                <w:caps/>
                <w:spacing w:val="22"/>
                <w:sz w:val="17"/>
                <w:szCs w:val="17"/>
              </w:rPr>
              <w:t>redita</w:t>
            </w:r>
          </w:p>
        </w:tc>
      </w:tr>
      <w:tr w:rsidR="00000000">
        <w:trPr>
          <w:divId w:val="1730112457"/>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20"/>
                <w:szCs w:val="20"/>
              </w:rPr>
            </w:pPr>
            <w:r>
              <w:rPr>
                <w:rFonts w:ascii="var(--sans)" w:eastAsia="Times New Roman" w:hAnsi="var(--sans)"/>
                <w:b/>
                <w:bCs/>
                <w:sz w:val="20"/>
                <w:szCs w:val="20"/>
              </w:rPr>
              <w:t>Herramienta desplegada</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20"/>
                <w:szCs w:val="20"/>
              </w:rPr>
            </w:pPr>
            <w:r>
              <w:rPr>
                <w:rFonts w:ascii="var(--sans)" w:eastAsia="Times New Roman" w:hAnsi="var(--sans)"/>
                <w:sz w:val="20"/>
                <w:szCs w:val="20"/>
              </w:rPr>
              <w:t xml:space="preserve">Registro de propiedad intelectual de ScribeClaroPUCV, Certificado nº 2026-A-6558 de 23-06-2026. Un asistente de redacción jurídica construido en la Escuela, accesible sin </w:t>
            </w:r>
            <w:r>
              <w:rPr>
                <w:rFonts w:ascii="var(--sans)" w:eastAsia="Times New Roman" w:hAnsi="var(--sans)"/>
                <w:sz w:val="20"/>
                <w:szCs w:val="20"/>
              </w:rPr>
              <w:t>registro y con uso documentado fuera de la Universidad. No publica métricas de uso, y ése es el límite del registro.</w:t>
            </w:r>
          </w:p>
        </w:tc>
      </w:tr>
      <w:tr w:rsidR="00000000">
        <w:trPr>
          <w:divId w:val="1730112457"/>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20"/>
                <w:szCs w:val="20"/>
              </w:rPr>
            </w:pPr>
            <w:r>
              <w:rPr>
                <w:rFonts w:ascii="var(--sans)" w:eastAsia="Times New Roman" w:hAnsi="var(--sans)"/>
                <w:b/>
                <w:bCs/>
                <w:sz w:val="20"/>
                <w:szCs w:val="20"/>
              </w:rPr>
              <w:t>Transferencia</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20"/>
                <w:szCs w:val="20"/>
              </w:rPr>
            </w:pPr>
            <w:r>
              <w:rPr>
                <w:rFonts w:ascii="var(--sans)" w:eastAsia="Times New Roman" w:hAnsi="var(--sans)"/>
                <w:sz w:val="20"/>
                <w:szCs w:val="20"/>
              </w:rPr>
              <w:t xml:space="preserve">Convenio con la Corte Suprema de agosto de 2020, con decana y presidente de la Corte identificados y actividad derivada </w:t>
            </w:r>
            <w:r>
              <w:rPr>
                <w:rFonts w:ascii="var(--sans)" w:eastAsia="Times New Roman" w:hAnsi="var(--sans)"/>
                <w:sz w:val="20"/>
                <w:szCs w:val="20"/>
              </w:rPr>
              <w:t>documentada. Es el único convenio del corpus con contraparte de esa jerarquía y con continuidad verificable.</w:t>
            </w:r>
          </w:p>
        </w:tc>
      </w:tr>
    </w:tbl>
    <w:p w:rsidR="00000000" w:rsidRDefault="000501AE">
      <w:pPr>
        <w:spacing w:before="142" w:after="170"/>
        <w:divId w:val="2081562062"/>
        <w:rPr>
          <w:rFonts w:ascii="var(--serif)" w:eastAsia="Times New Roman" w:hAnsi="var(--serif)"/>
          <w:i/>
          <w:iCs/>
          <w:sz w:val="22"/>
          <w:szCs w:val="22"/>
        </w:rPr>
      </w:pPr>
      <w:r>
        <w:rPr>
          <w:rFonts w:ascii="var(--serif)" w:eastAsia="Times New Roman" w:hAnsi="var(--serif)"/>
          <w:b/>
          <w:bCs/>
          <w:sz w:val="22"/>
          <w:szCs w:val="22"/>
        </w:rPr>
        <w:t>Límite.</w:t>
      </w:r>
      <w:r>
        <w:rPr>
          <w:rFonts w:ascii="var(--serif)" w:eastAsia="Times New Roman" w:hAnsi="var(--serif)"/>
          <w:i/>
          <w:iCs/>
          <w:sz w:val="22"/>
          <w:szCs w:val="22"/>
        </w:rPr>
        <w:t xml:space="preserve"> Que estas dos capacidades estén completas no dice que </w:t>
      </w:r>
      <w:r>
        <w:rPr>
          <w:rFonts w:ascii="var(--serif)" w:eastAsia="Times New Roman" w:hAnsi="var(--serif)"/>
          <w:i/>
          <w:iCs/>
          <w:sz w:val="22"/>
          <w:szCs w:val="22"/>
        </w:rPr>
        <w:t>la Escuela sea mejor en ellas que las demás: dice que en estas dos publicó el objeto que la rúbrica pide, y que en las otras ocho no. La rúbrica mide trazabilidad, no mérito, y ésa es la única cosa que un método basado en evidencia pública puede medir.</w:t>
      </w:r>
    </w:p>
    <w:p w:rsidR="00000000" w:rsidRDefault="000501AE">
      <w:pPr>
        <w:spacing w:after="340"/>
        <w:divId w:val="476531456"/>
        <w:rPr>
          <w:rFonts w:ascii="var(--sans)" w:eastAsia="Times New Roman" w:hAnsi="var(--sans)"/>
          <w:spacing w:val="12"/>
          <w:sz w:val="17"/>
          <w:szCs w:val="17"/>
        </w:rPr>
      </w:pPr>
      <w:r>
        <w:rPr>
          <w:rFonts w:ascii="var(--sans)" w:eastAsia="Times New Roman" w:hAnsi="var(--sans)"/>
          <w:spacing w:val="12"/>
          <w:sz w:val="17"/>
          <w:szCs w:val="17"/>
        </w:rPr>
        <w:t>Inf</w:t>
      </w:r>
      <w:r>
        <w:rPr>
          <w:rFonts w:ascii="var(--sans)" w:eastAsia="Times New Roman" w:hAnsi="var(--sans)"/>
          <w:spacing w:val="12"/>
          <w:sz w:val="17"/>
          <w:szCs w:val="17"/>
        </w:rPr>
        <w:t>orme 01 · complementoLa PUCV como caso de proyección · v1.1</w:t>
      </w:r>
    </w:p>
    <w:p w:rsidR="00000000" w:rsidRDefault="000501AE">
      <w:pPr>
        <w:pStyle w:val="eyebrow"/>
        <w:divId w:val="395861632"/>
      </w:pPr>
      <w:r>
        <w:t>Proyecciones</w:t>
      </w:r>
    </w:p>
    <w:p w:rsidR="00000000" w:rsidRDefault="000501AE">
      <w:pPr>
        <w:pStyle w:val="Ttulo2"/>
        <w:divId w:val="395861632"/>
        <w:rPr>
          <w:rFonts w:eastAsia="Times New Roman"/>
        </w:rPr>
      </w:pPr>
      <w:r>
        <w:rPr>
          <w:rFonts w:eastAsia="Times New Roman"/>
        </w:rPr>
        <w:t>5 · Cuatro cosas construibles sobre esa base</w:t>
      </w:r>
    </w:p>
    <w:p w:rsidR="00000000" w:rsidRDefault="000501AE">
      <w:pPr>
        <w:shd w:val="clear" w:color="auto" w:fill="FFFFFF"/>
        <w:spacing w:before="193" w:after="170"/>
        <w:ind w:left="34"/>
        <w:divId w:val="1617181276"/>
        <w:rPr>
          <w:rFonts w:ascii="var(--serif)" w:eastAsia="Times New Roman" w:hAnsi="var(--serif)"/>
          <w:sz w:val="24"/>
          <w:szCs w:val="24"/>
        </w:rPr>
      </w:pPr>
      <w:r>
        <w:rPr>
          <w:rStyle w:val="rec-id1"/>
          <w:rFonts w:eastAsia="Times New Roman"/>
        </w:rPr>
        <w:t>P-1</w:t>
      </w:r>
      <w:r>
        <w:rPr>
          <w:rStyle w:val="rec-t1"/>
          <w:rFonts w:eastAsia="Times New Roman"/>
        </w:rPr>
        <w:t>Formación continua internacional por la vía de vinculación con el medio</w:t>
      </w:r>
    </w:p>
    <w:p w:rsidR="00000000" w:rsidRDefault="000501AE">
      <w:pPr>
        <w:shd w:val="clear" w:color="auto" w:fill="FFFFFF"/>
        <w:ind w:left="34"/>
        <w:divId w:val="2105956396"/>
        <w:rPr>
          <w:rFonts w:ascii="var(--sans)" w:eastAsia="Times New Roman" w:hAnsi="var(--sans)"/>
          <w:caps/>
          <w:spacing w:val="24"/>
          <w:sz w:val="17"/>
          <w:szCs w:val="17"/>
        </w:rPr>
      </w:pPr>
      <w:r>
        <w:rPr>
          <w:rFonts w:ascii="var(--sans)" w:eastAsia="Times New Roman" w:hAnsi="var(--sans)"/>
          <w:caps/>
          <w:spacing w:val="24"/>
          <w:sz w:val="17"/>
          <w:szCs w:val="17"/>
        </w:rPr>
        <w:t>Parte de</w:t>
      </w:r>
    </w:p>
    <w:p w:rsidR="00000000" w:rsidRDefault="000501AE">
      <w:pPr>
        <w:shd w:val="clear" w:color="auto" w:fill="FFFFFF"/>
        <w:ind w:left="34"/>
        <w:divId w:val="697582204"/>
        <w:rPr>
          <w:rFonts w:ascii="var(--serif)" w:eastAsia="Times New Roman" w:hAnsi="var(--serif)"/>
          <w:sz w:val="22"/>
          <w:szCs w:val="22"/>
        </w:rPr>
      </w:pPr>
      <w:r>
        <w:rPr>
          <w:rFonts w:ascii="var(--serif)" w:eastAsia="Times New Roman" w:hAnsi="var(--serif)"/>
          <w:sz w:val="22"/>
          <w:szCs w:val="22"/>
        </w:rPr>
        <w:t>Un certamen con cinco versiones y participantes de sei</w:t>
      </w:r>
      <w:r>
        <w:rPr>
          <w:rFonts w:ascii="var(--serif)" w:eastAsia="Times New Roman" w:hAnsi="var(--serif)"/>
          <w:sz w:val="22"/>
          <w:szCs w:val="22"/>
        </w:rPr>
        <w:t>s países, y dos adjudicaciones consecutivas de fondos de vinculación con el medio con la IA en el objeto. El canal internacional ya está abierto y ya está financiado por concurso.</w:t>
      </w:r>
    </w:p>
    <w:p w:rsidR="00000000" w:rsidRDefault="000501AE">
      <w:pPr>
        <w:shd w:val="clear" w:color="auto" w:fill="FFFFFF"/>
        <w:ind w:left="34"/>
        <w:divId w:val="532037518"/>
        <w:rPr>
          <w:rFonts w:ascii="var(--sans)" w:eastAsia="Times New Roman" w:hAnsi="var(--sans)"/>
          <w:caps/>
          <w:spacing w:val="24"/>
          <w:sz w:val="17"/>
          <w:szCs w:val="17"/>
        </w:rPr>
      </w:pPr>
      <w:r>
        <w:rPr>
          <w:rFonts w:ascii="var(--sans)" w:eastAsia="Times New Roman" w:hAnsi="var(--sans)"/>
          <w:caps/>
          <w:spacing w:val="24"/>
          <w:sz w:val="17"/>
          <w:szCs w:val="17"/>
        </w:rPr>
        <w:t>Propone</w:t>
      </w:r>
    </w:p>
    <w:p w:rsidR="00000000" w:rsidRDefault="000501AE">
      <w:pPr>
        <w:shd w:val="clear" w:color="auto" w:fill="FFFFFF"/>
        <w:ind w:left="34"/>
        <w:divId w:val="1041050569"/>
        <w:rPr>
          <w:rFonts w:ascii="var(--serif)" w:eastAsia="Times New Roman" w:hAnsi="var(--serif)"/>
          <w:sz w:val="22"/>
          <w:szCs w:val="22"/>
        </w:rPr>
      </w:pPr>
      <w:r>
        <w:rPr>
          <w:rFonts w:ascii="var(--serif)" w:eastAsia="Times New Roman" w:hAnsi="var(--serif)"/>
          <w:sz w:val="22"/>
          <w:szCs w:val="22"/>
        </w:rPr>
        <w:t>Convertir ese canal en oferta de formación continua con docencia int</w:t>
      </w:r>
      <w:r>
        <w:rPr>
          <w:rFonts w:ascii="var(--serif)" w:eastAsia="Times New Roman" w:hAnsi="var(--serif)"/>
          <w:sz w:val="22"/>
          <w:szCs w:val="22"/>
        </w:rPr>
        <w:t>ernacional en inteligencia artificial aplicada al Derecho, articulada como actividad de vinculación con el medio y no como programa de postgrado. La diferencia importa: el ciclo de decisión de vinculación es corto y su financiamiento ya existe, mientras qu</w:t>
      </w:r>
      <w:r>
        <w:rPr>
          <w:rFonts w:ascii="var(--serif)" w:eastAsia="Times New Roman" w:hAnsi="var(--serif)"/>
          <w:sz w:val="22"/>
          <w:szCs w:val="22"/>
        </w:rPr>
        <w:t>e crear un programa de postgrado exige aprobaciones que tardan más que la ventana tecnológica.</w:t>
      </w:r>
    </w:p>
    <w:p w:rsidR="00000000" w:rsidRDefault="000501AE">
      <w:pPr>
        <w:shd w:val="clear" w:color="auto" w:fill="FFFFFF"/>
        <w:ind w:left="34"/>
        <w:divId w:val="1600792390"/>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0501AE">
      <w:pPr>
        <w:shd w:val="clear" w:color="auto" w:fill="FFFFFF"/>
        <w:ind w:left="34"/>
        <w:divId w:val="716853314"/>
        <w:rPr>
          <w:rFonts w:ascii="var(--serif)" w:eastAsia="Times New Roman" w:hAnsi="var(--serif)"/>
          <w:sz w:val="22"/>
          <w:szCs w:val="22"/>
        </w:rPr>
      </w:pPr>
      <w:r>
        <w:rPr>
          <w:rFonts w:ascii="var(--serif)" w:eastAsia="Times New Roman" w:hAnsi="var(--serif)"/>
          <w:sz w:val="22"/>
          <w:szCs w:val="22"/>
        </w:rPr>
        <w:t>Dos ediciones consecutivas con matrícula publicada, procedencia institucional de los participantes y docentes externos identificados. Dos puntos hacen una serie; uno no.</w:t>
      </w:r>
    </w:p>
    <w:p w:rsidR="00000000" w:rsidRDefault="000501AE">
      <w:pPr>
        <w:shd w:val="clear" w:color="auto" w:fill="FFFFFF"/>
        <w:ind w:left="34"/>
        <w:divId w:val="645743927"/>
        <w:rPr>
          <w:rFonts w:ascii="var(--sans)" w:eastAsia="Times New Roman" w:hAnsi="var(--sans)"/>
          <w:caps/>
          <w:spacing w:val="24"/>
          <w:sz w:val="17"/>
          <w:szCs w:val="17"/>
        </w:rPr>
      </w:pPr>
      <w:r>
        <w:rPr>
          <w:rFonts w:ascii="var(--sans)" w:eastAsia="Times New Roman" w:hAnsi="var(--sans)"/>
          <w:caps/>
          <w:spacing w:val="24"/>
          <w:sz w:val="17"/>
          <w:szCs w:val="17"/>
        </w:rPr>
        <w:t>Riesgo</w:t>
      </w:r>
    </w:p>
    <w:p w:rsidR="00000000" w:rsidRDefault="000501AE">
      <w:pPr>
        <w:shd w:val="clear" w:color="auto" w:fill="FFFFFF"/>
        <w:spacing w:after="193"/>
        <w:ind w:left="34"/>
        <w:divId w:val="1657490103"/>
        <w:rPr>
          <w:rFonts w:ascii="var(--serif)" w:eastAsia="Times New Roman" w:hAnsi="var(--serif)"/>
          <w:sz w:val="22"/>
          <w:szCs w:val="22"/>
        </w:rPr>
      </w:pPr>
      <w:r>
        <w:rPr>
          <w:rFonts w:ascii="var(--serif)" w:eastAsia="Times New Roman" w:hAnsi="var(--serif)"/>
          <w:sz w:val="22"/>
          <w:szCs w:val="22"/>
        </w:rPr>
        <w:t>Que la actividad internacional siga midiéndose por asistencia a un evento. El a</w:t>
      </w:r>
      <w:r>
        <w:rPr>
          <w:rFonts w:ascii="var(--serif)" w:eastAsia="Times New Roman" w:hAnsi="var(--serif)"/>
          <w:sz w:val="22"/>
          <w:szCs w:val="22"/>
        </w:rPr>
        <w:t>lcance de un certamen no es cobertura formativa, y contarlo como tal repetiría el error que el informe principal señala en otras instituciones.</w:t>
      </w:r>
    </w:p>
    <w:p w:rsidR="00000000" w:rsidRDefault="000501AE">
      <w:pPr>
        <w:shd w:val="clear" w:color="auto" w:fill="FFFFFF"/>
        <w:spacing w:before="193" w:after="170"/>
        <w:ind w:left="34"/>
        <w:divId w:val="1698193795"/>
        <w:rPr>
          <w:rFonts w:ascii="var(--serif)" w:eastAsia="Times New Roman" w:hAnsi="var(--serif)"/>
          <w:sz w:val="24"/>
          <w:szCs w:val="24"/>
        </w:rPr>
      </w:pPr>
      <w:r>
        <w:rPr>
          <w:rStyle w:val="rec-id1"/>
          <w:rFonts w:eastAsia="Times New Roman"/>
        </w:rPr>
        <w:t>P-2</w:t>
      </w:r>
      <w:r>
        <w:rPr>
          <w:rStyle w:val="rec-t1"/>
          <w:rFonts w:eastAsia="Times New Roman"/>
        </w:rPr>
        <w:t>Cubrir el vacío que ninguna de las diez ha cubierto: medir el efecto</w:t>
      </w:r>
    </w:p>
    <w:p w:rsidR="00000000" w:rsidRDefault="000501AE">
      <w:pPr>
        <w:shd w:val="clear" w:color="auto" w:fill="FFFFFF"/>
        <w:ind w:left="34"/>
        <w:divId w:val="151146134"/>
        <w:rPr>
          <w:rFonts w:ascii="var(--sans)" w:eastAsia="Times New Roman" w:hAnsi="var(--sans)"/>
          <w:caps/>
          <w:spacing w:val="24"/>
          <w:sz w:val="17"/>
          <w:szCs w:val="17"/>
        </w:rPr>
      </w:pPr>
      <w:r>
        <w:rPr>
          <w:rFonts w:ascii="var(--sans)" w:eastAsia="Times New Roman" w:hAnsi="var(--sans)"/>
          <w:caps/>
          <w:spacing w:val="24"/>
          <w:sz w:val="17"/>
          <w:szCs w:val="17"/>
        </w:rPr>
        <w:t>Parte de</w:t>
      </w:r>
    </w:p>
    <w:p w:rsidR="00000000" w:rsidRDefault="000501AE">
      <w:pPr>
        <w:shd w:val="clear" w:color="auto" w:fill="FFFFFF"/>
        <w:ind w:left="34"/>
        <w:divId w:val="1660227070"/>
        <w:rPr>
          <w:rFonts w:ascii="var(--serif)" w:eastAsia="Times New Roman" w:hAnsi="var(--serif)"/>
          <w:sz w:val="22"/>
          <w:szCs w:val="22"/>
        </w:rPr>
      </w:pPr>
      <w:r>
        <w:rPr>
          <w:rFonts w:ascii="var(--serif)" w:eastAsia="Times New Roman" w:hAnsi="var(--serif)"/>
          <w:sz w:val="22"/>
          <w:szCs w:val="22"/>
        </w:rPr>
        <w:t>El hallazgo central del informe</w:t>
      </w:r>
      <w:r>
        <w:rPr>
          <w:rFonts w:ascii="var(--serif)" w:eastAsia="Times New Roman" w:hAnsi="var(--serif)"/>
          <w:sz w:val="22"/>
          <w:szCs w:val="22"/>
        </w:rPr>
        <w:t xml:space="preserve"> principal. En la capacidad «evaluación de efecto», </w:t>
      </w:r>
      <w:r>
        <w:rPr>
          <w:rStyle w:val="Textoennegrita"/>
          <w:rFonts w:ascii="var(--serif)" w:eastAsia="Times New Roman" w:hAnsi="var(--serif)"/>
          <w:sz w:val="22"/>
          <w:szCs w:val="22"/>
        </w:rPr>
        <w:t>las diez instituciones comparadas quedan en «no localizada»</w:t>
      </w:r>
      <w:r>
        <w:rPr>
          <w:rFonts w:ascii="var(--serif)" w:eastAsia="Times New Roman" w:hAnsi="var(--serif)"/>
          <w:sz w:val="22"/>
          <w:szCs w:val="22"/>
        </w:rPr>
        <w:t>: las rutas se recorrieron y no se encontró ninguna medición del efecto de la IA sobre el aprendizaje jurídico. No es una laguna de la investigac</w:t>
      </w:r>
      <w:r>
        <w:rPr>
          <w:rFonts w:ascii="var(--serif)" w:eastAsia="Times New Roman" w:hAnsi="var(--serif)"/>
          <w:sz w:val="22"/>
          <w:szCs w:val="22"/>
        </w:rPr>
        <w:t>ión: es un hecho sobre el campo.</w:t>
      </w:r>
    </w:p>
    <w:p w:rsidR="00000000" w:rsidRDefault="000501AE">
      <w:pPr>
        <w:shd w:val="clear" w:color="auto" w:fill="FFFFFF"/>
        <w:ind w:left="34"/>
        <w:divId w:val="1247886901"/>
        <w:rPr>
          <w:rFonts w:ascii="var(--sans)" w:eastAsia="Times New Roman" w:hAnsi="var(--sans)"/>
          <w:caps/>
          <w:spacing w:val="24"/>
          <w:sz w:val="17"/>
          <w:szCs w:val="17"/>
        </w:rPr>
      </w:pPr>
      <w:r>
        <w:rPr>
          <w:rFonts w:ascii="var(--sans)" w:eastAsia="Times New Roman" w:hAnsi="var(--sans)"/>
          <w:caps/>
          <w:spacing w:val="24"/>
          <w:sz w:val="17"/>
          <w:szCs w:val="17"/>
        </w:rPr>
        <w:t>Propone</w:t>
      </w:r>
    </w:p>
    <w:p w:rsidR="00000000" w:rsidRDefault="000501AE">
      <w:pPr>
        <w:shd w:val="clear" w:color="auto" w:fill="FFFFFF"/>
        <w:ind w:left="34"/>
        <w:divId w:val="569585373"/>
        <w:rPr>
          <w:rFonts w:ascii="var(--serif)" w:eastAsia="Times New Roman" w:hAnsi="var(--serif)"/>
          <w:sz w:val="22"/>
          <w:szCs w:val="22"/>
        </w:rPr>
      </w:pPr>
      <w:r>
        <w:rPr>
          <w:rFonts w:ascii="var(--serif)" w:eastAsia="Times New Roman" w:hAnsi="var(--serif)"/>
          <w:sz w:val="22"/>
          <w:szCs w:val="22"/>
        </w:rPr>
        <w:t>Ser la primera en producir esa evidencia, con un diseño modesto y publicable, sobre una competencia acotada y con grupo de comparación. No hace falta un ensayo clínico: hace falta un instrumento declarado, una medid</w:t>
      </w:r>
      <w:r>
        <w:rPr>
          <w:rFonts w:ascii="var(--serif)" w:eastAsia="Times New Roman" w:hAnsi="var(--serif)"/>
          <w:sz w:val="22"/>
          <w:szCs w:val="22"/>
        </w:rPr>
        <w:t>a antes y después, y la publicación del resultado aunque sea negativo.</w:t>
      </w:r>
    </w:p>
    <w:p w:rsidR="00000000" w:rsidRDefault="000501AE">
      <w:pPr>
        <w:shd w:val="clear" w:color="auto" w:fill="FFFFFF"/>
        <w:ind w:left="34"/>
        <w:divId w:val="1866553472"/>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0501AE">
      <w:pPr>
        <w:shd w:val="clear" w:color="auto" w:fill="FFFFFF"/>
        <w:ind w:left="34"/>
        <w:divId w:val="1480416588"/>
        <w:rPr>
          <w:rFonts w:ascii="var(--serif)" w:eastAsia="Times New Roman" w:hAnsi="var(--serif)"/>
          <w:sz w:val="22"/>
          <w:szCs w:val="22"/>
        </w:rPr>
      </w:pPr>
      <w:r>
        <w:rPr>
          <w:rFonts w:ascii="var(--serif)" w:eastAsia="Times New Roman" w:hAnsi="var(--serif)"/>
          <w:sz w:val="22"/>
          <w:szCs w:val="22"/>
        </w:rPr>
        <w:t>Un informe con diseño, muestra, instrumento, grupo de comparación y resultado, publicado con sus datos. Es la única celda de la matriz que hoy nadie ocupa.</w:t>
      </w:r>
    </w:p>
    <w:p w:rsidR="00000000" w:rsidRDefault="000501AE">
      <w:pPr>
        <w:shd w:val="clear" w:color="auto" w:fill="FFFFFF"/>
        <w:ind w:left="34"/>
        <w:divId w:val="1085490424"/>
        <w:rPr>
          <w:rFonts w:ascii="var(--sans)" w:eastAsia="Times New Roman" w:hAnsi="var(--sans)"/>
          <w:caps/>
          <w:spacing w:val="24"/>
          <w:sz w:val="17"/>
          <w:szCs w:val="17"/>
        </w:rPr>
      </w:pPr>
      <w:r>
        <w:rPr>
          <w:rFonts w:ascii="var(--sans)" w:eastAsia="Times New Roman" w:hAnsi="var(--sans)"/>
          <w:caps/>
          <w:spacing w:val="24"/>
          <w:sz w:val="17"/>
          <w:szCs w:val="17"/>
        </w:rPr>
        <w:t>Riesgo</w:t>
      </w:r>
    </w:p>
    <w:p w:rsidR="00000000" w:rsidRDefault="000501AE">
      <w:pPr>
        <w:shd w:val="clear" w:color="auto" w:fill="FFFFFF"/>
        <w:spacing w:after="193"/>
        <w:ind w:left="34"/>
        <w:divId w:val="1747141907"/>
        <w:rPr>
          <w:rFonts w:ascii="var(--serif)" w:eastAsia="Times New Roman" w:hAnsi="var(--serif)"/>
          <w:sz w:val="22"/>
          <w:szCs w:val="22"/>
        </w:rPr>
      </w:pPr>
      <w:r>
        <w:rPr>
          <w:rFonts w:ascii="var(--serif)" w:eastAsia="Times New Roman" w:hAnsi="var(--serif)"/>
          <w:sz w:val="22"/>
          <w:szCs w:val="22"/>
        </w:rPr>
        <w:t>Publicar una</w:t>
      </w:r>
      <w:r>
        <w:rPr>
          <w:rFonts w:ascii="var(--serif)" w:eastAsia="Times New Roman" w:hAnsi="var(--serif)"/>
          <w:sz w:val="22"/>
          <w:szCs w:val="22"/>
        </w:rPr>
        <w:t xml:space="preserve"> medición sin grupo de comparación. La única cifra de resultado que el corpus localizó en todo Chile compara a quien usó una herramienta treinta veces con quien no la usó, lo que mide sobre todo la diferencia entre ambos grupos antes de la herramienta. Rep</w:t>
      </w:r>
      <w:r>
        <w:rPr>
          <w:rFonts w:ascii="var(--serif)" w:eastAsia="Times New Roman" w:hAnsi="var(--serif)"/>
          <w:sz w:val="22"/>
          <w:szCs w:val="22"/>
        </w:rPr>
        <w:t>etir ese diseño no cubriría el vacío: lo llenaría de ruido.</w:t>
      </w:r>
    </w:p>
    <w:p w:rsidR="00000000" w:rsidRDefault="000501AE">
      <w:pPr>
        <w:pStyle w:val="limite"/>
        <w:divId w:val="395861632"/>
        <w:rPr>
          <w:rFonts w:ascii="var(--serif)" w:hAnsi="var(--serif)"/>
        </w:rPr>
      </w:pPr>
      <w:r>
        <w:rPr>
          <w:rFonts w:ascii="var(--serif)" w:hAnsi="var(--serif)"/>
          <w:b/>
          <w:bCs/>
          <w:i w:val="0"/>
          <w:iCs w:val="0"/>
        </w:rPr>
        <w:t>Por qué P-2 es la de mayor consecuencia.</w:t>
      </w:r>
      <w:r>
        <w:rPr>
          <w:rFonts w:ascii="var(--serif)" w:hAnsi="var(--serif)"/>
        </w:rPr>
        <w:t xml:space="preserve"> Las otras tres proyecciones mejoran la posición de una institución. Ésta cambia lo que se puede afirmar sobre el campo entero, y es la única que ninguna de</w:t>
      </w:r>
      <w:r>
        <w:rPr>
          <w:rFonts w:ascii="var(--serif)" w:hAnsi="var(--serif)"/>
        </w:rPr>
        <w:t xml:space="preserve"> las diez comparadas está hoy en condiciones de reclamar.</w:t>
      </w:r>
    </w:p>
    <w:p w:rsidR="00000000" w:rsidRDefault="000501AE">
      <w:pPr>
        <w:spacing w:after="340"/>
        <w:divId w:val="79760903"/>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v1.1</w:t>
      </w:r>
    </w:p>
    <w:p w:rsidR="00000000" w:rsidRDefault="000501AE">
      <w:pPr>
        <w:shd w:val="clear" w:color="auto" w:fill="FFFFFF"/>
        <w:spacing w:before="193" w:after="170"/>
        <w:ind w:left="34"/>
        <w:divId w:val="1072971922"/>
        <w:rPr>
          <w:rFonts w:ascii="var(--serif)" w:eastAsia="Times New Roman" w:hAnsi="var(--serif)"/>
          <w:sz w:val="24"/>
          <w:szCs w:val="24"/>
        </w:rPr>
      </w:pPr>
      <w:r>
        <w:rPr>
          <w:rStyle w:val="rec-id1"/>
          <w:rFonts w:eastAsia="Times New Roman"/>
        </w:rPr>
        <w:t>P-3</w:t>
      </w:r>
      <w:r>
        <w:rPr>
          <w:rStyle w:val="rec-t1"/>
          <w:rFonts w:eastAsia="Times New Roman"/>
        </w:rPr>
        <w:t>Gestión de caso y de clientes con IA avanzada, y la metodología para construirla</w:t>
      </w:r>
    </w:p>
    <w:p w:rsidR="00000000" w:rsidRDefault="000501AE">
      <w:pPr>
        <w:shd w:val="clear" w:color="auto" w:fill="FFFFFF"/>
        <w:ind w:left="34"/>
        <w:divId w:val="762065703"/>
        <w:rPr>
          <w:rFonts w:ascii="var(--sans)" w:eastAsia="Times New Roman" w:hAnsi="var(--sans)"/>
          <w:caps/>
          <w:spacing w:val="24"/>
          <w:sz w:val="17"/>
          <w:szCs w:val="17"/>
        </w:rPr>
      </w:pPr>
      <w:r>
        <w:rPr>
          <w:rFonts w:ascii="var(--sans)" w:eastAsia="Times New Roman" w:hAnsi="var(--sans)"/>
          <w:caps/>
          <w:spacing w:val="24"/>
          <w:sz w:val="17"/>
          <w:szCs w:val="17"/>
        </w:rPr>
        <w:t>Parte de</w:t>
      </w:r>
    </w:p>
    <w:p w:rsidR="00000000" w:rsidRDefault="000501AE">
      <w:pPr>
        <w:shd w:val="clear" w:color="auto" w:fill="FFFFFF"/>
        <w:ind w:left="34"/>
        <w:divId w:val="1736008942"/>
        <w:rPr>
          <w:rFonts w:ascii="var(--serif)" w:eastAsia="Times New Roman" w:hAnsi="var(--serif)"/>
          <w:sz w:val="22"/>
          <w:szCs w:val="22"/>
        </w:rPr>
      </w:pPr>
      <w:r>
        <w:rPr>
          <w:rFonts w:ascii="var(--serif)" w:eastAsia="Times New Roman" w:hAnsi="var(--serif)"/>
          <w:sz w:val="22"/>
          <w:szCs w:val="22"/>
        </w:rPr>
        <w:t>Una herramienta propia ya desplegada y una</w:t>
      </w:r>
      <w:r>
        <w:rPr>
          <w:rFonts w:ascii="var(--serif)" w:eastAsia="Times New Roman" w:hAnsi="var(--serif)"/>
          <w:sz w:val="22"/>
          <w:szCs w:val="22"/>
        </w:rPr>
        <w:t xml:space="preserve"> experiencia de aula ya ejecutada. Lo que falta no es capacidad técnica: es un objeto de enseñanza que produzca algo verificable.</w:t>
      </w:r>
    </w:p>
    <w:p w:rsidR="00000000" w:rsidRDefault="000501AE">
      <w:pPr>
        <w:shd w:val="clear" w:color="auto" w:fill="FFFFFF"/>
        <w:ind w:left="34"/>
        <w:divId w:val="539630594"/>
        <w:rPr>
          <w:rFonts w:ascii="var(--sans)" w:eastAsia="Times New Roman" w:hAnsi="var(--sans)"/>
          <w:caps/>
          <w:spacing w:val="24"/>
          <w:sz w:val="17"/>
          <w:szCs w:val="17"/>
        </w:rPr>
      </w:pPr>
      <w:r>
        <w:rPr>
          <w:rFonts w:ascii="var(--sans)" w:eastAsia="Times New Roman" w:hAnsi="var(--sans)"/>
          <w:caps/>
          <w:spacing w:val="24"/>
          <w:sz w:val="17"/>
          <w:szCs w:val="17"/>
        </w:rPr>
        <w:t>Propone</w:t>
      </w:r>
    </w:p>
    <w:p w:rsidR="00000000" w:rsidRDefault="000501AE">
      <w:pPr>
        <w:shd w:val="clear" w:color="auto" w:fill="FFFFFF"/>
        <w:ind w:left="34"/>
        <w:divId w:val="2007246590"/>
        <w:rPr>
          <w:rFonts w:ascii="var(--serif)" w:eastAsia="Times New Roman" w:hAnsi="var(--serif)"/>
          <w:sz w:val="22"/>
          <w:szCs w:val="22"/>
        </w:rPr>
      </w:pPr>
      <w:r>
        <w:rPr>
          <w:rFonts w:ascii="var(--serif)" w:eastAsia="Times New Roman" w:hAnsi="var(--serif)"/>
          <w:sz w:val="22"/>
          <w:szCs w:val="22"/>
        </w:rPr>
        <w:t xml:space="preserve">Enseñar la gestión de un caso y de una cartera de clientes con asistentes de IA avanzados, y enseñar además </w:t>
      </w:r>
      <w:r>
        <w:rPr>
          <w:rStyle w:val="Textoennegrita"/>
          <w:rFonts w:ascii="var(--serif)" w:eastAsia="Times New Roman" w:hAnsi="var(--serif)"/>
          <w:sz w:val="22"/>
          <w:szCs w:val="22"/>
        </w:rPr>
        <w:t>la metodol</w:t>
      </w:r>
      <w:r>
        <w:rPr>
          <w:rStyle w:val="Textoennegrita"/>
          <w:rFonts w:ascii="var(--serif)" w:eastAsia="Times New Roman" w:hAnsi="var(--serif)"/>
          <w:sz w:val="22"/>
          <w:szCs w:val="22"/>
        </w:rPr>
        <w:t>ogía para construir esa gestión</w:t>
      </w:r>
      <w:r>
        <w:rPr>
          <w:rFonts w:ascii="var(--serif)" w:eastAsia="Times New Roman" w:hAnsi="var(--serif)"/>
          <w:sz w:val="22"/>
          <w:szCs w:val="22"/>
        </w:rPr>
        <w:t xml:space="preserve"> en un entorno de trabajo con agentes —lectura de expedientes, extracción de hitos, control de plazos, redacción de minutas, trazabilidad de cada decisión—. El producto del curso no es un ensayo sobre la IA: es un panel de ge</w:t>
      </w:r>
      <w:r>
        <w:rPr>
          <w:rFonts w:ascii="var(--serif)" w:eastAsia="Times New Roman" w:hAnsi="var(--serif)"/>
          <w:sz w:val="22"/>
          <w:szCs w:val="22"/>
        </w:rPr>
        <w:t>stión funcionando.</w:t>
      </w:r>
    </w:p>
    <w:p w:rsidR="00000000" w:rsidRDefault="000501AE">
      <w:pPr>
        <w:shd w:val="clear" w:color="auto" w:fill="FFFFFF"/>
        <w:ind w:left="34"/>
        <w:divId w:val="2000885470"/>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0501AE">
      <w:pPr>
        <w:shd w:val="clear" w:color="auto" w:fill="FFFFFF"/>
        <w:ind w:left="34"/>
        <w:divId w:val="1563904390"/>
        <w:rPr>
          <w:rFonts w:ascii="var(--serif)" w:eastAsia="Times New Roman" w:hAnsi="var(--serif)"/>
          <w:sz w:val="22"/>
          <w:szCs w:val="22"/>
        </w:rPr>
      </w:pPr>
      <w:r>
        <w:rPr>
          <w:rFonts w:ascii="var(--serif)" w:eastAsia="Times New Roman" w:hAnsi="var(--serif)"/>
          <w:sz w:val="22"/>
          <w:szCs w:val="22"/>
        </w:rPr>
        <w:t>Un artefacto entregable por estudiante o por equipo, versionado, con su registro de construcción y su documentación. Un panel que funciona es evaluable por terceros; una exposición sobre paneles no lo es.</w:t>
      </w:r>
    </w:p>
    <w:p w:rsidR="00000000" w:rsidRDefault="000501AE">
      <w:pPr>
        <w:shd w:val="clear" w:color="auto" w:fill="FFFFFF"/>
        <w:ind w:left="34"/>
        <w:divId w:val="794251589"/>
        <w:rPr>
          <w:rFonts w:ascii="var(--sans)" w:eastAsia="Times New Roman" w:hAnsi="var(--sans)"/>
          <w:caps/>
          <w:spacing w:val="24"/>
          <w:sz w:val="17"/>
          <w:szCs w:val="17"/>
        </w:rPr>
      </w:pPr>
      <w:r>
        <w:rPr>
          <w:rFonts w:ascii="var(--sans)" w:eastAsia="Times New Roman" w:hAnsi="var(--sans)"/>
          <w:caps/>
          <w:spacing w:val="24"/>
          <w:sz w:val="17"/>
          <w:szCs w:val="17"/>
        </w:rPr>
        <w:t>Riesgo</w:t>
      </w:r>
    </w:p>
    <w:p w:rsidR="00000000" w:rsidRDefault="000501AE">
      <w:pPr>
        <w:shd w:val="clear" w:color="auto" w:fill="FFFFFF"/>
        <w:spacing w:after="193"/>
        <w:ind w:left="34"/>
        <w:divId w:val="1649824131"/>
        <w:rPr>
          <w:rFonts w:ascii="var(--serif)" w:eastAsia="Times New Roman" w:hAnsi="var(--serif)"/>
          <w:sz w:val="22"/>
          <w:szCs w:val="22"/>
        </w:rPr>
      </w:pPr>
      <w:r>
        <w:rPr>
          <w:rFonts w:ascii="var(--serif)" w:eastAsia="Times New Roman" w:hAnsi="var(--serif)"/>
          <w:sz w:val="22"/>
          <w:szCs w:val="22"/>
        </w:rPr>
        <w:t>Que el curso de</w:t>
      </w:r>
      <w:r>
        <w:rPr>
          <w:rFonts w:ascii="var(--serif)" w:eastAsia="Times New Roman" w:hAnsi="var(--serif)"/>
          <w:sz w:val="22"/>
          <w:szCs w:val="22"/>
        </w:rPr>
        <w:t>rive en una demostración de herramientas y envejezca con ellas. Lo que debe quedar es el criterio jurídico sobre qué se delega, qué se verifica y qué no se delega nunca; la herramienta concreta es el vehículo, no el contenido.</w:t>
      </w:r>
    </w:p>
    <w:p w:rsidR="00000000" w:rsidRDefault="000501AE">
      <w:pPr>
        <w:shd w:val="clear" w:color="auto" w:fill="FFFFFF"/>
        <w:spacing w:before="193" w:after="170"/>
        <w:ind w:left="34"/>
        <w:divId w:val="2146585973"/>
        <w:rPr>
          <w:rFonts w:ascii="var(--serif)" w:eastAsia="Times New Roman" w:hAnsi="var(--serif)"/>
          <w:sz w:val="24"/>
          <w:szCs w:val="24"/>
        </w:rPr>
      </w:pPr>
      <w:r>
        <w:rPr>
          <w:rStyle w:val="rec-id1"/>
          <w:rFonts w:eastAsia="Times New Roman"/>
        </w:rPr>
        <w:t>P-4</w:t>
      </w:r>
      <w:r>
        <w:rPr>
          <w:rStyle w:val="rec-t1"/>
          <w:rFonts w:eastAsia="Times New Roman"/>
        </w:rPr>
        <w:t>Cerrar en protección de da</w:t>
      </w:r>
      <w:r>
        <w:rPr>
          <w:rStyle w:val="rec-t1"/>
          <w:rFonts w:eastAsia="Times New Roman"/>
        </w:rPr>
        <w:t>tos personales, con la ley que entra en vigor ahora</w:t>
      </w:r>
    </w:p>
    <w:p w:rsidR="00000000" w:rsidRDefault="000501AE">
      <w:pPr>
        <w:shd w:val="clear" w:color="auto" w:fill="FFFFFF"/>
        <w:ind w:left="34"/>
        <w:divId w:val="852298989"/>
        <w:rPr>
          <w:rFonts w:ascii="var(--sans)" w:eastAsia="Times New Roman" w:hAnsi="var(--sans)"/>
          <w:caps/>
          <w:spacing w:val="24"/>
          <w:sz w:val="17"/>
          <w:szCs w:val="17"/>
        </w:rPr>
      </w:pPr>
      <w:r>
        <w:rPr>
          <w:rFonts w:ascii="var(--sans)" w:eastAsia="Times New Roman" w:hAnsi="var(--sans)"/>
          <w:caps/>
          <w:spacing w:val="24"/>
          <w:sz w:val="17"/>
          <w:szCs w:val="17"/>
        </w:rPr>
        <w:t>Parte de</w:t>
      </w:r>
    </w:p>
    <w:p w:rsidR="00000000" w:rsidRDefault="000501AE">
      <w:pPr>
        <w:shd w:val="clear" w:color="auto" w:fill="FFFFFF"/>
        <w:ind w:left="34"/>
        <w:divId w:val="1986619657"/>
        <w:rPr>
          <w:rFonts w:ascii="var(--serif)" w:eastAsia="Times New Roman" w:hAnsi="var(--serif)"/>
          <w:sz w:val="22"/>
          <w:szCs w:val="22"/>
        </w:rPr>
      </w:pPr>
      <w:r>
        <w:rPr>
          <w:rFonts w:ascii="var(--serif)" w:eastAsia="Times New Roman" w:hAnsi="var(--serif)"/>
          <w:sz w:val="22"/>
          <w:szCs w:val="22"/>
        </w:rPr>
        <w:t xml:space="preserve">La Ley 21.719, publicada el 13 de diciembre de 2024, que regula la protección y el tratamiento de los datos personales y crea la Agencia de Protección de Datos Personales, </w:t>
      </w:r>
      <w:r>
        <w:rPr>
          <w:rStyle w:val="Textoennegrita"/>
          <w:rFonts w:ascii="var(--serif)" w:eastAsia="Times New Roman" w:hAnsi="var(--serif)"/>
          <w:sz w:val="22"/>
          <w:szCs w:val="22"/>
        </w:rPr>
        <w:t>entra en vigor en dicie</w:t>
      </w:r>
      <w:r>
        <w:rPr>
          <w:rStyle w:val="Textoennegrita"/>
          <w:rFonts w:ascii="var(--serif)" w:eastAsia="Times New Roman" w:hAnsi="var(--serif)"/>
          <w:sz w:val="22"/>
          <w:szCs w:val="22"/>
        </w:rPr>
        <w:t>mbre de 2026</w:t>
      </w:r>
      <w:r>
        <w:rPr>
          <w:rFonts w:ascii="var(--serif)" w:eastAsia="Times New Roman" w:hAnsi="var(--serif)"/>
          <w:sz w:val="22"/>
          <w:szCs w:val="22"/>
        </w:rPr>
        <w:t>. Su régimen amplía los derechos de acceso, rectificación, cancelación y oposición con portabilidad y bloqueo, e instala un deber de responsabilidad proactiva sobre quien trata los datos.</w:t>
      </w:r>
    </w:p>
    <w:p w:rsidR="00000000" w:rsidRDefault="000501AE">
      <w:pPr>
        <w:shd w:val="clear" w:color="auto" w:fill="FFFFFF"/>
        <w:ind w:left="34"/>
        <w:divId w:val="529607882"/>
        <w:rPr>
          <w:rFonts w:ascii="var(--sans)" w:eastAsia="Times New Roman" w:hAnsi="var(--sans)"/>
          <w:caps/>
          <w:spacing w:val="24"/>
          <w:sz w:val="17"/>
          <w:szCs w:val="17"/>
        </w:rPr>
      </w:pPr>
      <w:r>
        <w:rPr>
          <w:rFonts w:ascii="var(--sans)" w:eastAsia="Times New Roman" w:hAnsi="var(--sans)"/>
          <w:caps/>
          <w:spacing w:val="24"/>
          <w:sz w:val="17"/>
          <w:szCs w:val="17"/>
        </w:rPr>
        <w:t>Propone</w:t>
      </w:r>
    </w:p>
    <w:p w:rsidR="00000000" w:rsidRDefault="000501AE">
      <w:pPr>
        <w:shd w:val="clear" w:color="auto" w:fill="FFFFFF"/>
        <w:ind w:left="34"/>
        <w:divId w:val="1450197058"/>
        <w:rPr>
          <w:rFonts w:ascii="var(--serif)" w:eastAsia="Times New Roman" w:hAnsi="var(--serif)"/>
          <w:sz w:val="22"/>
          <w:szCs w:val="22"/>
        </w:rPr>
      </w:pPr>
      <w:r>
        <w:rPr>
          <w:rFonts w:ascii="var(--serif)" w:eastAsia="Times New Roman" w:hAnsi="var(--serif)"/>
          <w:sz w:val="22"/>
          <w:szCs w:val="22"/>
        </w:rPr>
        <w:t>Que el arco del curso termine donde termina el p</w:t>
      </w:r>
      <w:r>
        <w:rPr>
          <w:rFonts w:ascii="var(--serif)" w:eastAsia="Times New Roman" w:hAnsi="var(--serif)"/>
          <w:sz w:val="22"/>
          <w:szCs w:val="22"/>
        </w:rPr>
        <w:t>roblema real: un panel de gestión jurídica trata datos personales de terceros, muchas veces sensibles, y a menudo los envía a un proveedor externo. El cierre no es un módulo teórico sino el examen del propio artefacto construido en P-3 contra el estándar d</w:t>
      </w:r>
      <w:r>
        <w:rPr>
          <w:rFonts w:ascii="var(--serif)" w:eastAsia="Times New Roman" w:hAnsi="var(--serif)"/>
          <w:sz w:val="22"/>
          <w:szCs w:val="22"/>
        </w:rPr>
        <w:t>e la ley: base de licitud, finalidad, minimización, encargado de tratamiento, transferencia internacional y medidas de seguridad.</w:t>
      </w:r>
    </w:p>
    <w:p w:rsidR="00000000" w:rsidRDefault="000501AE">
      <w:pPr>
        <w:shd w:val="clear" w:color="auto" w:fill="FFFFFF"/>
        <w:ind w:left="34"/>
        <w:divId w:val="1310015801"/>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0501AE">
      <w:pPr>
        <w:shd w:val="clear" w:color="auto" w:fill="FFFFFF"/>
        <w:ind w:left="34"/>
        <w:divId w:val="1256943640"/>
        <w:rPr>
          <w:rFonts w:ascii="var(--serif)" w:eastAsia="Times New Roman" w:hAnsi="var(--serif)"/>
          <w:sz w:val="22"/>
          <w:szCs w:val="22"/>
        </w:rPr>
      </w:pPr>
      <w:r>
        <w:rPr>
          <w:rFonts w:ascii="var(--serif)" w:eastAsia="Times New Roman" w:hAnsi="var(--serif)"/>
          <w:sz w:val="22"/>
          <w:szCs w:val="22"/>
        </w:rPr>
        <w:t>Cada artefacto entregado acompañado de su evaluación de cumplimiento, con las decisiones de diseño que la ley obligó a cambiar. Eso es a la vez producto formativo y evidencia de aprendizaje.</w:t>
      </w:r>
    </w:p>
    <w:p w:rsidR="00000000" w:rsidRDefault="000501AE">
      <w:pPr>
        <w:shd w:val="clear" w:color="auto" w:fill="FFFFFF"/>
        <w:ind w:left="34"/>
        <w:divId w:val="2043164281"/>
        <w:rPr>
          <w:rFonts w:ascii="var(--sans)" w:eastAsia="Times New Roman" w:hAnsi="var(--sans)"/>
          <w:caps/>
          <w:spacing w:val="24"/>
          <w:sz w:val="17"/>
          <w:szCs w:val="17"/>
        </w:rPr>
      </w:pPr>
      <w:r>
        <w:rPr>
          <w:rFonts w:ascii="var(--sans)" w:eastAsia="Times New Roman" w:hAnsi="var(--sans)"/>
          <w:caps/>
          <w:spacing w:val="24"/>
          <w:sz w:val="17"/>
          <w:szCs w:val="17"/>
        </w:rPr>
        <w:t>Riesgo</w:t>
      </w:r>
    </w:p>
    <w:p w:rsidR="00000000" w:rsidRDefault="000501AE">
      <w:pPr>
        <w:shd w:val="clear" w:color="auto" w:fill="FFFFFF"/>
        <w:spacing w:after="193"/>
        <w:ind w:left="34"/>
        <w:divId w:val="1250429029"/>
        <w:rPr>
          <w:rFonts w:ascii="var(--serif)" w:eastAsia="Times New Roman" w:hAnsi="var(--serif)"/>
          <w:sz w:val="22"/>
          <w:szCs w:val="22"/>
        </w:rPr>
      </w:pPr>
      <w:r>
        <w:rPr>
          <w:rFonts w:ascii="var(--serif)" w:eastAsia="Times New Roman" w:hAnsi="var(--serif)"/>
          <w:sz w:val="22"/>
          <w:szCs w:val="22"/>
        </w:rPr>
        <w:t>Enseñar la ley en abstracto. El valor está en que el estud</w:t>
      </w:r>
      <w:r>
        <w:rPr>
          <w:rFonts w:ascii="var(--serif)" w:eastAsia="Times New Roman" w:hAnsi="var(--serif)"/>
          <w:sz w:val="22"/>
          <w:szCs w:val="22"/>
        </w:rPr>
        <w:t>iante descubra que su propio prototipo no cumple, y tenga que rehacerlo. Sin ese choque, el módulo es un anexo.</w:t>
      </w:r>
    </w:p>
    <w:p w:rsidR="00000000" w:rsidRDefault="000501AE">
      <w:pPr>
        <w:pStyle w:val="Ttulo5"/>
        <w:divId w:val="634257628"/>
        <w:rPr>
          <w:rFonts w:eastAsia="Times New Roman"/>
        </w:rPr>
      </w:pPr>
      <w:r>
        <w:rPr>
          <w:rFonts w:eastAsia="Times New Roman"/>
        </w:rPr>
        <w:t>Por qué las cuatro forman una sola cosa</w:t>
      </w:r>
    </w:p>
    <w:p w:rsidR="00000000" w:rsidRDefault="000501AE">
      <w:pPr>
        <w:pStyle w:val="NormalWeb"/>
        <w:spacing w:after="193"/>
        <w:divId w:val="634257628"/>
        <w:rPr>
          <w:rFonts w:ascii="var(--serif)" w:hAnsi="var(--serif)"/>
          <w:sz w:val="24"/>
          <w:szCs w:val="24"/>
        </w:rPr>
      </w:pPr>
      <w:r>
        <w:rPr>
          <w:rFonts w:ascii="var(--serif)" w:hAnsi="var(--serif)"/>
          <w:sz w:val="24"/>
          <w:szCs w:val="24"/>
        </w:rPr>
        <w:t>P-3 construye el objeto, P-4 lo somete a la norma que rige desde diciembre de 2026, P-2 mide si enseñarl</w:t>
      </w:r>
      <w:r>
        <w:rPr>
          <w:rFonts w:ascii="var(--serif)" w:hAnsi="var(--serif)"/>
          <w:sz w:val="24"/>
          <w:szCs w:val="24"/>
        </w:rPr>
        <w:t xml:space="preserve">o así produjo aprendizaje, y P-1 abre el canal por el que eso puede ofrecerse fuera. Separadas son cuatro iniciativas más. Juntas son </w:t>
      </w:r>
      <w:r>
        <w:rPr>
          <w:rStyle w:val="Textoennegrita"/>
          <w:rFonts w:ascii="var(--serif)" w:hAnsi="var(--serif)"/>
          <w:sz w:val="24"/>
          <w:szCs w:val="24"/>
        </w:rPr>
        <w:t>un curso que genera su propia evidencia</w:t>
      </w:r>
      <w:r>
        <w:rPr>
          <w:rFonts w:ascii="var(--serif)" w:hAnsi="var(--serif)"/>
          <w:sz w:val="24"/>
          <w:szCs w:val="24"/>
        </w:rPr>
        <w:t>, que es exactamente lo que el corpus no encontró en ninguna de las diez institucio</w:t>
      </w:r>
      <w:r>
        <w:rPr>
          <w:rFonts w:ascii="var(--serif)" w:hAnsi="var(--serif)"/>
          <w:sz w:val="24"/>
          <w:szCs w:val="24"/>
        </w:rPr>
        <w:t>nes comparadas.</w:t>
      </w:r>
    </w:p>
    <w:p w:rsidR="00000000" w:rsidRDefault="000501AE">
      <w:pPr>
        <w:spacing w:after="340"/>
        <w:divId w:val="1352101307"/>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v1.1</w:t>
      </w:r>
    </w:p>
    <w:p w:rsidR="00000000" w:rsidRDefault="000501AE">
      <w:pPr>
        <w:pStyle w:val="eyebrow"/>
        <w:divId w:val="1747730245"/>
      </w:pPr>
      <w:r>
        <w:t>El instrumento</w:t>
      </w:r>
    </w:p>
    <w:p w:rsidR="00000000" w:rsidRDefault="000501AE">
      <w:pPr>
        <w:pStyle w:val="Ttulo2"/>
        <w:divId w:val="1747730245"/>
        <w:rPr>
          <w:rFonts w:eastAsia="Times New Roman"/>
        </w:rPr>
      </w:pPr>
      <w:r>
        <w:rPr>
          <w:rFonts w:eastAsia="Times New Roman"/>
        </w:rPr>
        <w:t>6 · Un optativo cuyo proyecto final es la medición</w:t>
      </w:r>
    </w:p>
    <w:p w:rsidR="00000000" w:rsidRDefault="000501AE">
      <w:pPr>
        <w:pStyle w:val="lead"/>
        <w:divId w:val="1747730245"/>
        <w:rPr>
          <w:rFonts w:ascii="var(--serif)" w:hAnsi="var(--serif)"/>
        </w:rPr>
      </w:pPr>
      <w:r>
        <w:rPr>
          <w:rFonts w:ascii="var(--serif)" w:hAnsi="var(--serif)"/>
        </w:rPr>
        <w:t xml:space="preserve">La forma concreta que toman las cuatro proyecciones es una asignatura optativa de pregrado, con proyecto final </w:t>
      </w:r>
      <w:r>
        <w:rPr>
          <w:rFonts w:ascii="var(--serif)" w:hAnsi="var(--serif)"/>
        </w:rPr>
        <w:t>entregable, diseñada desde el principio para producir datos de aprendizaje utilizables. No se le añade una evaluación al final: la evaluación es su arquitectura.</w:t>
      </w:r>
    </w:p>
    <w:p w:rsidR="00000000" w:rsidRDefault="000501AE">
      <w:pPr>
        <w:pStyle w:val="Ttulo3"/>
        <w:divId w:val="1747730245"/>
        <w:rPr>
          <w:rFonts w:eastAsia="Times New Roman"/>
        </w:rPr>
      </w:pPr>
      <w:r>
        <w:rPr>
          <w:rFonts w:eastAsia="Times New Roman"/>
        </w:rPr>
        <w:t>El arco</w:t>
      </w:r>
    </w:p>
    <w:tbl>
      <w:tblPr>
        <w:tblW w:w="5000" w:type="pct"/>
        <w:tblCellMar>
          <w:top w:w="15" w:type="dxa"/>
          <w:left w:w="15" w:type="dxa"/>
          <w:bottom w:w="15" w:type="dxa"/>
          <w:right w:w="15" w:type="dxa"/>
        </w:tblCellMar>
        <w:tblLook w:val="04A0"/>
      </w:tblPr>
      <w:tblGrid>
        <w:gridCol w:w="760"/>
        <w:gridCol w:w="2495"/>
        <w:gridCol w:w="5362"/>
      </w:tblGrid>
      <w:tr w:rsidR="00000000">
        <w:trPr>
          <w:divId w:val="1747730245"/>
          <w:tblHeader/>
        </w:trPr>
        <w:tc>
          <w:tcPr>
            <w:tcW w:w="680" w:type="dxa"/>
            <w:tcMar>
              <w:top w:w="0" w:type="dxa"/>
              <w:left w:w="0" w:type="dxa"/>
              <w:bottom w:w="102" w:type="dxa"/>
              <w:right w:w="113" w:type="dxa"/>
            </w:tcMar>
            <w:vAlign w:val="bottom"/>
            <w:hideMark/>
          </w:tcPr>
          <w:p w:rsidR="00000000" w:rsidRDefault="000501AE">
            <w:pPr>
              <w:spacing w:before="170" w:after="193"/>
              <w:jc w:val="right"/>
              <w:rPr>
                <w:rFonts w:ascii="var(--sans)" w:eastAsia="Times New Roman" w:hAnsi="var(--sans)"/>
                <w:b/>
                <w:bCs/>
                <w:caps/>
                <w:spacing w:val="22"/>
                <w:sz w:val="17"/>
                <w:szCs w:val="17"/>
              </w:rPr>
            </w:pPr>
            <w:r>
              <w:rPr>
                <w:rFonts w:ascii="var(--sans)" w:eastAsia="Times New Roman" w:hAnsi="var(--sans)"/>
                <w:b/>
                <w:bCs/>
                <w:caps/>
                <w:spacing w:val="22"/>
                <w:sz w:val="17"/>
                <w:szCs w:val="17"/>
              </w:rPr>
              <w:t>Tramo</w:t>
            </w:r>
          </w:p>
        </w:tc>
        <w:tc>
          <w:tcPr>
            <w:tcW w:w="2495" w:type="dxa"/>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se hace</w:t>
            </w:r>
          </w:p>
        </w:tc>
        <w:tc>
          <w:tcPr>
            <w:tcW w:w="0" w:type="auto"/>
            <w:tcMar>
              <w:top w:w="0" w:type="dxa"/>
              <w:left w:w="0" w:type="dxa"/>
              <w:bottom w:w="102" w:type="dxa"/>
              <w:right w:w="113" w:type="dxa"/>
            </w:tcMar>
            <w:vAlign w:val="bottom"/>
            <w:hideMark/>
          </w:tcPr>
          <w:p w:rsidR="00000000" w:rsidRDefault="000501AE">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queda registrado</w:t>
            </w:r>
          </w:p>
        </w:tc>
      </w:tr>
      <w:tr w:rsidR="00000000">
        <w:trPr>
          <w:divId w:val="1747730245"/>
        </w:trPr>
        <w:tc>
          <w:tcPr>
            <w:tcW w:w="0" w:type="auto"/>
            <w:tcMar>
              <w:top w:w="108" w:type="dxa"/>
              <w:left w:w="0" w:type="dxa"/>
              <w:bottom w:w="108" w:type="dxa"/>
              <w:right w:w="113" w:type="dxa"/>
            </w:tcMar>
            <w:hideMark/>
          </w:tcPr>
          <w:p w:rsidR="00000000" w:rsidRDefault="000501AE">
            <w:pPr>
              <w:spacing w:before="170" w:after="193"/>
              <w:jc w:val="right"/>
              <w:rPr>
                <w:rFonts w:ascii="var(--sans)" w:eastAsia="Times New Roman" w:hAnsi="var(--sans)"/>
                <w:sz w:val="20"/>
                <w:szCs w:val="20"/>
              </w:rPr>
            </w:pPr>
            <w:r>
              <w:rPr>
                <w:rFonts w:ascii="var(--sans)" w:eastAsia="Times New Roman" w:hAnsi="var(--sans)"/>
                <w:sz w:val="20"/>
                <w:szCs w:val="20"/>
              </w:rPr>
              <w:t>1</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20"/>
                <w:szCs w:val="20"/>
              </w:rPr>
            </w:pPr>
            <w:r>
              <w:rPr>
                <w:rFonts w:ascii="var(--sans)" w:eastAsia="Times New Roman" w:hAnsi="var(--sans)"/>
                <w:b/>
                <w:bCs/>
                <w:sz w:val="20"/>
                <w:szCs w:val="20"/>
              </w:rPr>
              <w:t>Línea base</w:t>
            </w:r>
          </w:p>
        </w:tc>
        <w:tc>
          <w:tcPr>
            <w:tcW w:w="0" w:type="auto"/>
            <w:tcMar>
              <w:top w:w="108" w:type="dxa"/>
              <w:left w:w="0" w:type="dxa"/>
              <w:bottom w:w="108" w:type="dxa"/>
              <w:right w:w="113" w:type="dxa"/>
            </w:tcMar>
            <w:hideMark/>
          </w:tcPr>
          <w:p w:rsidR="00000000" w:rsidRDefault="000501AE">
            <w:pPr>
              <w:spacing w:before="170" w:after="193"/>
              <w:rPr>
                <w:rFonts w:ascii="var(--sans)" w:eastAsia="Times New Roman" w:hAnsi="var(--sans)"/>
                <w:sz w:val="20"/>
                <w:szCs w:val="20"/>
              </w:rPr>
            </w:pPr>
            <w:r>
              <w:rPr>
                <w:rFonts w:ascii="var(--sans)" w:eastAsia="Times New Roman" w:hAnsi="var(--sans)"/>
                <w:sz w:val="20"/>
                <w:szCs w:val="20"/>
              </w:rPr>
              <w:t>La misma tarea jurídica que se repetirá al final, resuelta sin asistencia. Es el punto de comparación de cada estudiante consigo mismo.</w:t>
            </w:r>
          </w:p>
        </w:tc>
      </w:tr>
      <w:tr w:rsidR="00000000">
        <w:trPr>
          <w:divId w:val="1747730245"/>
        </w:trPr>
        <w:tc>
          <w:tcPr>
            <w:tcW w:w="0" w:type="auto"/>
            <w:tcMar>
              <w:top w:w="108" w:type="dxa"/>
              <w:left w:w="0" w:type="dxa"/>
              <w:bottom w:w="108" w:type="dxa"/>
              <w:right w:w="113" w:type="dxa"/>
            </w:tcMar>
            <w:hideMark/>
          </w:tcPr>
          <w:p w:rsidR="00000000" w:rsidRDefault="000501AE">
            <w:pPr>
              <w:spacing w:before="170" w:after="193"/>
              <w:jc w:val="right"/>
              <w:rPr>
                <w:rFonts w:ascii="var(--sans)" w:eastAsia="Times New Roman" w:hAnsi="var(--sans)"/>
                <w:sz w:val="20"/>
                <w:szCs w:val="20"/>
              </w:rPr>
            </w:pPr>
            <w:r>
              <w:rPr>
                <w:rFonts w:ascii="var(--sans)" w:eastAsia="Times New Roman" w:hAnsi="var(--sans)"/>
                <w:sz w:val="20"/>
                <w:szCs w:val="20"/>
              </w:rPr>
              <w:t>2</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20"/>
                <w:szCs w:val="20"/>
              </w:rPr>
            </w:pPr>
            <w:r>
              <w:rPr>
                <w:rFonts w:ascii="var(--sans)" w:eastAsia="Times New Roman" w:hAnsi="var(--sans)"/>
                <w:b/>
                <w:bCs/>
                <w:sz w:val="20"/>
                <w:szCs w:val="20"/>
              </w:rPr>
              <w:t>Caso y clientes</w:t>
            </w:r>
          </w:p>
        </w:tc>
        <w:tc>
          <w:tcPr>
            <w:tcW w:w="0" w:type="auto"/>
            <w:tcMar>
              <w:top w:w="108" w:type="dxa"/>
              <w:left w:w="0" w:type="dxa"/>
              <w:bottom w:w="108" w:type="dxa"/>
              <w:right w:w="113" w:type="dxa"/>
            </w:tcMar>
            <w:hideMark/>
          </w:tcPr>
          <w:p w:rsidR="00000000" w:rsidRDefault="000501AE">
            <w:pPr>
              <w:spacing w:before="170" w:after="193"/>
              <w:rPr>
                <w:rFonts w:ascii="var(--sans)" w:eastAsia="Times New Roman" w:hAnsi="var(--sans)"/>
                <w:sz w:val="20"/>
                <w:szCs w:val="20"/>
              </w:rPr>
            </w:pPr>
            <w:r>
              <w:rPr>
                <w:rFonts w:ascii="var(--sans)" w:eastAsia="Times New Roman" w:hAnsi="var(--sans)"/>
                <w:sz w:val="20"/>
                <w:szCs w:val="20"/>
              </w:rPr>
              <w:t>Gestión de un expediente y de una cartera con asistentes avanzados: hitos, plazos, minutas. Registro de qué se delegó y qué se verificó.</w:t>
            </w:r>
          </w:p>
        </w:tc>
      </w:tr>
      <w:tr w:rsidR="00000000">
        <w:trPr>
          <w:divId w:val="1747730245"/>
        </w:trPr>
        <w:tc>
          <w:tcPr>
            <w:tcW w:w="0" w:type="auto"/>
            <w:tcMar>
              <w:top w:w="108" w:type="dxa"/>
              <w:left w:w="0" w:type="dxa"/>
              <w:bottom w:w="108" w:type="dxa"/>
              <w:right w:w="113" w:type="dxa"/>
            </w:tcMar>
            <w:hideMark/>
          </w:tcPr>
          <w:p w:rsidR="00000000" w:rsidRDefault="000501AE">
            <w:pPr>
              <w:spacing w:before="170" w:after="193"/>
              <w:jc w:val="right"/>
              <w:rPr>
                <w:rFonts w:ascii="var(--sans)" w:eastAsia="Times New Roman" w:hAnsi="var(--sans)"/>
                <w:sz w:val="20"/>
                <w:szCs w:val="20"/>
              </w:rPr>
            </w:pPr>
            <w:r>
              <w:rPr>
                <w:rFonts w:ascii="var(--sans)" w:eastAsia="Times New Roman" w:hAnsi="var(--sans)"/>
                <w:sz w:val="20"/>
                <w:szCs w:val="20"/>
              </w:rPr>
              <w:t>3</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20"/>
                <w:szCs w:val="20"/>
              </w:rPr>
            </w:pPr>
            <w:r>
              <w:rPr>
                <w:rFonts w:ascii="var(--sans)" w:eastAsia="Times New Roman" w:hAnsi="var(--sans)"/>
                <w:b/>
                <w:bCs/>
                <w:sz w:val="20"/>
                <w:szCs w:val="20"/>
              </w:rPr>
              <w:t>Metodología</w:t>
            </w:r>
          </w:p>
        </w:tc>
        <w:tc>
          <w:tcPr>
            <w:tcW w:w="0" w:type="auto"/>
            <w:tcMar>
              <w:top w:w="108" w:type="dxa"/>
              <w:left w:w="0" w:type="dxa"/>
              <w:bottom w:w="108" w:type="dxa"/>
              <w:right w:w="113" w:type="dxa"/>
            </w:tcMar>
            <w:hideMark/>
          </w:tcPr>
          <w:p w:rsidR="00000000" w:rsidRDefault="000501AE">
            <w:pPr>
              <w:spacing w:before="170" w:after="193"/>
              <w:rPr>
                <w:rFonts w:ascii="var(--sans)" w:eastAsia="Times New Roman" w:hAnsi="var(--sans)"/>
                <w:sz w:val="20"/>
                <w:szCs w:val="20"/>
              </w:rPr>
            </w:pPr>
            <w:r>
              <w:rPr>
                <w:rFonts w:ascii="var(--sans)" w:eastAsia="Times New Roman" w:hAnsi="var(--sans)"/>
                <w:sz w:val="20"/>
                <w:szCs w:val="20"/>
              </w:rPr>
              <w:t>Construcción del flujo de trabajo en un entorno de agentes. Quedan versiones, decisiones y errores</w:t>
            </w:r>
            <w:r>
              <w:rPr>
                <w:rFonts w:ascii="var(--sans)" w:eastAsia="Times New Roman" w:hAnsi="var(--sans)"/>
                <w:sz w:val="20"/>
                <w:szCs w:val="20"/>
              </w:rPr>
              <w:t>, no sólo el resultado.</w:t>
            </w:r>
          </w:p>
        </w:tc>
      </w:tr>
      <w:tr w:rsidR="00000000">
        <w:trPr>
          <w:divId w:val="1747730245"/>
        </w:trPr>
        <w:tc>
          <w:tcPr>
            <w:tcW w:w="0" w:type="auto"/>
            <w:tcMar>
              <w:top w:w="108" w:type="dxa"/>
              <w:left w:w="0" w:type="dxa"/>
              <w:bottom w:w="108" w:type="dxa"/>
              <w:right w:w="113" w:type="dxa"/>
            </w:tcMar>
            <w:hideMark/>
          </w:tcPr>
          <w:p w:rsidR="00000000" w:rsidRDefault="000501AE">
            <w:pPr>
              <w:spacing w:before="170" w:after="193"/>
              <w:jc w:val="right"/>
              <w:rPr>
                <w:rFonts w:ascii="var(--sans)" w:eastAsia="Times New Roman" w:hAnsi="var(--sans)"/>
                <w:sz w:val="20"/>
                <w:szCs w:val="20"/>
              </w:rPr>
            </w:pPr>
            <w:r>
              <w:rPr>
                <w:rFonts w:ascii="var(--sans)" w:eastAsia="Times New Roman" w:hAnsi="var(--sans)"/>
                <w:sz w:val="20"/>
                <w:szCs w:val="20"/>
              </w:rPr>
              <w:t>4</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20"/>
                <w:szCs w:val="20"/>
              </w:rPr>
            </w:pPr>
            <w:r>
              <w:rPr>
                <w:rFonts w:ascii="var(--sans)" w:eastAsia="Times New Roman" w:hAnsi="var(--sans)"/>
                <w:b/>
                <w:bCs/>
                <w:sz w:val="20"/>
                <w:szCs w:val="20"/>
              </w:rPr>
              <w:t>El panel</w:t>
            </w:r>
          </w:p>
        </w:tc>
        <w:tc>
          <w:tcPr>
            <w:tcW w:w="0" w:type="auto"/>
            <w:tcMar>
              <w:top w:w="108" w:type="dxa"/>
              <w:left w:w="0" w:type="dxa"/>
              <w:bottom w:w="108" w:type="dxa"/>
              <w:right w:w="113" w:type="dxa"/>
            </w:tcMar>
            <w:hideMark/>
          </w:tcPr>
          <w:p w:rsidR="00000000" w:rsidRDefault="000501AE">
            <w:pPr>
              <w:spacing w:before="170" w:after="193"/>
              <w:rPr>
                <w:rFonts w:ascii="var(--sans)" w:eastAsia="Times New Roman" w:hAnsi="var(--sans)"/>
                <w:sz w:val="20"/>
                <w:szCs w:val="20"/>
              </w:rPr>
            </w:pPr>
            <w:r>
              <w:rPr>
                <w:rFonts w:ascii="var(--sans)" w:eastAsia="Times New Roman" w:hAnsi="var(--sans)"/>
                <w:sz w:val="20"/>
                <w:szCs w:val="20"/>
              </w:rPr>
              <w:t>El artefacto de gestión, funcionando y documentado. Es el proyecto final.</w:t>
            </w:r>
          </w:p>
        </w:tc>
      </w:tr>
      <w:tr w:rsidR="00000000">
        <w:trPr>
          <w:divId w:val="1747730245"/>
        </w:trPr>
        <w:tc>
          <w:tcPr>
            <w:tcW w:w="0" w:type="auto"/>
            <w:tcMar>
              <w:top w:w="108" w:type="dxa"/>
              <w:left w:w="0" w:type="dxa"/>
              <w:bottom w:w="108" w:type="dxa"/>
              <w:right w:w="113" w:type="dxa"/>
            </w:tcMar>
            <w:hideMark/>
          </w:tcPr>
          <w:p w:rsidR="00000000" w:rsidRDefault="000501AE">
            <w:pPr>
              <w:spacing w:before="170" w:after="193"/>
              <w:jc w:val="right"/>
              <w:rPr>
                <w:rFonts w:ascii="var(--sans)" w:eastAsia="Times New Roman" w:hAnsi="var(--sans)"/>
                <w:sz w:val="20"/>
                <w:szCs w:val="20"/>
              </w:rPr>
            </w:pPr>
            <w:r>
              <w:rPr>
                <w:rFonts w:ascii="var(--sans)" w:eastAsia="Times New Roman" w:hAnsi="var(--sans)"/>
                <w:sz w:val="20"/>
                <w:szCs w:val="20"/>
              </w:rPr>
              <w:t>5</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20"/>
                <w:szCs w:val="20"/>
              </w:rPr>
            </w:pPr>
            <w:r>
              <w:rPr>
                <w:rFonts w:ascii="var(--sans)" w:eastAsia="Times New Roman" w:hAnsi="var(--sans)"/>
                <w:b/>
                <w:bCs/>
                <w:sz w:val="20"/>
                <w:szCs w:val="20"/>
              </w:rPr>
              <w:t>Protección de datos</w:t>
            </w:r>
          </w:p>
        </w:tc>
        <w:tc>
          <w:tcPr>
            <w:tcW w:w="0" w:type="auto"/>
            <w:tcMar>
              <w:top w:w="108" w:type="dxa"/>
              <w:left w:w="0" w:type="dxa"/>
              <w:bottom w:w="108" w:type="dxa"/>
              <w:right w:w="113" w:type="dxa"/>
            </w:tcMar>
            <w:hideMark/>
          </w:tcPr>
          <w:p w:rsidR="00000000" w:rsidRDefault="000501AE">
            <w:pPr>
              <w:spacing w:before="170" w:after="193"/>
              <w:rPr>
                <w:rFonts w:ascii="var(--sans)" w:eastAsia="Times New Roman" w:hAnsi="var(--sans)"/>
                <w:sz w:val="20"/>
                <w:szCs w:val="20"/>
              </w:rPr>
            </w:pPr>
            <w:r>
              <w:rPr>
                <w:rFonts w:ascii="var(--sans)" w:eastAsia="Times New Roman" w:hAnsi="var(--sans)"/>
                <w:sz w:val="20"/>
                <w:szCs w:val="20"/>
              </w:rPr>
              <w:t>Evaluación del propio panel contra la Ley 21.719 y rectificación de lo que no cumple.</w:t>
            </w:r>
          </w:p>
        </w:tc>
      </w:tr>
      <w:tr w:rsidR="00000000">
        <w:trPr>
          <w:divId w:val="1747730245"/>
        </w:trPr>
        <w:tc>
          <w:tcPr>
            <w:tcW w:w="0" w:type="auto"/>
            <w:tcMar>
              <w:top w:w="108" w:type="dxa"/>
              <w:left w:w="0" w:type="dxa"/>
              <w:bottom w:w="108" w:type="dxa"/>
              <w:right w:w="113" w:type="dxa"/>
            </w:tcMar>
            <w:hideMark/>
          </w:tcPr>
          <w:p w:rsidR="00000000" w:rsidRDefault="000501AE">
            <w:pPr>
              <w:spacing w:before="170" w:after="193"/>
              <w:jc w:val="right"/>
              <w:rPr>
                <w:rFonts w:ascii="var(--sans)" w:eastAsia="Times New Roman" w:hAnsi="var(--sans)"/>
                <w:sz w:val="20"/>
                <w:szCs w:val="20"/>
              </w:rPr>
            </w:pPr>
            <w:r>
              <w:rPr>
                <w:rFonts w:ascii="var(--sans)" w:eastAsia="Times New Roman" w:hAnsi="var(--sans)"/>
                <w:sz w:val="20"/>
                <w:szCs w:val="20"/>
              </w:rPr>
              <w:t>6</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20"/>
                <w:szCs w:val="20"/>
              </w:rPr>
            </w:pPr>
            <w:r>
              <w:rPr>
                <w:rFonts w:ascii="var(--sans)" w:eastAsia="Times New Roman" w:hAnsi="var(--sans)"/>
                <w:b/>
                <w:bCs/>
                <w:sz w:val="20"/>
                <w:szCs w:val="20"/>
              </w:rPr>
              <w:t>Medida final</w:t>
            </w:r>
          </w:p>
        </w:tc>
        <w:tc>
          <w:tcPr>
            <w:tcW w:w="0" w:type="auto"/>
            <w:tcMar>
              <w:top w:w="108" w:type="dxa"/>
              <w:left w:w="0" w:type="dxa"/>
              <w:bottom w:w="108" w:type="dxa"/>
              <w:right w:w="113" w:type="dxa"/>
            </w:tcMar>
            <w:hideMark/>
          </w:tcPr>
          <w:p w:rsidR="00000000" w:rsidRDefault="000501AE">
            <w:pPr>
              <w:spacing w:before="170" w:after="193"/>
              <w:rPr>
                <w:rFonts w:ascii="var(--sans)" w:eastAsia="Times New Roman" w:hAnsi="var(--sans)"/>
                <w:sz w:val="20"/>
                <w:szCs w:val="20"/>
              </w:rPr>
            </w:pPr>
            <w:r>
              <w:rPr>
                <w:rFonts w:ascii="var(--sans)" w:eastAsia="Times New Roman" w:hAnsi="var(--sans)"/>
                <w:sz w:val="20"/>
                <w:szCs w:val="20"/>
              </w:rPr>
              <w:t>La tarea del tramo 1, repetida. Y la entrega del panel corregido.</w:t>
            </w:r>
          </w:p>
        </w:tc>
      </w:tr>
    </w:tbl>
    <w:p w:rsidR="00000000" w:rsidRDefault="000501AE">
      <w:pPr>
        <w:pStyle w:val="Ttulo3"/>
        <w:divId w:val="1747730245"/>
        <w:rPr>
          <w:rFonts w:eastAsia="Times New Roman"/>
        </w:rPr>
      </w:pPr>
      <w:r>
        <w:rPr>
          <w:rFonts w:eastAsia="Times New Roman"/>
        </w:rPr>
        <w:t>Qué datos produce, y para qué sirven</w:t>
      </w:r>
    </w:p>
    <w:tbl>
      <w:tblPr>
        <w:tblW w:w="5000" w:type="pct"/>
        <w:tblCellMar>
          <w:top w:w="15" w:type="dxa"/>
          <w:left w:w="15" w:type="dxa"/>
          <w:bottom w:w="15" w:type="dxa"/>
          <w:right w:w="15" w:type="dxa"/>
        </w:tblCellMar>
        <w:tblLook w:val="04A0"/>
      </w:tblPr>
      <w:tblGrid>
        <w:gridCol w:w="2562"/>
        <w:gridCol w:w="5035"/>
        <w:gridCol w:w="1077"/>
      </w:tblGrid>
      <w:tr w:rsidR="00000000">
        <w:trPr>
          <w:divId w:val="1747730245"/>
          <w:tblHeader/>
        </w:trPr>
        <w:tc>
          <w:tcPr>
            <w:tcW w:w="2495" w:type="dxa"/>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Dato</w:t>
            </w:r>
          </w:p>
        </w:tc>
        <w:tc>
          <w:tcPr>
            <w:tcW w:w="2948" w:type="dxa"/>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Cómo se obtiene</w:t>
            </w:r>
          </w:p>
        </w:tc>
        <w:tc>
          <w:tcPr>
            <w:tcW w:w="0" w:type="auto"/>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Para qué sirve después</w:t>
            </w:r>
          </w:p>
        </w:tc>
      </w:tr>
      <w:tr w:rsidR="00000000">
        <w:trPr>
          <w:divId w:val="1747730245"/>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20"/>
                <w:szCs w:val="20"/>
              </w:rPr>
            </w:pPr>
            <w:r>
              <w:rPr>
                <w:rFonts w:ascii="var(--sans)" w:eastAsia="Times New Roman" w:hAnsi="var(--sans)"/>
                <w:b/>
                <w:bCs/>
                <w:sz w:val="20"/>
                <w:szCs w:val="20"/>
              </w:rPr>
              <w:t>Medida antes y después, por estudiante</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20"/>
                <w:szCs w:val="20"/>
              </w:rPr>
            </w:pPr>
            <w:r>
              <w:rPr>
                <w:rFonts w:ascii="var(--sans)" w:eastAsia="Times New Roman" w:hAnsi="var(--sans)"/>
                <w:sz w:val="20"/>
                <w:szCs w:val="20"/>
              </w:rPr>
              <w:t>La misma tarea en el tramo 1 y en el 6, corregida con rúbrica ciega respecto del momento.</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20"/>
                <w:szCs w:val="20"/>
              </w:rPr>
            </w:pPr>
            <w:r>
              <w:rPr>
                <w:rFonts w:ascii="var(--sans)" w:eastAsia="Times New Roman" w:hAnsi="var(--sans)"/>
                <w:sz w:val="20"/>
                <w:szCs w:val="20"/>
              </w:rPr>
              <w:t>Es la medida de efecto que ninguna institución del corpus tiene.</w:t>
            </w:r>
          </w:p>
        </w:tc>
      </w:tr>
      <w:tr w:rsidR="00000000">
        <w:trPr>
          <w:divId w:val="1747730245"/>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20"/>
                <w:szCs w:val="20"/>
              </w:rPr>
            </w:pPr>
            <w:r>
              <w:rPr>
                <w:rFonts w:ascii="var(--sans)" w:eastAsia="Times New Roman" w:hAnsi="var(--sans)"/>
                <w:b/>
                <w:bCs/>
                <w:sz w:val="20"/>
                <w:szCs w:val="20"/>
              </w:rPr>
              <w:t>Grupo de comparación</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20"/>
                <w:szCs w:val="20"/>
              </w:rPr>
            </w:pPr>
            <w:r>
              <w:rPr>
                <w:rFonts w:ascii="var(--sans)" w:eastAsia="Times New Roman" w:hAnsi="var(--sans)"/>
                <w:sz w:val="20"/>
                <w:szCs w:val="20"/>
              </w:rPr>
              <w:t>Estudiantes de la misma cohorte que no cursan el optativo, resolviendo la misma tarea.</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20"/>
                <w:szCs w:val="20"/>
              </w:rPr>
            </w:pPr>
            <w:r>
              <w:rPr>
                <w:rFonts w:ascii="var(--sans)" w:eastAsia="Times New Roman" w:hAnsi="var(--sans)"/>
                <w:sz w:val="20"/>
                <w:szCs w:val="20"/>
              </w:rPr>
              <w:t>Sin esto no hay efecto atribuible, sólo diferencia entre quienes se inscribieron y quienes no.</w:t>
            </w:r>
          </w:p>
        </w:tc>
      </w:tr>
      <w:tr w:rsidR="00000000">
        <w:trPr>
          <w:divId w:val="1747730245"/>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20"/>
                <w:szCs w:val="20"/>
              </w:rPr>
            </w:pPr>
            <w:r>
              <w:rPr>
                <w:rFonts w:ascii="var(--sans)" w:eastAsia="Times New Roman" w:hAnsi="var(--sans)"/>
                <w:b/>
                <w:bCs/>
                <w:sz w:val="20"/>
                <w:szCs w:val="20"/>
              </w:rPr>
              <w:t>Rúbrica del artefacto</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20"/>
                <w:szCs w:val="20"/>
              </w:rPr>
            </w:pPr>
            <w:r>
              <w:rPr>
                <w:rFonts w:ascii="var(--sans)" w:eastAsia="Times New Roman" w:hAnsi="var(--sans)"/>
                <w:sz w:val="20"/>
                <w:szCs w:val="20"/>
              </w:rPr>
              <w:t>Criterios observables sobre el panel entregad</w:t>
            </w:r>
            <w:r>
              <w:rPr>
                <w:rFonts w:ascii="var(--sans)" w:eastAsia="Times New Roman" w:hAnsi="var(--sans)"/>
                <w:sz w:val="20"/>
                <w:szCs w:val="20"/>
              </w:rPr>
              <w:t>o, publicados antes de evaluar.</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20"/>
                <w:szCs w:val="20"/>
              </w:rPr>
            </w:pPr>
            <w:r>
              <w:rPr>
                <w:rFonts w:ascii="var(--sans)" w:eastAsia="Times New Roman" w:hAnsi="var(--sans)"/>
                <w:sz w:val="20"/>
                <w:szCs w:val="20"/>
              </w:rPr>
              <w:t>Permite que un tercero rehaga la corrección. Una rúbrica cerrada después no es refutable.</w:t>
            </w:r>
          </w:p>
        </w:tc>
      </w:tr>
      <w:tr w:rsidR="00000000">
        <w:trPr>
          <w:divId w:val="1747730245"/>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20"/>
                <w:szCs w:val="20"/>
              </w:rPr>
            </w:pPr>
            <w:r>
              <w:rPr>
                <w:rFonts w:ascii="var(--sans)" w:eastAsia="Times New Roman" w:hAnsi="var(--sans)"/>
                <w:b/>
                <w:bCs/>
                <w:sz w:val="20"/>
                <w:szCs w:val="20"/>
              </w:rPr>
              <w:t>Registro de proceso</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20"/>
                <w:szCs w:val="20"/>
              </w:rPr>
            </w:pPr>
            <w:r>
              <w:rPr>
                <w:rFonts w:ascii="var(--sans)" w:eastAsia="Times New Roman" w:hAnsi="var(--sans)"/>
                <w:sz w:val="20"/>
                <w:szCs w:val="20"/>
              </w:rPr>
              <w:t>Versiones del artefacto y decisiones documentadas a lo largo del semestre.</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20"/>
                <w:szCs w:val="20"/>
              </w:rPr>
            </w:pPr>
            <w:r>
              <w:rPr>
                <w:rFonts w:ascii="var(--sans)" w:eastAsia="Times New Roman" w:hAnsi="var(--sans)"/>
                <w:sz w:val="20"/>
                <w:szCs w:val="20"/>
              </w:rPr>
              <w:t>Distingue aprendizaje de resultado afortunado, y alimenta la investigación sobre cómo se aprende esto.</w:t>
            </w:r>
          </w:p>
        </w:tc>
      </w:tr>
      <w:tr w:rsidR="00000000">
        <w:trPr>
          <w:divId w:val="1747730245"/>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20"/>
                <w:szCs w:val="20"/>
              </w:rPr>
            </w:pPr>
            <w:r>
              <w:rPr>
                <w:rFonts w:ascii="var(--sans)" w:eastAsia="Times New Roman" w:hAnsi="var(--sans)"/>
                <w:b/>
                <w:bCs/>
                <w:sz w:val="20"/>
                <w:szCs w:val="20"/>
              </w:rPr>
              <w:t>Hallazgos de cumplimiento</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20"/>
                <w:szCs w:val="20"/>
              </w:rPr>
            </w:pPr>
            <w:r>
              <w:rPr>
                <w:rFonts w:ascii="var(--sans)" w:eastAsia="Times New Roman" w:hAnsi="var(--sans)"/>
                <w:sz w:val="20"/>
                <w:szCs w:val="20"/>
              </w:rPr>
              <w:t>Qué incumplía cada panel antes de la corrección del tramo 5.</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20"/>
                <w:szCs w:val="20"/>
              </w:rPr>
            </w:pPr>
            <w:r>
              <w:rPr>
                <w:rFonts w:ascii="var(--sans)" w:eastAsia="Times New Roman" w:hAnsi="var(--sans)"/>
                <w:sz w:val="20"/>
                <w:szCs w:val="20"/>
              </w:rPr>
              <w:t>Material de investigación sobre riesgos reales de la gestió</w:t>
            </w:r>
            <w:r>
              <w:rPr>
                <w:rFonts w:ascii="var(--sans)" w:eastAsia="Times New Roman" w:hAnsi="var(--sans)"/>
                <w:sz w:val="20"/>
                <w:szCs w:val="20"/>
              </w:rPr>
              <w:t>n jurídica asistida.</w:t>
            </w:r>
          </w:p>
        </w:tc>
      </w:tr>
      <w:tr w:rsidR="00000000">
        <w:trPr>
          <w:divId w:val="1747730245"/>
        </w:trPr>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b/>
                <w:bCs/>
                <w:sz w:val="20"/>
                <w:szCs w:val="20"/>
              </w:rPr>
            </w:pPr>
            <w:r>
              <w:rPr>
                <w:rFonts w:ascii="var(--sans)" w:eastAsia="Times New Roman" w:hAnsi="var(--sans)"/>
                <w:b/>
                <w:bCs/>
                <w:sz w:val="20"/>
                <w:szCs w:val="20"/>
              </w:rPr>
              <w:t>Cobertura declarada</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20"/>
                <w:szCs w:val="20"/>
              </w:rPr>
            </w:pPr>
            <w:r>
              <w:rPr>
                <w:rFonts w:ascii="var(--sans)" w:eastAsia="Times New Roman" w:hAnsi="var(--sans)"/>
                <w:sz w:val="20"/>
                <w:szCs w:val="20"/>
              </w:rPr>
              <w:t>Matrícula, deserción y perfil de los inscritos.</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20"/>
                <w:szCs w:val="20"/>
              </w:rPr>
            </w:pPr>
            <w:r>
              <w:rPr>
                <w:rFonts w:ascii="var(--sans)" w:eastAsia="Times New Roman" w:hAnsi="var(--sans)"/>
                <w:sz w:val="20"/>
                <w:szCs w:val="20"/>
              </w:rPr>
              <w:t>Convierte la actividad en cobertura verificable, que es lo que hoy falta en todo el corpus.</w:t>
            </w:r>
          </w:p>
        </w:tc>
      </w:tr>
    </w:tbl>
    <w:p w:rsidR="00000000" w:rsidRDefault="000501AE">
      <w:pPr>
        <w:pStyle w:val="Ttulo5"/>
        <w:divId w:val="1387025016"/>
        <w:rPr>
          <w:rFonts w:eastAsia="Times New Roman"/>
        </w:rPr>
      </w:pPr>
      <w:r>
        <w:rPr>
          <w:rFonts w:eastAsia="Times New Roman"/>
        </w:rPr>
        <w:t>La exigencia que el propio curso se impone</w:t>
      </w:r>
    </w:p>
    <w:p w:rsidR="00000000" w:rsidRDefault="000501AE">
      <w:pPr>
        <w:pStyle w:val="NormalWeb"/>
        <w:spacing w:after="193"/>
        <w:divId w:val="1387025016"/>
        <w:rPr>
          <w:rFonts w:ascii="var(--serif)" w:hAnsi="var(--serif)"/>
          <w:sz w:val="24"/>
          <w:szCs w:val="24"/>
        </w:rPr>
      </w:pPr>
      <w:r>
        <w:rPr>
          <w:rFonts w:ascii="var(--serif)" w:hAnsi="var(--serif)"/>
          <w:sz w:val="24"/>
          <w:szCs w:val="24"/>
        </w:rPr>
        <w:t xml:space="preserve">Un optativo que enseña protección de datos y que a la vez recoge datos de sus estudiantes tiene que cumplir lo que enseña. </w:t>
      </w:r>
      <w:r>
        <w:rPr>
          <w:rStyle w:val="Textoennegrita"/>
          <w:rFonts w:ascii="var(--serif)" w:hAnsi="var(--serif)"/>
          <w:sz w:val="24"/>
          <w:szCs w:val="24"/>
        </w:rPr>
        <w:t>Base de licitud, finalidad declarada, minimización, anonimización antes de cualquier publicación y derecho a no participar en la inve</w:t>
      </w:r>
      <w:r>
        <w:rPr>
          <w:rStyle w:val="Textoennegrita"/>
          <w:rFonts w:ascii="var(--serif)" w:hAnsi="var(--serif)"/>
          <w:sz w:val="24"/>
          <w:szCs w:val="24"/>
        </w:rPr>
        <w:t>stigación sin efecto sobre la calificación.</w:t>
      </w:r>
      <w:r>
        <w:rPr>
          <w:rFonts w:ascii="var(--serif)" w:hAnsi="var(--serif)"/>
          <w:sz w:val="24"/>
          <w:szCs w:val="24"/>
        </w:rPr>
        <w:t xml:space="preserve"> Si el diseño de medición no resiste su propio módulo final, el curso está mal construido.</w:t>
      </w:r>
    </w:p>
    <w:p w:rsidR="00000000" w:rsidRDefault="000501AE">
      <w:pPr>
        <w:spacing w:after="340"/>
        <w:divId w:val="1218854823"/>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v1.1</w:t>
      </w:r>
    </w:p>
    <w:p w:rsidR="00000000" w:rsidRDefault="000501AE">
      <w:pPr>
        <w:pStyle w:val="eyebrow"/>
        <w:divId w:val="353458779"/>
      </w:pPr>
      <w:r>
        <w:t>Qué sale de ahí</w:t>
      </w:r>
    </w:p>
    <w:p w:rsidR="00000000" w:rsidRDefault="000501AE">
      <w:pPr>
        <w:pStyle w:val="Ttulo2"/>
        <w:divId w:val="353458779"/>
        <w:rPr>
          <w:rFonts w:eastAsia="Times New Roman"/>
        </w:rPr>
      </w:pPr>
      <w:r>
        <w:rPr>
          <w:rFonts w:eastAsia="Times New Roman"/>
        </w:rPr>
        <w:t>7 · Los productos, y por qué importan fuera</w:t>
      </w:r>
      <w:r>
        <w:rPr>
          <w:rFonts w:eastAsia="Times New Roman"/>
        </w:rPr>
        <w:t xml:space="preserve"> del aula</w:t>
      </w:r>
    </w:p>
    <w:p w:rsidR="00000000" w:rsidRDefault="000501AE">
      <w:pPr>
        <w:pStyle w:val="Ttulo4"/>
        <w:divId w:val="1963919824"/>
        <w:rPr>
          <w:rFonts w:eastAsia="Times New Roman"/>
        </w:rPr>
      </w:pPr>
      <w:r>
        <w:rPr>
          <w:rFonts w:eastAsia="Times New Roman"/>
        </w:rPr>
        <w:t>Un informe del curso</w:t>
      </w:r>
    </w:p>
    <w:p w:rsidR="00000000" w:rsidRDefault="000501AE">
      <w:pPr>
        <w:pStyle w:val="NormalWeb"/>
        <w:divId w:val="1963919824"/>
        <w:rPr>
          <w:rFonts w:ascii="var(--serif)" w:hAnsi="var(--serif)"/>
          <w:sz w:val="24"/>
          <w:szCs w:val="24"/>
        </w:rPr>
      </w:pPr>
      <w:r>
        <w:rPr>
          <w:rFonts w:ascii="var(--serif)" w:hAnsi="var(--serif)"/>
          <w:sz w:val="24"/>
          <w:szCs w:val="24"/>
        </w:rPr>
        <w:t xml:space="preserve">Con diseño, muestra, instrumento, grupo de comparación y resultado, publicado aunque el resultado sea que no hubo diferencia. Un resultado negativo publicado es más valioso para el campo que un resultado positivo sin diseño, </w:t>
      </w:r>
      <w:r>
        <w:rPr>
          <w:rFonts w:ascii="var(--serif)" w:hAnsi="var(--serif)"/>
          <w:sz w:val="24"/>
          <w:szCs w:val="24"/>
        </w:rPr>
        <w:t>y hoy no existe ninguno de los dos.</w:t>
      </w:r>
    </w:p>
    <w:p w:rsidR="00000000" w:rsidRDefault="000501AE">
      <w:pPr>
        <w:pStyle w:val="Ttulo4"/>
        <w:divId w:val="1963919824"/>
        <w:rPr>
          <w:rFonts w:eastAsia="Times New Roman"/>
        </w:rPr>
      </w:pPr>
      <w:r>
        <w:rPr>
          <w:rFonts w:eastAsia="Times New Roman"/>
        </w:rPr>
        <w:t>Un conjunto de datos anonimizado</w:t>
      </w:r>
    </w:p>
    <w:p w:rsidR="00000000" w:rsidRDefault="000501AE">
      <w:pPr>
        <w:pStyle w:val="NormalWeb"/>
        <w:divId w:val="1963919824"/>
        <w:rPr>
          <w:rFonts w:ascii="var(--serif)" w:hAnsi="var(--serif)"/>
          <w:sz w:val="24"/>
          <w:szCs w:val="24"/>
        </w:rPr>
      </w:pPr>
      <w:r>
        <w:rPr>
          <w:rFonts w:ascii="var(--serif)" w:hAnsi="var(--serif)"/>
          <w:sz w:val="24"/>
          <w:szCs w:val="24"/>
        </w:rPr>
        <w:t>Las medidas antes y después, las rúbricas y los hallazgos de cumplimiento, depurados de datos personales. Es lo que permite que otra Facultad replique la medición en vez de creerla.</w:t>
      </w:r>
    </w:p>
    <w:p w:rsidR="00000000" w:rsidRDefault="000501AE">
      <w:pPr>
        <w:pStyle w:val="Ttulo4"/>
        <w:divId w:val="2129544787"/>
        <w:rPr>
          <w:rFonts w:eastAsia="Times New Roman"/>
        </w:rPr>
      </w:pPr>
      <w:r>
        <w:rPr>
          <w:rFonts w:eastAsia="Times New Roman"/>
        </w:rPr>
        <w:t xml:space="preserve">Base </w:t>
      </w:r>
      <w:r>
        <w:rPr>
          <w:rFonts w:eastAsia="Times New Roman"/>
        </w:rPr>
        <w:t>para postular a proyectos</w:t>
      </w:r>
    </w:p>
    <w:p w:rsidR="00000000" w:rsidRDefault="000501AE">
      <w:pPr>
        <w:pStyle w:val="NormalWeb"/>
        <w:divId w:val="2129544787"/>
        <w:rPr>
          <w:rFonts w:ascii="var(--serif)" w:hAnsi="var(--serif)"/>
          <w:sz w:val="24"/>
          <w:szCs w:val="24"/>
        </w:rPr>
      </w:pPr>
      <w:r>
        <w:rPr>
          <w:rFonts w:ascii="var(--serif)" w:hAnsi="var(--serif)"/>
          <w:sz w:val="24"/>
          <w:szCs w:val="24"/>
        </w:rPr>
        <w:t>Los fondos de investigación en docencia y en transferencia piden lo mismo que aquí se produce: un problema documentado, un instrumento probado, datos preliminares y un equipo con antecedentes. El curso genera las cuatro cosas como</w:t>
      </w:r>
      <w:r>
        <w:rPr>
          <w:rFonts w:ascii="var(--serif)" w:hAnsi="var(--serif)"/>
          <w:sz w:val="24"/>
          <w:szCs w:val="24"/>
        </w:rPr>
        <w:t xml:space="preserve"> subproducto de funcionar.</w:t>
      </w:r>
    </w:p>
    <w:p w:rsidR="00000000" w:rsidRDefault="000501AE">
      <w:pPr>
        <w:pStyle w:val="Ttulo4"/>
        <w:divId w:val="2129544787"/>
        <w:rPr>
          <w:rFonts w:eastAsia="Times New Roman"/>
        </w:rPr>
      </w:pPr>
      <w:r>
        <w:rPr>
          <w:rFonts w:eastAsia="Times New Roman"/>
        </w:rPr>
        <w:t>Una posición defendible en el campo</w:t>
      </w:r>
    </w:p>
    <w:p w:rsidR="00000000" w:rsidRDefault="000501AE">
      <w:pPr>
        <w:pStyle w:val="NormalWeb"/>
        <w:divId w:val="2129544787"/>
        <w:rPr>
          <w:rFonts w:ascii="var(--serif)" w:hAnsi="var(--serif)"/>
          <w:sz w:val="24"/>
          <w:szCs w:val="24"/>
        </w:rPr>
      </w:pPr>
      <w:r>
        <w:rPr>
          <w:rFonts w:ascii="var(--serif)" w:hAnsi="var(--serif)"/>
          <w:sz w:val="24"/>
          <w:szCs w:val="24"/>
        </w:rPr>
        <w:t>No por haber hecho más actividades, sino por haber publicado la primera medición de efecto. Es la única capacidad del comparador que hoy está vacía en las diez instituciones.</w:t>
      </w:r>
    </w:p>
    <w:p w:rsidR="00000000" w:rsidRDefault="000501AE">
      <w:pPr>
        <w:pStyle w:val="Ttulo5"/>
        <w:divId w:val="270822448"/>
        <w:rPr>
          <w:rFonts w:eastAsia="Times New Roman"/>
        </w:rPr>
      </w:pPr>
      <w:r>
        <w:rPr>
          <w:rFonts w:eastAsia="Times New Roman"/>
        </w:rPr>
        <w:t xml:space="preserve">La ventana, y qué </w:t>
      </w:r>
      <w:r>
        <w:rPr>
          <w:rFonts w:eastAsia="Times New Roman"/>
        </w:rPr>
        <w:t>cuesta dejarla pasar</w:t>
      </w:r>
    </w:p>
    <w:p w:rsidR="00000000" w:rsidRDefault="000501AE">
      <w:pPr>
        <w:pStyle w:val="NormalWeb"/>
        <w:divId w:val="270822448"/>
        <w:rPr>
          <w:rFonts w:ascii="var(--serif)" w:hAnsi="var(--serif)"/>
          <w:sz w:val="24"/>
          <w:szCs w:val="24"/>
        </w:rPr>
      </w:pPr>
      <w:r>
        <w:rPr>
          <w:rFonts w:ascii="var(--serif)" w:hAnsi="var(--serif)"/>
          <w:sz w:val="24"/>
          <w:szCs w:val="24"/>
        </w:rPr>
        <w:t xml:space="preserve">Dos cosas coinciden en el tiempo. La Ley 21.719 entra en vigor en diciembre de 2026, de modo que todas las Facultades tendrán que abordar la materia y muchas lo harán como módulo teórico. Y ninguna de las diez instituciones comparadas </w:t>
      </w:r>
      <w:r>
        <w:rPr>
          <w:rFonts w:ascii="var(--serif)" w:hAnsi="var(--serif)"/>
          <w:sz w:val="24"/>
          <w:szCs w:val="24"/>
        </w:rPr>
        <w:t>ha publicado una medición de efecto, de modo que la primera que lo haga fija el estándar de cómo se mide.</w:t>
      </w:r>
    </w:p>
    <w:p w:rsidR="00000000" w:rsidRDefault="000501AE">
      <w:pPr>
        <w:pStyle w:val="NormalWeb"/>
        <w:spacing w:after="193"/>
        <w:divId w:val="270822448"/>
        <w:rPr>
          <w:rFonts w:ascii="var(--serif)" w:hAnsi="var(--serif)"/>
          <w:sz w:val="24"/>
          <w:szCs w:val="24"/>
        </w:rPr>
      </w:pPr>
      <w:r>
        <w:rPr>
          <w:rStyle w:val="Textoennegrita"/>
          <w:rFonts w:ascii="var(--serif)" w:hAnsi="var(--serif)"/>
          <w:sz w:val="24"/>
          <w:szCs w:val="24"/>
        </w:rPr>
        <w:t>Las dos ventanas se cierran solas.</w:t>
      </w:r>
      <w:r>
        <w:rPr>
          <w:rFonts w:ascii="var(--serif)" w:hAnsi="var(--serif)"/>
          <w:sz w:val="24"/>
          <w:szCs w:val="24"/>
        </w:rPr>
        <w:t xml:space="preserve"> La primera cuando la materia se vuelva rutina; la segunda cuando alguien más publique. Ninguna de las dos exige pre</w:t>
      </w:r>
      <w:r>
        <w:rPr>
          <w:rFonts w:ascii="var(--serif)" w:hAnsi="var(--serif)"/>
          <w:sz w:val="24"/>
          <w:szCs w:val="24"/>
        </w:rPr>
        <w:t>supuesto extraordinario: exigen decidir ahora qué se va a medir y publicarlo aunque salga mal.</w:t>
      </w:r>
    </w:p>
    <w:p w:rsidR="00000000" w:rsidRDefault="000501AE">
      <w:pPr>
        <w:spacing w:after="340"/>
        <w:divId w:val="1859809043"/>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v1.1</w:t>
      </w:r>
    </w:p>
    <w:p w:rsidR="00000000" w:rsidRDefault="000501AE">
      <w:pPr>
        <w:pStyle w:val="eyebrow"/>
        <w:divId w:val="752554519"/>
      </w:pPr>
      <w:r>
        <w:t>Honestidad del documento</w:t>
      </w:r>
    </w:p>
    <w:p w:rsidR="00000000" w:rsidRDefault="000501AE">
      <w:pPr>
        <w:pStyle w:val="Ttulo2"/>
        <w:divId w:val="752554519"/>
        <w:rPr>
          <w:rFonts w:eastAsia="Times New Roman"/>
        </w:rPr>
      </w:pPr>
      <w:r>
        <w:rPr>
          <w:rFonts w:eastAsia="Times New Roman"/>
        </w:rPr>
        <w:t>8 · Limitaciones de este complemento</w:t>
      </w:r>
    </w:p>
    <w:p w:rsidR="00000000" w:rsidRDefault="000501AE">
      <w:pPr>
        <w:numPr>
          <w:ilvl w:val="0"/>
          <w:numId w:val="3"/>
        </w:numPr>
        <w:spacing w:before="100" w:beforeAutospacing="1" w:after="77"/>
        <w:ind w:left="0"/>
        <w:divId w:val="752554519"/>
        <w:rPr>
          <w:rFonts w:ascii="var(--serif)" w:eastAsia="Times New Roman" w:hAnsi="var(--serif)"/>
          <w:sz w:val="24"/>
          <w:szCs w:val="24"/>
        </w:rPr>
      </w:pPr>
      <w:r>
        <w:rPr>
          <w:rStyle w:val="Textoennegrita"/>
          <w:rFonts w:ascii="var(--serif)" w:eastAsia="Times New Roman" w:hAnsi="var(--serif)"/>
          <w:sz w:val="24"/>
          <w:szCs w:val="24"/>
        </w:rPr>
        <w:t>Lo escribe una parte interesada.</w:t>
      </w:r>
      <w:r>
        <w:rPr>
          <w:rFonts w:ascii="var(--serif)" w:eastAsia="Times New Roman" w:hAnsi="var(--serif)"/>
          <w:sz w:val="24"/>
          <w:szCs w:val="24"/>
        </w:rPr>
        <w:t xml:space="preserve"> Ret</w:t>
      </w:r>
      <w:r>
        <w:rPr>
          <w:rFonts w:ascii="var(--serif)" w:eastAsia="Times New Roman" w:hAnsi="var(--serif)"/>
          <w:sz w:val="24"/>
          <w:szCs w:val="24"/>
        </w:rPr>
        <w:t>irar a la PUCV del comparador elimina el sesgo del orden, no el de este documento. Todo lo que aquí se propone lo propone alguien que trabaja en el programa que se beneficiaría de que se aprobara.</w:t>
      </w:r>
    </w:p>
    <w:p w:rsidR="00000000" w:rsidRDefault="000501AE">
      <w:pPr>
        <w:numPr>
          <w:ilvl w:val="0"/>
          <w:numId w:val="3"/>
        </w:numPr>
        <w:spacing w:before="100" w:beforeAutospacing="1" w:after="77"/>
        <w:ind w:left="0"/>
        <w:divId w:val="752554519"/>
        <w:rPr>
          <w:rFonts w:ascii="var(--serif)" w:eastAsia="Times New Roman" w:hAnsi="var(--serif)"/>
          <w:sz w:val="24"/>
          <w:szCs w:val="24"/>
        </w:rPr>
      </w:pPr>
      <w:r>
        <w:rPr>
          <w:rStyle w:val="Textoennegrita"/>
          <w:rFonts w:ascii="var(--serif)" w:eastAsia="Times New Roman" w:hAnsi="var(--serif)"/>
          <w:sz w:val="24"/>
          <w:szCs w:val="24"/>
        </w:rPr>
        <w:t>Son proyecciones, no compromisos.</w:t>
      </w:r>
      <w:r>
        <w:rPr>
          <w:rFonts w:ascii="var(--serif)" w:eastAsia="Times New Roman" w:hAnsi="var(--serif)"/>
          <w:sz w:val="24"/>
          <w:szCs w:val="24"/>
        </w:rPr>
        <w:t xml:space="preserve"> Nada de lo descrito exist</w:t>
      </w:r>
      <w:r>
        <w:rPr>
          <w:rFonts w:ascii="var(--serif)" w:eastAsia="Times New Roman" w:hAnsi="var(--serif)"/>
          <w:sz w:val="24"/>
          <w:szCs w:val="24"/>
        </w:rPr>
        <w:t>e. No hay acuerdo de Facultad, no hay financiamiento asignado y no hay docentes comprometidos. Presentarlo de otro modo sería exactamente el defecto que el informe principal reprocha a otras instituciones: contar el anuncio como ejecución.</w:t>
      </w:r>
    </w:p>
    <w:p w:rsidR="00000000" w:rsidRDefault="000501AE">
      <w:pPr>
        <w:numPr>
          <w:ilvl w:val="0"/>
          <w:numId w:val="3"/>
        </w:numPr>
        <w:spacing w:before="100" w:beforeAutospacing="1" w:after="77"/>
        <w:ind w:left="0"/>
        <w:divId w:val="752554519"/>
        <w:rPr>
          <w:rFonts w:ascii="var(--serif)" w:eastAsia="Times New Roman" w:hAnsi="var(--serif)"/>
          <w:sz w:val="24"/>
          <w:szCs w:val="24"/>
        </w:rPr>
      </w:pPr>
      <w:r>
        <w:rPr>
          <w:rStyle w:val="Textoennegrita"/>
          <w:rFonts w:ascii="var(--serif)" w:eastAsia="Times New Roman" w:hAnsi="var(--serif)"/>
          <w:sz w:val="24"/>
          <w:szCs w:val="24"/>
        </w:rPr>
        <w:t>El diseño de med</w:t>
      </w:r>
      <w:r>
        <w:rPr>
          <w:rStyle w:val="Textoennegrita"/>
          <w:rFonts w:ascii="var(--serif)" w:eastAsia="Times New Roman" w:hAnsi="var(--serif)"/>
          <w:sz w:val="24"/>
          <w:szCs w:val="24"/>
        </w:rPr>
        <w:t>ición es el punto débil.</w:t>
      </w:r>
      <w:r>
        <w:rPr>
          <w:rFonts w:ascii="var(--serif)" w:eastAsia="Times New Roman" w:hAnsi="var(--serif)"/>
          <w:sz w:val="24"/>
          <w:szCs w:val="24"/>
        </w:rPr>
        <w:t xml:space="preserve"> Un optativo tiene matrícula pequeña y autoselección: quien se inscribe ya está interesado. El grupo de comparación mitiga eso pero no lo elimina, y el informe resultante deberá decirlo en su primera página.</w:t>
      </w:r>
    </w:p>
    <w:p w:rsidR="00000000" w:rsidRDefault="000501AE">
      <w:pPr>
        <w:numPr>
          <w:ilvl w:val="0"/>
          <w:numId w:val="3"/>
        </w:numPr>
        <w:spacing w:before="100" w:beforeAutospacing="1" w:after="77"/>
        <w:ind w:left="0"/>
        <w:divId w:val="752554519"/>
        <w:rPr>
          <w:rFonts w:ascii="var(--serif)" w:eastAsia="Times New Roman" w:hAnsi="var(--serif)"/>
          <w:sz w:val="24"/>
          <w:szCs w:val="24"/>
        </w:rPr>
      </w:pPr>
      <w:r>
        <w:rPr>
          <w:rStyle w:val="Textoennegrita"/>
          <w:rFonts w:ascii="var(--serif)" w:eastAsia="Times New Roman" w:hAnsi="var(--serif)"/>
          <w:sz w:val="24"/>
          <w:szCs w:val="24"/>
        </w:rPr>
        <w:t>La base de partida tiene</w:t>
      </w:r>
      <w:r>
        <w:rPr>
          <w:rStyle w:val="Textoennegrita"/>
          <w:rFonts w:ascii="var(--serif)" w:eastAsia="Times New Roman" w:hAnsi="var(--serif)"/>
          <w:sz w:val="24"/>
          <w:szCs w:val="24"/>
        </w:rPr>
        <w:t xml:space="preserve"> huecos conocidos.</w:t>
      </w:r>
      <w:r>
        <w:rPr>
          <w:rFonts w:ascii="var(--serif)" w:eastAsia="Times New Roman" w:hAnsi="var(--serif)"/>
          <w:sz w:val="24"/>
          <w:szCs w:val="24"/>
        </w:rPr>
        <w:t xml:space="preserve"> El programa que sostendría esto no tiene acto formal de creación localizado, su financiamiento es concursable y su herramienta propia no publica cifras de uso. Las proyecciones no los resuelven; los heredan.</w:t>
      </w:r>
    </w:p>
    <w:p w:rsidR="00000000" w:rsidRDefault="000501AE">
      <w:pPr>
        <w:numPr>
          <w:ilvl w:val="0"/>
          <w:numId w:val="3"/>
        </w:numPr>
        <w:spacing w:before="100" w:beforeAutospacing="1" w:after="77"/>
        <w:ind w:left="0"/>
        <w:divId w:val="752554519"/>
        <w:rPr>
          <w:rFonts w:ascii="var(--serif)" w:eastAsia="Times New Roman" w:hAnsi="var(--serif)"/>
          <w:sz w:val="24"/>
          <w:szCs w:val="24"/>
        </w:rPr>
      </w:pPr>
      <w:r>
        <w:rPr>
          <w:rStyle w:val="Textoennegrita"/>
          <w:rFonts w:ascii="var(--serif)" w:eastAsia="Times New Roman" w:hAnsi="var(--serif)"/>
          <w:sz w:val="24"/>
          <w:szCs w:val="24"/>
        </w:rPr>
        <w:t>No se consultó a la institución.</w:t>
      </w:r>
      <w:r>
        <w:rPr>
          <w:rFonts w:ascii="var(--serif)" w:eastAsia="Times New Roman" w:hAnsi="var(--serif)"/>
          <w:sz w:val="24"/>
          <w:szCs w:val="24"/>
        </w:rPr>
        <w:t xml:space="preserve"> Este documento se construye sobre evidencia pública. Ni la Escuela de Derecho ni la Facultad ni la Universidad han revisado su contenido, y ninguna de ellas habla a través de él.</w:t>
      </w:r>
    </w:p>
    <w:p w:rsidR="00000000" w:rsidRDefault="000501AE">
      <w:pPr>
        <w:pStyle w:val="Ttulo5"/>
        <w:divId w:val="1692149474"/>
        <w:rPr>
          <w:rFonts w:eastAsia="Times New Roman"/>
        </w:rPr>
      </w:pPr>
      <w:r>
        <w:rPr>
          <w:rFonts w:eastAsia="Times New Roman"/>
        </w:rPr>
        <w:t>Una nota final sobre el método</w:t>
      </w:r>
    </w:p>
    <w:p w:rsidR="00000000" w:rsidRDefault="000501AE">
      <w:pPr>
        <w:pStyle w:val="NormalWeb"/>
        <w:divId w:val="1692149474"/>
        <w:rPr>
          <w:rFonts w:ascii="var(--serif)" w:hAnsi="var(--serif)"/>
          <w:sz w:val="24"/>
          <w:szCs w:val="24"/>
        </w:rPr>
      </w:pPr>
      <w:r>
        <w:rPr>
          <w:rFonts w:ascii="var(--serif)" w:hAnsi="var(--serif)"/>
          <w:sz w:val="24"/>
          <w:szCs w:val="24"/>
        </w:rPr>
        <w:t>La razón de q</w:t>
      </w:r>
      <w:r>
        <w:rPr>
          <w:rFonts w:ascii="var(--serif)" w:hAnsi="var(--serif)"/>
          <w:sz w:val="24"/>
          <w:szCs w:val="24"/>
        </w:rPr>
        <w:t xml:space="preserve">ue este documento exista aparte no es diplomática. Un instrumento que ordena instituciones sólo sirve si quien lo aplica no tiene interés en el resultado. Como aquí lo tiene, la salida honesta no era matizar la posición de la PUCV: era </w:t>
      </w:r>
      <w:r>
        <w:rPr>
          <w:rStyle w:val="Textoennegrita"/>
          <w:rFonts w:ascii="var(--serif)" w:hAnsi="var(--serif)"/>
          <w:sz w:val="24"/>
          <w:szCs w:val="24"/>
        </w:rPr>
        <w:t>retirarla del instrumento y decir por qué</w:t>
      </w:r>
      <w:r>
        <w:rPr>
          <w:rFonts w:ascii="var(--serif)" w:hAnsi="var(--serif)"/>
          <w:sz w:val="24"/>
          <w:szCs w:val="24"/>
        </w:rPr>
        <w:t>, dejando el orden de las diez restantes en pie y verificable por cualquiera.</w:t>
      </w:r>
    </w:p>
    <w:p w:rsidR="00000000" w:rsidRDefault="000501AE">
      <w:pPr>
        <w:pStyle w:val="NormalWeb"/>
        <w:spacing w:after="193"/>
        <w:divId w:val="1692149474"/>
        <w:rPr>
          <w:rFonts w:ascii="var(--serif)" w:hAnsi="var(--serif)"/>
          <w:sz w:val="24"/>
          <w:szCs w:val="24"/>
        </w:rPr>
      </w:pPr>
      <w:r>
        <w:rPr>
          <w:rFonts w:ascii="var(--serif)" w:hAnsi="var(--serif)"/>
          <w:sz w:val="24"/>
          <w:szCs w:val="24"/>
        </w:rPr>
        <w:t>Lo que se pierde en cobertura se gana en que el comparador siga significando algo.</w:t>
      </w:r>
    </w:p>
    <w:p w:rsidR="00000000" w:rsidRDefault="000501AE">
      <w:pPr>
        <w:spacing w:after="340"/>
        <w:divId w:val="326445583"/>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w:t>
      </w:r>
      <w:r>
        <w:rPr>
          <w:rFonts w:ascii="var(--sans)" w:eastAsia="Times New Roman" w:hAnsi="var(--sans)"/>
          <w:spacing w:val="12"/>
          <w:sz w:val="17"/>
          <w:szCs w:val="17"/>
        </w:rPr>
        <w:t>n · v1.1</w:t>
      </w:r>
    </w:p>
    <w:p w:rsidR="00000000" w:rsidRDefault="000501AE">
      <w:pPr>
        <w:pStyle w:val="Ttulo2"/>
        <w:divId w:val="1402364248"/>
        <w:rPr>
          <w:rFonts w:eastAsia="Times New Roman"/>
        </w:rPr>
      </w:pPr>
      <w:r>
        <w:rPr>
          <w:rFonts w:eastAsia="Times New Roman"/>
        </w:rPr>
        <w:t>9 · Implicancias y ventana de decisión</w:t>
      </w:r>
    </w:p>
    <w:p w:rsidR="00000000" w:rsidRDefault="000501AE">
      <w:pPr>
        <w:pStyle w:val="lead"/>
        <w:divId w:val="1402364248"/>
        <w:rPr>
          <w:rFonts w:ascii="var(--serif)" w:hAnsi="var(--serif)"/>
        </w:rPr>
      </w:pPr>
      <w:r>
        <w:rPr>
          <w:rFonts w:ascii="var(--serif)" w:hAnsi="var(--serif)"/>
        </w:rPr>
        <w:t>Las conclusiones dicen qué muestra la evidencia. Esto dice qué decisiones abre esa evidencia, con qué indicador se comprobaría más adelante si se tomaron, y qué cuesta no tomarlas.</w:t>
      </w:r>
    </w:p>
    <w:p w:rsidR="00000000" w:rsidRDefault="000501AE">
      <w:pPr>
        <w:pStyle w:val="NormalWeb"/>
        <w:divId w:val="1402364248"/>
        <w:rPr>
          <w:rFonts w:ascii="var(--serif)" w:hAnsi="var(--serif)"/>
          <w:sz w:val="24"/>
          <w:szCs w:val="24"/>
        </w:rPr>
      </w:pPr>
      <w:r>
        <w:rPr>
          <w:rFonts w:ascii="var(--serif)" w:hAnsi="var(--serif)"/>
          <w:sz w:val="24"/>
          <w:szCs w:val="24"/>
        </w:rPr>
        <w:t>Ninguno de estos bloques af</w:t>
      </w:r>
      <w:r>
        <w:rPr>
          <w:rFonts w:ascii="var(--serif)" w:hAnsi="var(--serif)"/>
          <w:sz w:val="24"/>
          <w:szCs w:val="24"/>
        </w:rPr>
        <w:t xml:space="preserve">irma qué debe hacer la institución. Enuncia un problema observado, la evidencia que lo sostiene, el referente donde ese mismo problema ya tiene un mecanismo, el indicador verificable y el efecto medible sobre la posición comparada. Se ordenan por relación </w:t>
      </w:r>
      <w:r>
        <w:rPr>
          <w:rFonts w:ascii="var(--serif)" w:hAnsi="var(--serif)"/>
          <w:sz w:val="24"/>
          <w:szCs w:val="24"/>
        </w:rPr>
        <w:t>entre esfuerzo y efecto, no por importancia.</w:t>
      </w:r>
    </w:p>
    <w:p w:rsidR="00000000" w:rsidRDefault="000501AE">
      <w:pPr>
        <w:pStyle w:val="Ttulo5"/>
        <w:divId w:val="270161408"/>
        <w:rPr>
          <w:rFonts w:eastAsia="Times New Roman"/>
        </w:rPr>
      </w:pPr>
      <w:r>
        <w:rPr>
          <w:rFonts w:eastAsia="Times New Roman"/>
        </w:rPr>
        <w:t>La aritmética de la decisión, en una línea</w:t>
      </w:r>
    </w:p>
    <w:p w:rsidR="00000000" w:rsidRDefault="000501AE">
      <w:pPr>
        <w:pStyle w:val="NormalWeb"/>
        <w:spacing w:after="193"/>
        <w:divId w:val="270161408"/>
        <w:rPr>
          <w:rFonts w:ascii="var(--serif)" w:hAnsi="var(--serif)"/>
          <w:sz w:val="24"/>
          <w:szCs w:val="24"/>
        </w:rPr>
      </w:pPr>
      <w:r>
        <w:rPr>
          <w:rFonts w:ascii="var(--serif)" w:hAnsi="var(--serif)"/>
          <w:sz w:val="24"/>
          <w:szCs w:val="24"/>
        </w:rPr>
        <w:t>La PUCV acredita hoy 18 puntos de 30 y es la única institución de la cohorte cuya banda está cerrada: no hay evidencia pendiente de aparecer que suba esa cifra. Las sei</w:t>
      </w:r>
      <w:r>
        <w:rPr>
          <w:rFonts w:ascii="var(--serif)" w:hAnsi="var(--serif)"/>
          <w:sz w:val="24"/>
          <w:szCs w:val="24"/>
        </w:rPr>
        <w:t xml:space="preserve">s decisiones que siguen suman, en conjunto, </w:t>
      </w:r>
      <w:r>
        <w:rPr>
          <w:rStyle w:val="Textoennegrita"/>
          <w:rFonts w:ascii="var(--serif)" w:hAnsi="var(--serif)"/>
          <w:sz w:val="24"/>
          <w:szCs w:val="24"/>
        </w:rPr>
        <w:t>hasta 9 puntos</w:t>
      </w:r>
      <w:r>
        <w:rPr>
          <w:rFonts w:ascii="var(--serif)" w:hAnsi="var(--serif)"/>
          <w:sz w:val="24"/>
          <w:szCs w:val="24"/>
        </w:rPr>
        <w:t>. Cuatro de las seis no requieren presupuesto y tres consisten únicamente en publicar lo que se decida. La que más cuesta —medir una vez— es también la única que hoy nadie en Chile ha hecho.</w:t>
      </w:r>
    </w:p>
    <w:p w:rsidR="00000000" w:rsidRDefault="000501AE">
      <w:pPr>
        <w:shd w:val="clear" w:color="auto" w:fill="FFFFFF"/>
        <w:spacing w:before="193" w:after="170"/>
        <w:divId w:val="1445340509"/>
        <w:rPr>
          <w:rFonts w:ascii="var(--serif)" w:eastAsia="Times New Roman" w:hAnsi="var(--serif)"/>
          <w:sz w:val="24"/>
          <w:szCs w:val="24"/>
        </w:rPr>
      </w:pPr>
      <w:r>
        <w:rPr>
          <w:rStyle w:val="rec-id1"/>
          <w:rFonts w:eastAsia="Times New Roman"/>
        </w:rPr>
        <w:t>D-1</w:t>
      </w:r>
      <w:r>
        <w:rPr>
          <w:rFonts w:ascii="var(--serif)" w:eastAsia="Times New Roman" w:hAnsi="var(--serif)"/>
          <w:sz w:val="24"/>
          <w:szCs w:val="24"/>
        </w:rPr>
        <w:t xml:space="preserve"> </w:t>
      </w:r>
      <w:r>
        <w:rPr>
          <w:rStyle w:val="rec-t1"/>
          <w:rFonts w:eastAsia="Times New Roman"/>
        </w:rPr>
        <w:t>Pub</w:t>
      </w:r>
      <w:r>
        <w:rPr>
          <w:rStyle w:val="rec-t1"/>
          <w:rFonts w:eastAsia="Times New Roman"/>
        </w:rPr>
        <w:t>licar el instrumento que crea la unidad, con denominación estable y dependencia orgánica.</w:t>
      </w:r>
    </w:p>
    <w:p w:rsidR="00000000" w:rsidRDefault="000501AE">
      <w:pPr>
        <w:shd w:val="clear" w:color="auto" w:fill="FFFFFF"/>
        <w:divId w:val="1971275631"/>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0501AE">
      <w:pPr>
        <w:shd w:val="clear" w:color="auto" w:fill="FFFFFF"/>
        <w:divId w:val="183978253"/>
        <w:rPr>
          <w:rFonts w:ascii="var(--serif)" w:eastAsia="Times New Roman" w:hAnsi="var(--serif)"/>
          <w:sz w:val="22"/>
          <w:szCs w:val="22"/>
        </w:rPr>
      </w:pPr>
      <w:r>
        <w:rPr>
          <w:rFonts w:ascii="var(--serif)" w:eastAsia="Times New Roman" w:hAnsi="var(--serif)"/>
          <w:sz w:val="22"/>
          <w:szCs w:val="22"/>
        </w:rPr>
        <w:t>La única mención a su origen es una afirmación de continuidad desde 2020 sin instrumento citado. La unidad aparece con cuatro denominaciones distintas en fu</w:t>
      </w:r>
      <w:r>
        <w:rPr>
          <w:rFonts w:ascii="var(--serif)" w:eastAsia="Times New Roman" w:hAnsi="var(--serif)"/>
          <w:sz w:val="22"/>
          <w:szCs w:val="22"/>
        </w:rPr>
        <w:t>entes de la propia universidad y ha tenido tres directores sin acto publicado en ninguna transición.</w:t>
      </w:r>
    </w:p>
    <w:p w:rsidR="00000000" w:rsidRDefault="000501AE">
      <w:pPr>
        <w:shd w:val="clear" w:color="auto" w:fill="FFFFFF"/>
        <w:divId w:val="576137487"/>
        <w:rPr>
          <w:rFonts w:ascii="var(--sans)" w:eastAsia="Times New Roman" w:hAnsi="var(--sans)"/>
          <w:caps/>
          <w:spacing w:val="24"/>
          <w:sz w:val="17"/>
          <w:szCs w:val="17"/>
        </w:rPr>
      </w:pPr>
      <w:r>
        <w:rPr>
          <w:rFonts w:ascii="var(--sans)" w:eastAsia="Times New Roman" w:hAnsi="var(--sans)"/>
          <w:caps/>
          <w:spacing w:val="24"/>
          <w:sz w:val="17"/>
          <w:szCs w:val="17"/>
        </w:rPr>
        <w:t>Referente</w:t>
      </w:r>
    </w:p>
    <w:p w:rsidR="00000000" w:rsidRDefault="000501AE">
      <w:pPr>
        <w:shd w:val="clear" w:color="auto" w:fill="FFFFFF"/>
        <w:divId w:val="977687173"/>
        <w:rPr>
          <w:rFonts w:ascii="var(--serif)" w:eastAsia="Times New Roman" w:hAnsi="var(--serif)"/>
          <w:sz w:val="22"/>
          <w:szCs w:val="22"/>
        </w:rPr>
      </w:pPr>
      <w:r>
        <w:rPr>
          <w:rFonts w:ascii="var(--serif)" w:eastAsia="Times New Roman" w:hAnsi="var(--serif)"/>
          <w:sz w:val="22"/>
          <w:szCs w:val="22"/>
        </w:rPr>
        <w:t>La Facultad de Derecho de la Universidad Católica publica su Departamento de Derecho y Tecnología en la estructura orgánica, con director y depen</w:t>
      </w:r>
      <w:r>
        <w:rPr>
          <w:rFonts w:ascii="var(--serif)" w:eastAsia="Times New Roman" w:hAnsi="var(--serif)"/>
          <w:sz w:val="22"/>
          <w:szCs w:val="22"/>
        </w:rPr>
        <w:t>dencia.</w:t>
      </w:r>
    </w:p>
    <w:p w:rsidR="00000000" w:rsidRDefault="000501AE">
      <w:pPr>
        <w:shd w:val="clear" w:color="auto" w:fill="FFFFFF"/>
        <w:divId w:val="1522938035"/>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0501AE">
      <w:pPr>
        <w:shd w:val="clear" w:color="auto" w:fill="FFFFFF"/>
        <w:divId w:val="1815684364"/>
        <w:rPr>
          <w:rFonts w:ascii="var(--serif)" w:eastAsia="Times New Roman" w:hAnsi="var(--serif)"/>
          <w:sz w:val="22"/>
          <w:szCs w:val="22"/>
        </w:rPr>
      </w:pPr>
      <w:r>
        <w:rPr>
          <w:rFonts w:ascii="var(--serif)" w:eastAsia="Times New Roman" w:hAnsi="var(--serif)"/>
          <w:sz w:val="22"/>
          <w:szCs w:val="22"/>
        </w:rPr>
        <w:t>Documento con número y fecha accesible desde el sitio de la Facultad, y unidad listada en el organigrama publicado.</w:t>
      </w:r>
    </w:p>
    <w:p w:rsidR="00000000" w:rsidRDefault="000501AE">
      <w:pPr>
        <w:shd w:val="clear" w:color="auto" w:fill="FFFFFF"/>
        <w:divId w:val="1648243064"/>
        <w:rPr>
          <w:rFonts w:ascii="var(--sans)" w:eastAsia="Times New Roman" w:hAnsi="var(--sans)"/>
          <w:caps/>
          <w:spacing w:val="24"/>
          <w:sz w:val="17"/>
          <w:szCs w:val="17"/>
        </w:rPr>
      </w:pPr>
      <w:r>
        <w:rPr>
          <w:rFonts w:ascii="var(--sans)" w:eastAsia="Times New Roman" w:hAnsi="var(--sans)"/>
          <w:caps/>
          <w:spacing w:val="24"/>
          <w:sz w:val="17"/>
          <w:szCs w:val="17"/>
        </w:rPr>
        <w:t>Efecto</w:t>
      </w:r>
    </w:p>
    <w:p w:rsidR="00000000" w:rsidRDefault="000501AE">
      <w:pPr>
        <w:shd w:val="clear" w:color="auto" w:fill="FFFFFF"/>
        <w:divId w:val="1696074868"/>
        <w:rPr>
          <w:rFonts w:ascii="var(--serif)" w:eastAsia="Times New Roman" w:hAnsi="var(--serif)"/>
          <w:sz w:val="22"/>
          <w:szCs w:val="22"/>
        </w:rPr>
      </w:pPr>
      <w:r>
        <w:rPr>
          <w:rStyle w:val="Textoennegrita"/>
          <w:rFonts w:ascii="var(--serif)" w:eastAsia="Times New Roman" w:hAnsi="var(--serif)"/>
          <w:sz w:val="22"/>
          <w:szCs w:val="22"/>
        </w:rPr>
        <w:t>+1 punto en unidad especializada. Cierra la brecha más citada del informe y la más barata de todas.</w:t>
      </w:r>
    </w:p>
    <w:p w:rsidR="00000000" w:rsidRDefault="000501AE">
      <w:pPr>
        <w:shd w:val="clear" w:color="auto" w:fill="FFFFFF"/>
        <w:divId w:val="1002930129"/>
        <w:rPr>
          <w:rFonts w:ascii="var(--sans)" w:eastAsia="Times New Roman" w:hAnsi="var(--sans)"/>
          <w:caps/>
          <w:spacing w:val="24"/>
          <w:sz w:val="17"/>
          <w:szCs w:val="17"/>
        </w:rPr>
      </w:pPr>
      <w:r>
        <w:rPr>
          <w:rFonts w:ascii="var(--sans)" w:eastAsia="Times New Roman" w:hAnsi="var(--sans)"/>
          <w:caps/>
          <w:spacing w:val="24"/>
          <w:sz w:val="17"/>
          <w:szCs w:val="17"/>
        </w:rPr>
        <w:t>Plazo</w:t>
      </w:r>
    </w:p>
    <w:p w:rsidR="00000000" w:rsidRDefault="000501AE">
      <w:pPr>
        <w:shd w:val="clear" w:color="auto" w:fill="FFFFFF"/>
        <w:spacing w:after="193"/>
        <w:divId w:val="436409395"/>
        <w:rPr>
          <w:rFonts w:ascii="var(--serif)" w:eastAsia="Times New Roman" w:hAnsi="var(--serif)"/>
          <w:sz w:val="22"/>
          <w:szCs w:val="22"/>
        </w:rPr>
      </w:pPr>
      <w:r>
        <w:rPr>
          <w:rFonts w:ascii="var(--serif)" w:eastAsia="Times New Roman" w:hAnsi="var(--serif)"/>
          <w:sz w:val="22"/>
          <w:szCs w:val="22"/>
        </w:rPr>
        <w:t xml:space="preserve">Semanas. </w:t>
      </w:r>
      <w:r>
        <w:rPr>
          <w:rFonts w:ascii="var(--serif)" w:eastAsia="Times New Roman" w:hAnsi="var(--serif)"/>
          <w:sz w:val="22"/>
          <w:szCs w:val="22"/>
        </w:rPr>
        <w:t>No requiere presupuesto.</w:t>
      </w:r>
    </w:p>
    <w:p w:rsidR="00000000" w:rsidRDefault="000501AE">
      <w:pPr>
        <w:shd w:val="clear" w:color="auto" w:fill="FFFFFF"/>
        <w:spacing w:before="193" w:after="170"/>
        <w:divId w:val="1632859334"/>
        <w:rPr>
          <w:rFonts w:ascii="var(--serif)" w:eastAsia="Times New Roman" w:hAnsi="var(--serif)"/>
          <w:sz w:val="24"/>
          <w:szCs w:val="24"/>
        </w:rPr>
      </w:pPr>
      <w:r>
        <w:rPr>
          <w:rStyle w:val="rec-id1"/>
          <w:rFonts w:eastAsia="Times New Roman"/>
        </w:rPr>
        <w:t>D-2</w:t>
      </w:r>
      <w:r>
        <w:rPr>
          <w:rFonts w:ascii="var(--serif)" w:eastAsia="Times New Roman" w:hAnsi="var(--serif)"/>
          <w:sz w:val="24"/>
          <w:szCs w:val="24"/>
        </w:rPr>
        <w:t xml:space="preserve"> </w:t>
      </w:r>
      <w:r>
        <w:rPr>
          <w:rStyle w:val="rec-t1"/>
          <w:rFonts w:eastAsia="Times New Roman"/>
        </w:rPr>
        <w:t>Dictar una norma de Facultad sobre uso de IA generativa en trabajos y evaluaciones, con órgano aprobador identificado.</w:t>
      </w:r>
    </w:p>
    <w:p w:rsidR="00000000" w:rsidRDefault="000501AE">
      <w:pPr>
        <w:shd w:val="clear" w:color="auto" w:fill="FFFFFF"/>
        <w:divId w:val="9181003"/>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0501AE">
      <w:pPr>
        <w:shd w:val="clear" w:color="auto" w:fill="FFFFFF"/>
        <w:divId w:val="832337467"/>
        <w:rPr>
          <w:rFonts w:ascii="var(--serif)" w:eastAsia="Times New Roman" w:hAnsi="var(--serif)"/>
          <w:sz w:val="22"/>
          <w:szCs w:val="22"/>
        </w:rPr>
      </w:pPr>
      <w:r>
        <w:rPr>
          <w:rFonts w:ascii="var(--serif)" w:eastAsia="Times New Roman" w:hAnsi="var(--serif)"/>
          <w:sz w:val="22"/>
          <w:szCs w:val="22"/>
        </w:rPr>
        <w:t>El decálogo disponible es universitario, sugiere recomendaciones, no obliga, no tipifica, no estab</w:t>
      </w:r>
      <w:r>
        <w:rPr>
          <w:rFonts w:ascii="var(--serif)" w:eastAsia="Times New Roman" w:hAnsi="var(--serif)"/>
          <w:sz w:val="22"/>
          <w:szCs w:val="22"/>
        </w:rPr>
        <w:t>lece consecuencia y no consta aprobado por decreto ni resolución.</w:t>
      </w:r>
    </w:p>
    <w:p w:rsidR="00000000" w:rsidRDefault="000501AE">
      <w:pPr>
        <w:shd w:val="clear" w:color="auto" w:fill="FFFFFF"/>
        <w:divId w:val="1585341445"/>
        <w:rPr>
          <w:rFonts w:ascii="var(--sans)" w:eastAsia="Times New Roman" w:hAnsi="var(--sans)"/>
          <w:caps/>
          <w:spacing w:val="24"/>
          <w:sz w:val="17"/>
          <w:szCs w:val="17"/>
        </w:rPr>
      </w:pPr>
      <w:r>
        <w:rPr>
          <w:rFonts w:ascii="var(--sans)" w:eastAsia="Times New Roman" w:hAnsi="var(--sans)"/>
          <w:caps/>
          <w:spacing w:val="24"/>
          <w:sz w:val="17"/>
          <w:szCs w:val="17"/>
        </w:rPr>
        <w:t>Referente</w:t>
      </w:r>
    </w:p>
    <w:p w:rsidR="00000000" w:rsidRDefault="000501AE">
      <w:pPr>
        <w:shd w:val="clear" w:color="auto" w:fill="FFFFFF"/>
        <w:divId w:val="913778577"/>
        <w:rPr>
          <w:rFonts w:ascii="var(--serif)" w:eastAsia="Times New Roman" w:hAnsi="var(--serif)"/>
          <w:sz w:val="22"/>
          <w:szCs w:val="22"/>
        </w:rPr>
      </w:pPr>
      <w:r>
        <w:rPr>
          <w:rFonts w:ascii="var(--serif)" w:eastAsia="Times New Roman" w:hAnsi="var(--serif)"/>
          <w:sz w:val="22"/>
          <w:szCs w:val="22"/>
        </w:rPr>
        <w:t xml:space="preserve">La guía de Derecho UC, aprobada por Comité Directivo y Consejo, impone deberes de declaración y registro y califica su incumplimiento como infracción grave. Internacionalmente, Berkeley aporta un mecanismo transferible: la cita a fuente inexistente genera </w:t>
      </w:r>
      <w:r>
        <w:rPr>
          <w:rFonts w:ascii="var(--serif)" w:eastAsia="Times New Roman" w:hAnsi="var(--serif)"/>
          <w:sz w:val="22"/>
          <w:szCs w:val="22"/>
        </w:rPr>
        <w:t>presunción de uso prohibido, sin necesidad de tipificar conductas.</w:t>
      </w:r>
    </w:p>
    <w:p w:rsidR="00000000" w:rsidRDefault="000501AE">
      <w:pPr>
        <w:shd w:val="clear" w:color="auto" w:fill="FFFFFF"/>
        <w:divId w:val="198399312"/>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0501AE">
      <w:pPr>
        <w:shd w:val="clear" w:color="auto" w:fill="FFFFFF"/>
        <w:divId w:val="140582642"/>
        <w:rPr>
          <w:rFonts w:ascii="var(--serif)" w:eastAsia="Times New Roman" w:hAnsi="var(--serif)"/>
          <w:sz w:val="22"/>
          <w:szCs w:val="22"/>
        </w:rPr>
      </w:pPr>
      <w:r>
        <w:rPr>
          <w:rFonts w:ascii="var(--serif)" w:eastAsia="Times New Roman" w:hAnsi="var(--serif)"/>
          <w:sz w:val="22"/>
          <w:szCs w:val="22"/>
        </w:rPr>
        <w:t>Instrumento aprobado, publicado y fechado, con deberes exigibles y régimen de consecuencias.</w:t>
      </w:r>
    </w:p>
    <w:p w:rsidR="00000000" w:rsidRDefault="000501AE">
      <w:pPr>
        <w:shd w:val="clear" w:color="auto" w:fill="FFFFFF"/>
        <w:divId w:val="1130512769"/>
        <w:rPr>
          <w:rFonts w:ascii="var(--sans)" w:eastAsia="Times New Roman" w:hAnsi="var(--sans)"/>
          <w:caps/>
          <w:spacing w:val="24"/>
          <w:sz w:val="17"/>
          <w:szCs w:val="17"/>
        </w:rPr>
      </w:pPr>
      <w:r>
        <w:rPr>
          <w:rFonts w:ascii="var(--sans)" w:eastAsia="Times New Roman" w:hAnsi="var(--sans)"/>
          <w:caps/>
          <w:spacing w:val="24"/>
          <w:sz w:val="17"/>
          <w:szCs w:val="17"/>
        </w:rPr>
        <w:t>Efecto</w:t>
      </w:r>
    </w:p>
    <w:p w:rsidR="00000000" w:rsidRDefault="000501AE">
      <w:pPr>
        <w:shd w:val="clear" w:color="auto" w:fill="FFFFFF"/>
        <w:divId w:val="430931371"/>
        <w:rPr>
          <w:rFonts w:ascii="var(--serif)" w:eastAsia="Times New Roman" w:hAnsi="var(--serif)"/>
          <w:sz w:val="22"/>
          <w:szCs w:val="22"/>
        </w:rPr>
      </w:pPr>
      <w:r>
        <w:rPr>
          <w:rStyle w:val="Textoennegrita"/>
          <w:rFonts w:ascii="var(--serif)" w:eastAsia="Times New Roman" w:hAnsi="var(--serif)"/>
          <w:sz w:val="22"/>
          <w:szCs w:val="22"/>
        </w:rPr>
        <w:t>+2 puntos en norma propia. Es la capacidad donde la cohorte entera está más vac</w:t>
      </w:r>
      <w:r>
        <w:rPr>
          <w:rStyle w:val="Textoennegrita"/>
          <w:rFonts w:ascii="var(--serif)" w:eastAsia="Times New Roman" w:hAnsi="var(--serif)"/>
          <w:sz w:val="22"/>
          <w:szCs w:val="22"/>
        </w:rPr>
        <w:t>ía: diez de once no la tienen.</w:t>
      </w:r>
    </w:p>
    <w:p w:rsidR="00000000" w:rsidRDefault="000501AE">
      <w:pPr>
        <w:shd w:val="clear" w:color="auto" w:fill="FFFFFF"/>
        <w:divId w:val="804663756"/>
        <w:rPr>
          <w:rFonts w:ascii="var(--sans)" w:eastAsia="Times New Roman" w:hAnsi="var(--sans)"/>
          <w:caps/>
          <w:spacing w:val="24"/>
          <w:sz w:val="17"/>
          <w:szCs w:val="17"/>
        </w:rPr>
      </w:pPr>
      <w:r>
        <w:rPr>
          <w:rFonts w:ascii="var(--sans)" w:eastAsia="Times New Roman" w:hAnsi="var(--sans)"/>
          <w:caps/>
          <w:spacing w:val="24"/>
          <w:sz w:val="17"/>
          <w:szCs w:val="17"/>
        </w:rPr>
        <w:t>Plazo</w:t>
      </w:r>
    </w:p>
    <w:p w:rsidR="00000000" w:rsidRDefault="000501AE">
      <w:pPr>
        <w:shd w:val="clear" w:color="auto" w:fill="FFFFFF"/>
        <w:spacing w:after="193"/>
        <w:divId w:val="1700620221"/>
        <w:rPr>
          <w:rFonts w:ascii="var(--serif)" w:eastAsia="Times New Roman" w:hAnsi="var(--serif)"/>
          <w:sz w:val="22"/>
          <w:szCs w:val="22"/>
        </w:rPr>
      </w:pPr>
      <w:r>
        <w:rPr>
          <w:rFonts w:ascii="var(--serif)" w:eastAsia="Times New Roman" w:hAnsi="var(--serif)"/>
          <w:sz w:val="22"/>
          <w:szCs w:val="22"/>
        </w:rPr>
        <w:t>Un semestre. Coste: el tiempo de los órganos que la aprueben.</w:t>
      </w:r>
    </w:p>
    <w:p w:rsidR="00000000" w:rsidRDefault="000501AE">
      <w:pPr>
        <w:shd w:val="clear" w:color="auto" w:fill="FFFFFF"/>
        <w:spacing w:before="193" w:after="170"/>
        <w:divId w:val="1957591405"/>
        <w:rPr>
          <w:rFonts w:ascii="var(--serif)" w:eastAsia="Times New Roman" w:hAnsi="var(--serif)"/>
          <w:sz w:val="24"/>
          <w:szCs w:val="24"/>
        </w:rPr>
      </w:pPr>
      <w:r>
        <w:rPr>
          <w:rStyle w:val="rec-id1"/>
          <w:rFonts w:eastAsia="Times New Roman"/>
        </w:rPr>
        <w:t>D-3</w:t>
      </w:r>
      <w:r>
        <w:rPr>
          <w:rFonts w:ascii="var(--serif)" w:eastAsia="Times New Roman" w:hAnsi="var(--serif)"/>
          <w:sz w:val="24"/>
          <w:szCs w:val="24"/>
        </w:rPr>
        <w:t xml:space="preserve"> </w:t>
      </w:r>
      <w:r>
        <w:rPr>
          <w:rStyle w:val="rec-t1"/>
          <w:rFonts w:eastAsia="Times New Roman"/>
        </w:rPr>
        <w:t>Convertir la experiencia de aula en una asignatura con código, créditos y matrícula, o en una certificación declarada.</w:t>
      </w:r>
    </w:p>
    <w:p w:rsidR="00000000" w:rsidRDefault="000501AE">
      <w:pPr>
        <w:shd w:val="clear" w:color="auto" w:fill="FFFFFF"/>
        <w:divId w:val="63383543"/>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0501AE">
      <w:pPr>
        <w:shd w:val="clear" w:color="auto" w:fill="FFFFFF"/>
        <w:divId w:val="857308962"/>
        <w:rPr>
          <w:rFonts w:ascii="var(--serif)" w:eastAsia="Times New Roman" w:hAnsi="var(--serif)"/>
          <w:sz w:val="22"/>
          <w:szCs w:val="22"/>
        </w:rPr>
      </w:pPr>
      <w:r>
        <w:rPr>
          <w:rFonts w:ascii="var(--serif)" w:eastAsia="Times New Roman" w:hAnsi="var(--serif)"/>
          <w:sz w:val="22"/>
          <w:szCs w:val="22"/>
        </w:rPr>
        <w:t xml:space="preserve">La integración de IA en </w:t>
      </w:r>
      <w:r>
        <w:rPr>
          <w:rFonts w:ascii="var(--serif)" w:eastAsia="Times New Roman" w:hAnsi="var(--serif)"/>
          <w:sz w:val="22"/>
          <w:szCs w:val="22"/>
        </w:rPr>
        <w:t>Filosofía del Derecho se apoya en una fuente única de 2024, sin matrícula, semestre ni evaluación, y sin prueba pública de continuidad. La malla vigente, verificada en sus diez semestres, no contiene ninguna asignatura de IA ni de tecnología jurídica.</w:t>
      </w:r>
    </w:p>
    <w:p w:rsidR="00000000" w:rsidRDefault="000501AE">
      <w:pPr>
        <w:shd w:val="clear" w:color="auto" w:fill="FFFFFF"/>
        <w:divId w:val="1605914513"/>
        <w:rPr>
          <w:rFonts w:ascii="var(--sans)" w:eastAsia="Times New Roman" w:hAnsi="var(--sans)"/>
          <w:caps/>
          <w:spacing w:val="24"/>
          <w:sz w:val="17"/>
          <w:szCs w:val="17"/>
        </w:rPr>
      </w:pPr>
      <w:r>
        <w:rPr>
          <w:rFonts w:ascii="var(--sans)" w:eastAsia="Times New Roman" w:hAnsi="var(--sans)"/>
          <w:caps/>
          <w:spacing w:val="24"/>
          <w:sz w:val="17"/>
          <w:szCs w:val="17"/>
        </w:rPr>
        <w:t>Refe</w:t>
      </w:r>
      <w:r>
        <w:rPr>
          <w:rFonts w:ascii="var(--sans)" w:eastAsia="Times New Roman" w:hAnsi="var(--sans)"/>
          <w:caps/>
          <w:spacing w:val="24"/>
          <w:sz w:val="17"/>
          <w:szCs w:val="17"/>
        </w:rPr>
        <w:t>rente</w:t>
      </w:r>
    </w:p>
    <w:p w:rsidR="00000000" w:rsidRDefault="000501AE">
      <w:pPr>
        <w:shd w:val="clear" w:color="auto" w:fill="FFFFFF"/>
        <w:divId w:val="538324785"/>
        <w:rPr>
          <w:rFonts w:ascii="var(--serif)" w:eastAsia="Times New Roman" w:hAnsi="var(--serif)"/>
          <w:sz w:val="22"/>
          <w:szCs w:val="22"/>
        </w:rPr>
      </w:pPr>
      <w:r>
        <w:rPr>
          <w:rFonts w:ascii="var(--serif)" w:eastAsia="Times New Roman" w:hAnsi="var(--serif)"/>
          <w:sz w:val="22"/>
          <w:szCs w:val="22"/>
        </w:rPr>
        <w:t>Ninguna Facultad de la cohorte lo ha hecho, y en el mundo sólo tres. Dos de las tres eligieron la certificación sin créditos precisamente para no abrir la reforma curricular: es el camino corto y está disponible.</w:t>
      </w:r>
    </w:p>
    <w:p w:rsidR="00000000" w:rsidRDefault="000501AE">
      <w:pPr>
        <w:shd w:val="clear" w:color="auto" w:fill="FFFFFF"/>
        <w:divId w:val="85004274"/>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0501AE">
      <w:pPr>
        <w:shd w:val="clear" w:color="auto" w:fill="FFFFFF"/>
        <w:divId w:val="1275866872"/>
        <w:rPr>
          <w:rFonts w:ascii="var(--serif)" w:eastAsia="Times New Roman" w:hAnsi="var(--serif)"/>
          <w:sz w:val="22"/>
          <w:szCs w:val="22"/>
        </w:rPr>
      </w:pPr>
      <w:r>
        <w:rPr>
          <w:rFonts w:ascii="var(--serif)" w:eastAsia="Times New Roman" w:hAnsi="var(--serif)"/>
          <w:sz w:val="22"/>
          <w:szCs w:val="22"/>
        </w:rPr>
        <w:t>Código de asignatura con cr</w:t>
      </w:r>
      <w:r>
        <w:rPr>
          <w:rFonts w:ascii="var(--serif)" w:eastAsia="Times New Roman" w:hAnsi="var(--serif)"/>
          <w:sz w:val="22"/>
          <w:szCs w:val="22"/>
        </w:rPr>
        <w:t>éditos y semestre publicado, o certificación con programa, horas y registro de participantes.</w:t>
      </w:r>
    </w:p>
    <w:p w:rsidR="00000000" w:rsidRDefault="000501AE">
      <w:pPr>
        <w:shd w:val="clear" w:color="auto" w:fill="FFFFFF"/>
        <w:divId w:val="1847859113"/>
        <w:rPr>
          <w:rFonts w:ascii="var(--sans)" w:eastAsia="Times New Roman" w:hAnsi="var(--sans)"/>
          <w:caps/>
          <w:spacing w:val="24"/>
          <w:sz w:val="17"/>
          <w:szCs w:val="17"/>
        </w:rPr>
      </w:pPr>
      <w:r>
        <w:rPr>
          <w:rFonts w:ascii="var(--sans)" w:eastAsia="Times New Roman" w:hAnsi="var(--sans)"/>
          <w:caps/>
          <w:spacing w:val="24"/>
          <w:sz w:val="17"/>
          <w:szCs w:val="17"/>
        </w:rPr>
        <w:t>Efecto</w:t>
      </w:r>
    </w:p>
    <w:p w:rsidR="00000000" w:rsidRDefault="000501AE">
      <w:pPr>
        <w:shd w:val="clear" w:color="auto" w:fill="FFFFFF"/>
        <w:divId w:val="1114863251"/>
        <w:rPr>
          <w:rFonts w:ascii="var(--serif)" w:eastAsia="Times New Roman" w:hAnsi="var(--serif)"/>
          <w:sz w:val="22"/>
          <w:szCs w:val="22"/>
        </w:rPr>
      </w:pPr>
      <w:r>
        <w:rPr>
          <w:rStyle w:val="Textoennegrita"/>
          <w:rFonts w:ascii="var(--serif)" w:eastAsia="Times New Roman" w:hAnsi="var(--serif)"/>
          <w:sz w:val="22"/>
          <w:szCs w:val="22"/>
        </w:rPr>
        <w:t>+1 a +2 puntos en presencia en pregrado. Situaría a la Facultad entre las primeras del mundo si se opta por la asignatura con créditos.</w:t>
      </w:r>
    </w:p>
    <w:p w:rsidR="00000000" w:rsidRDefault="000501AE">
      <w:pPr>
        <w:shd w:val="clear" w:color="auto" w:fill="FFFFFF"/>
        <w:divId w:val="440220709"/>
        <w:rPr>
          <w:rFonts w:ascii="var(--sans)" w:eastAsia="Times New Roman" w:hAnsi="var(--sans)"/>
          <w:caps/>
          <w:spacing w:val="24"/>
          <w:sz w:val="17"/>
          <w:szCs w:val="17"/>
        </w:rPr>
      </w:pPr>
      <w:r>
        <w:rPr>
          <w:rFonts w:ascii="var(--sans)" w:eastAsia="Times New Roman" w:hAnsi="var(--sans)"/>
          <w:caps/>
          <w:spacing w:val="24"/>
          <w:sz w:val="17"/>
          <w:szCs w:val="17"/>
        </w:rPr>
        <w:t>Plazo</w:t>
      </w:r>
    </w:p>
    <w:p w:rsidR="00000000" w:rsidRDefault="000501AE">
      <w:pPr>
        <w:shd w:val="clear" w:color="auto" w:fill="FFFFFF"/>
        <w:spacing w:after="193"/>
        <w:divId w:val="1969816858"/>
        <w:rPr>
          <w:rFonts w:ascii="var(--serif)" w:eastAsia="Times New Roman" w:hAnsi="var(--serif)"/>
          <w:sz w:val="22"/>
          <w:szCs w:val="22"/>
        </w:rPr>
      </w:pPr>
      <w:r>
        <w:rPr>
          <w:rFonts w:ascii="var(--serif)" w:eastAsia="Times New Roman" w:hAnsi="var(--serif)"/>
          <w:sz w:val="22"/>
          <w:szCs w:val="22"/>
        </w:rPr>
        <w:t>Uno a dos año</w:t>
      </w:r>
      <w:r>
        <w:rPr>
          <w:rFonts w:ascii="var(--serif)" w:eastAsia="Times New Roman" w:hAnsi="var(--serif)"/>
          <w:sz w:val="22"/>
          <w:szCs w:val="22"/>
        </w:rPr>
        <w:t>s por la vía curricular; un semestre por la vía de la certificación.</w:t>
      </w:r>
    </w:p>
    <w:p w:rsidR="00000000" w:rsidRDefault="000501AE">
      <w:pPr>
        <w:shd w:val="clear" w:color="auto" w:fill="FFFFFF"/>
        <w:spacing w:before="193" w:after="170"/>
        <w:divId w:val="1890916270"/>
        <w:rPr>
          <w:rFonts w:ascii="var(--serif)" w:eastAsia="Times New Roman" w:hAnsi="var(--serif)"/>
          <w:sz w:val="24"/>
          <w:szCs w:val="24"/>
        </w:rPr>
      </w:pPr>
      <w:r>
        <w:rPr>
          <w:rStyle w:val="rec-id1"/>
          <w:rFonts w:eastAsia="Times New Roman"/>
        </w:rPr>
        <w:t>D-4</w:t>
      </w:r>
      <w:r>
        <w:rPr>
          <w:rFonts w:ascii="var(--serif)" w:eastAsia="Times New Roman" w:hAnsi="var(--serif)"/>
          <w:sz w:val="24"/>
          <w:szCs w:val="24"/>
        </w:rPr>
        <w:t xml:space="preserve"> </w:t>
      </w:r>
      <w:r>
        <w:rPr>
          <w:rStyle w:val="rec-t1"/>
          <w:rFonts w:eastAsia="Times New Roman"/>
        </w:rPr>
        <w:t>Declarar el alcance real de lo que ya se ejecuta, separando lo interno de lo externo.</w:t>
      </w:r>
    </w:p>
    <w:p w:rsidR="00000000" w:rsidRDefault="000501AE">
      <w:pPr>
        <w:shd w:val="clear" w:color="auto" w:fill="FFFFFF"/>
        <w:divId w:val="2098011953"/>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0501AE">
      <w:pPr>
        <w:shd w:val="clear" w:color="auto" w:fill="FFFFFF"/>
        <w:divId w:val="424573258"/>
        <w:rPr>
          <w:rFonts w:ascii="var(--serif)" w:eastAsia="Times New Roman" w:hAnsi="var(--serif)"/>
          <w:sz w:val="22"/>
          <w:szCs w:val="22"/>
        </w:rPr>
      </w:pPr>
      <w:r>
        <w:rPr>
          <w:rFonts w:ascii="var(--serif)" w:eastAsia="Times New Roman" w:hAnsi="var(--serif)"/>
          <w:sz w:val="22"/>
          <w:szCs w:val="22"/>
        </w:rPr>
        <w:t>Las cifras publicadas —cerca de noventa participantes en un taller, alrededor de cien e</w:t>
      </w:r>
      <w:r>
        <w:rPr>
          <w:rFonts w:ascii="var(--serif)" w:eastAsia="Times New Roman" w:hAnsi="var(--serif)"/>
          <w:sz w:val="22"/>
          <w:szCs w:val="22"/>
        </w:rPr>
        <w:t>n una actividad conjunta— corresponden a públicos mixtos de varias universidades, egresados y profesionales. No hay ninguna cifra de penetración interna. La edición 2025 del certamen no publicó nota de resultados.</w:t>
      </w:r>
    </w:p>
    <w:p w:rsidR="00000000" w:rsidRDefault="000501AE">
      <w:pPr>
        <w:shd w:val="clear" w:color="auto" w:fill="FFFFFF"/>
        <w:divId w:val="1017578101"/>
        <w:rPr>
          <w:rFonts w:ascii="var(--sans)" w:eastAsia="Times New Roman" w:hAnsi="var(--sans)"/>
          <w:caps/>
          <w:spacing w:val="24"/>
          <w:sz w:val="17"/>
          <w:szCs w:val="17"/>
        </w:rPr>
      </w:pPr>
      <w:r>
        <w:rPr>
          <w:rFonts w:ascii="var(--sans)" w:eastAsia="Times New Roman" w:hAnsi="var(--sans)"/>
          <w:caps/>
          <w:spacing w:val="24"/>
          <w:sz w:val="17"/>
          <w:szCs w:val="17"/>
        </w:rPr>
        <w:t>Referente</w:t>
      </w:r>
    </w:p>
    <w:p w:rsidR="00000000" w:rsidRDefault="000501AE">
      <w:pPr>
        <w:shd w:val="clear" w:color="auto" w:fill="FFFFFF"/>
        <w:divId w:val="1180970858"/>
        <w:rPr>
          <w:rFonts w:ascii="var(--serif)" w:eastAsia="Times New Roman" w:hAnsi="var(--serif)"/>
          <w:sz w:val="22"/>
          <w:szCs w:val="22"/>
        </w:rPr>
      </w:pPr>
      <w:r>
        <w:rPr>
          <w:rFonts w:ascii="var(--serif)" w:eastAsia="Times New Roman" w:hAnsi="var(--serif)"/>
          <w:sz w:val="22"/>
          <w:szCs w:val="22"/>
        </w:rPr>
        <w:t>La Universidad Autónoma publica una cobertura declarada de su propio cuerpo docente. La Universidad Católica publica sus graduaciones con número de titulados, año a año.</w:t>
      </w:r>
    </w:p>
    <w:p w:rsidR="00000000" w:rsidRDefault="000501AE">
      <w:pPr>
        <w:shd w:val="clear" w:color="auto" w:fill="FFFFFF"/>
        <w:divId w:val="437986768"/>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0501AE">
      <w:pPr>
        <w:shd w:val="clear" w:color="auto" w:fill="FFFFFF"/>
        <w:divId w:val="577517832"/>
        <w:rPr>
          <w:rFonts w:ascii="var(--serif)" w:eastAsia="Times New Roman" w:hAnsi="var(--serif)"/>
          <w:sz w:val="22"/>
          <w:szCs w:val="22"/>
        </w:rPr>
      </w:pPr>
      <w:r>
        <w:rPr>
          <w:rFonts w:ascii="var(--serif)" w:eastAsia="Times New Roman" w:hAnsi="var(--serif)"/>
          <w:sz w:val="22"/>
          <w:szCs w:val="22"/>
        </w:rPr>
        <w:t>Una serie de al menos dos años con cifras publicadas y desagregadas entre es</w:t>
      </w:r>
      <w:r>
        <w:rPr>
          <w:rFonts w:ascii="var(--serif)" w:eastAsia="Times New Roman" w:hAnsi="var(--serif)"/>
          <w:sz w:val="22"/>
          <w:szCs w:val="22"/>
        </w:rPr>
        <w:t>tudiantes de la propia Escuela y público externo.</w:t>
      </w:r>
    </w:p>
    <w:p w:rsidR="00000000" w:rsidRDefault="000501AE">
      <w:pPr>
        <w:shd w:val="clear" w:color="auto" w:fill="FFFFFF"/>
        <w:divId w:val="2006590223"/>
        <w:rPr>
          <w:rFonts w:ascii="var(--sans)" w:eastAsia="Times New Roman" w:hAnsi="var(--sans)"/>
          <w:caps/>
          <w:spacing w:val="24"/>
          <w:sz w:val="17"/>
          <w:szCs w:val="17"/>
        </w:rPr>
      </w:pPr>
      <w:r>
        <w:rPr>
          <w:rFonts w:ascii="var(--sans)" w:eastAsia="Times New Roman" w:hAnsi="var(--sans)"/>
          <w:caps/>
          <w:spacing w:val="24"/>
          <w:sz w:val="17"/>
          <w:szCs w:val="17"/>
        </w:rPr>
        <w:t>Efecto</w:t>
      </w:r>
    </w:p>
    <w:p w:rsidR="00000000" w:rsidRDefault="000501AE">
      <w:pPr>
        <w:shd w:val="clear" w:color="auto" w:fill="FFFFFF"/>
        <w:divId w:val="141700552"/>
        <w:rPr>
          <w:rFonts w:ascii="var(--serif)" w:eastAsia="Times New Roman" w:hAnsi="var(--serif)"/>
          <w:sz w:val="22"/>
          <w:szCs w:val="22"/>
        </w:rPr>
      </w:pPr>
      <w:r>
        <w:rPr>
          <w:rStyle w:val="Textoennegrita"/>
          <w:rFonts w:ascii="var(--serif)" w:eastAsia="Times New Roman" w:hAnsi="var(--serif)"/>
          <w:sz w:val="22"/>
          <w:szCs w:val="22"/>
        </w:rPr>
        <w:t>+1 punto en adopción en la enseñanza. Es puramente publicación: los datos ya existen en los registros de cada actividad.</w:t>
      </w:r>
    </w:p>
    <w:p w:rsidR="00000000" w:rsidRDefault="000501AE">
      <w:pPr>
        <w:shd w:val="clear" w:color="auto" w:fill="FFFFFF"/>
        <w:divId w:val="1509058255"/>
        <w:rPr>
          <w:rFonts w:ascii="var(--sans)" w:eastAsia="Times New Roman" w:hAnsi="var(--sans)"/>
          <w:caps/>
          <w:spacing w:val="24"/>
          <w:sz w:val="17"/>
          <w:szCs w:val="17"/>
        </w:rPr>
      </w:pPr>
      <w:r>
        <w:rPr>
          <w:rFonts w:ascii="var(--sans)" w:eastAsia="Times New Roman" w:hAnsi="var(--sans)"/>
          <w:caps/>
          <w:spacing w:val="24"/>
          <w:sz w:val="17"/>
          <w:szCs w:val="17"/>
        </w:rPr>
        <w:t>Plazo</w:t>
      </w:r>
    </w:p>
    <w:p w:rsidR="00000000" w:rsidRDefault="000501AE">
      <w:pPr>
        <w:shd w:val="clear" w:color="auto" w:fill="FFFFFF"/>
        <w:spacing w:after="193"/>
        <w:divId w:val="795827951"/>
        <w:rPr>
          <w:rFonts w:ascii="var(--serif)" w:eastAsia="Times New Roman" w:hAnsi="var(--serif)"/>
          <w:sz w:val="22"/>
          <w:szCs w:val="22"/>
        </w:rPr>
      </w:pPr>
      <w:r>
        <w:rPr>
          <w:rFonts w:ascii="var(--serif)" w:eastAsia="Times New Roman" w:hAnsi="var(--serif)"/>
          <w:sz w:val="22"/>
          <w:szCs w:val="22"/>
        </w:rPr>
        <w:t>Inmediato. No requiere presupuesto.</w:t>
      </w:r>
    </w:p>
    <w:p w:rsidR="00000000" w:rsidRDefault="000501AE">
      <w:pPr>
        <w:shd w:val="clear" w:color="auto" w:fill="FFFFFF"/>
        <w:spacing w:before="193" w:after="170"/>
        <w:divId w:val="1356030988"/>
        <w:rPr>
          <w:rFonts w:ascii="var(--serif)" w:eastAsia="Times New Roman" w:hAnsi="var(--serif)"/>
          <w:sz w:val="24"/>
          <w:szCs w:val="24"/>
        </w:rPr>
      </w:pPr>
      <w:r>
        <w:rPr>
          <w:rStyle w:val="rec-id1"/>
          <w:rFonts w:eastAsia="Times New Roman"/>
        </w:rPr>
        <w:t>D-5</w:t>
      </w:r>
      <w:r>
        <w:rPr>
          <w:rFonts w:ascii="var(--serif)" w:eastAsia="Times New Roman" w:hAnsi="var(--serif)"/>
          <w:sz w:val="24"/>
          <w:szCs w:val="24"/>
        </w:rPr>
        <w:t xml:space="preserve"> </w:t>
      </w:r>
      <w:r>
        <w:rPr>
          <w:rStyle w:val="rec-t1"/>
          <w:rFonts w:eastAsia="Times New Roman"/>
        </w:rPr>
        <w:t>Medir, una sola vez, el efecto de una sola actividad sobre una competencia acotada.</w:t>
      </w:r>
    </w:p>
    <w:p w:rsidR="00000000" w:rsidRDefault="000501AE">
      <w:pPr>
        <w:shd w:val="clear" w:color="auto" w:fill="FFFFFF"/>
        <w:divId w:val="1239097503"/>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0501AE">
      <w:pPr>
        <w:shd w:val="clear" w:color="auto" w:fill="FFFFFF"/>
        <w:divId w:val="1924296953"/>
        <w:rPr>
          <w:rFonts w:ascii="var(--serif)" w:eastAsia="Times New Roman" w:hAnsi="var(--serif)"/>
          <w:sz w:val="22"/>
          <w:szCs w:val="22"/>
        </w:rPr>
      </w:pPr>
      <w:r>
        <w:rPr>
          <w:rFonts w:ascii="var(--serif)" w:eastAsia="Times New Roman" w:hAnsi="var(--serif)"/>
          <w:sz w:val="22"/>
          <w:szCs w:val="22"/>
        </w:rPr>
        <w:t>ScribeClaroPUCV está desplegada, tiene registro de propiedad intelectual, tiene reconocimiento de la Corte Suprema y no publica cuántas personas la usan ni con qu</w:t>
      </w:r>
      <w:r>
        <w:rPr>
          <w:rFonts w:ascii="var(--serif)" w:eastAsia="Times New Roman" w:hAnsi="var(--serif)"/>
          <w:sz w:val="22"/>
          <w:szCs w:val="22"/>
        </w:rPr>
        <w:t>é resultado. Ninguna iniciativa de la cohorte alcanza el peldaño de evaluación.</w:t>
      </w:r>
    </w:p>
    <w:p w:rsidR="00000000" w:rsidRDefault="000501AE">
      <w:pPr>
        <w:shd w:val="clear" w:color="auto" w:fill="FFFFFF"/>
        <w:divId w:val="932006104"/>
        <w:rPr>
          <w:rFonts w:ascii="var(--sans)" w:eastAsia="Times New Roman" w:hAnsi="var(--sans)"/>
          <w:caps/>
          <w:spacing w:val="24"/>
          <w:sz w:val="17"/>
          <w:szCs w:val="17"/>
        </w:rPr>
      </w:pPr>
      <w:r>
        <w:rPr>
          <w:rFonts w:ascii="var(--sans)" w:eastAsia="Times New Roman" w:hAnsi="var(--sans)"/>
          <w:caps/>
          <w:spacing w:val="24"/>
          <w:sz w:val="17"/>
          <w:szCs w:val="17"/>
        </w:rPr>
        <w:t>Referente</w:t>
      </w:r>
    </w:p>
    <w:p w:rsidR="00000000" w:rsidRDefault="000501AE">
      <w:pPr>
        <w:shd w:val="clear" w:color="auto" w:fill="FFFFFF"/>
        <w:divId w:val="499467920"/>
        <w:rPr>
          <w:rFonts w:ascii="var(--serif)" w:eastAsia="Times New Roman" w:hAnsi="var(--serif)"/>
          <w:sz w:val="22"/>
          <w:szCs w:val="22"/>
        </w:rPr>
      </w:pPr>
      <w:r>
        <w:rPr>
          <w:rFonts w:ascii="var(--serif)" w:eastAsia="Times New Roman" w:hAnsi="var(--serif)"/>
          <w:sz w:val="22"/>
          <w:szCs w:val="22"/>
        </w:rPr>
        <w:t>En ninguna de las otras diez. Y en el mundo, del orden de tres a cuatro estudios experimentales, todos estadounidenses. La literatura disponible ofrece diseños replic</w:t>
      </w:r>
      <w:r>
        <w:rPr>
          <w:rFonts w:ascii="var(--serif)" w:eastAsia="Times New Roman" w:hAnsi="var(--serif)"/>
          <w:sz w:val="22"/>
          <w:szCs w:val="22"/>
        </w:rPr>
        <w:t>ables a escala de un curso, con muestras entre 48 y 137 estudiantes.</w:t>
      </w:r>
    </w:p>
    <w:p w:rsidR="00000000" w:rsidRDefault="000501AE">
      <w:pPr>
        <w:shd w:val="clear" w:color="auto" w:fill="FFFFFF"/>
        <w:divId w:val="744299628"/>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0501AE">
      <w:pPr>
        <w:shd w:val="clear" w:color="auto" w:fill="FFFFFF"/>
        <w:divId w:val="1787965328"/>
        <w:rPr>
          <w:rFonts w:ascii="var(--serif)" w:eastAsia="Times New Roman" w:hAnsi="var(--serif)"/>
          <w:sz w:val="22"/>
          <w:szCs w:val="22"/>
        </w:rPr>
      </w:pPr>
      <w:r>
        <w:rPr>
          <w:rFonts w:ascii="var(--serif)" w:eastAsia="Times New Roman" w:hAnsi="var(--serif)"/>
          <w:sz w:val="22"/>
          <w:szCs w:val="22"/>
        </w:rPr>
        <w:t>Un estudio publicado con diseño, muestra, grupo de comparación e instrumento declarados, sobre una competencia acotada —por ejemplo, claridad de la redacción en una asignatura c</w:t>
      </w:r>
      <w:r>
        <w:rPr>
          <w:rFonts w:ascii="var(--serif)" w:eastAsia="Times New Roman" w:hAnsi="var(--serif)"/>
          <w:sz w:val="22"/>
          <w:szCs w:val="22"/>
        </w:rPr>
        <w:t>oncreta—.</w:t>
      </w:r>
    </w:p>
    <w:p w:rsidR="00000000" w:rsidRDefault="000501AE">
      <w:pPr>
        <w:shd w:val="clear" w:color="auto" w:fill="FFFFFF"/>
        <w:divId w:val="1288392551"/>
        <w:rPr>
          <w:rFonts w:ascii="var(--sans)" w:eastAsia="Times New Roman" w:hAnsi="var(--sans)"/>
          <w:caps/>
          <w:spacing w:val="24"/>
          <w:sz w:val="17"/>
          <w:szCs w:val="17"/>
        </w:rPr>
      </w:pPr>
      <w:r>
        <w:rPr>
          <w:rFonts w:ascii="var(--sans)" w:eastAsia="Times New Roman" w:hAnsi="var(--sans)"/>
          <w:caps/>
          <w:spacing w:val="24"/>
          <w:sz w:val="17"/>
          <w:szCs w:val="17"/>
        </w:rPr>
        <w:t>Efecto</w:t>
      </w:r>
    </w:p>
    <w:p w:rsidR="00000000" w:rsidRDefault="000501AE">
      <w:pPr>
        <w:shd w:val="clear" w:color="auto" w:fill="FFFFFF"/>
        <w:divId w:val="1400323322"/>
        <w:rPr>
          <w:rFonts w:ascii="var(--serif)" w:eastAsia="Times New Roman" w:hAnsi="var(--serif)"/>
          <w:sz w:val="22"/>
          <w:szCs w:val="22"/>
        </w:rPr>
      </w:pPr>
      <w:r>
        <w:rPr>
          <w:rStyle w:val="Textoennegrita"/>
          <w:rFonts w:ascii="var(--serif)" w:eastAsia="Times New Roman" w:hAnsi="var(--serif)"/>
          <w:sz w:val="22"/>
          <w:szCs w:val="22"/>
        </w:rPr>
        <w:t>+3 puntos en evaluación de efecto. Sería la primera iniciativa del corpus en alcanzar el cuarto peldaño, que hoy está vacío en las once instituciones.</w:t>
      </w:r>
    </w:p>
    <w:p w:rsidR="00000000" w:rsidRDefault="000501AE">
      <w:pPr>
        <w:shd w:val="clear" w:color="auto" w:fill="FFFFFF"/>
        <w:divId w:val="1550606196"/>
        <w:rPr>
          <w:rFonts w:ascii="var(--sans)" w:eastAsia="Times New Roman" w:hAnsi="var(--sans)"/>
          <w:caps/>
          <w:spacing w:val="24"/>
          <w:sz w:val="17"/>
          <w:szCs w:val="17"/>
        </w:rPr>
      </w:pPr>
      <w:r>
        <w:rPr>
          <w:rFonts w:ascii="var(--sans)" w:eastAsia="Times New Roman" w:hAnsi="var(--sans)"/>
          <w:caps/>
          <w:spacing w:val="24"/>
          <w:sz w:val="17"/>
          <w:szCs w:val="17"/>
        </w:rPr>
        <w:t>Plazo</w:t>
      </w:r>
    </w:p>
    <w:p w:rsidR="00000000" w:rsidRDefault="000501AE">
      <w:pPr>
        <w:shd w:val="clear" w:color="auto" w:fill="FFFFFF"/>
        <w:spacing w:after="193"/>
        <w:divId w:val="2137750520"/>
        <w:rPr>
          <w:rFonts w:ascii="var(--serif)" w:eastAsia="Times New Roman" w:hAnsi="var(--serif)"/>
          <w:sz w:val="22"/>
          <w:szCs w:val="22"/>
        </w:rPr>
      </w:pPr>
      <w:r>
        <w:rPr>
          <w:rFonts w:ascii="var(--serif)" w:eastAsia="Times New Roman" w:hAnsi="var(--serif)"/>
          <w:sz w:val="22"/>
          <w:szCs w:val="22"/>
        </w:rPr>
        <w:t>Un semestre de aplicación más uno de análisis. Es la más cara de las cinco y sigue</w:t>
      </w:r>
      <w:r>
        <w:rPr>
          <w:rFonts w:ascii="var(--serif)" w:eastAsia="Times New Roman" w:hAnsi="var(--serif)"/>
          <w:sz w:val="22"/>
          <w:szCs w:val="22"/>
        </w:rPr>
        <w:t xml:space="preserve"> siendo modesta.</w:t>
      </w:r>
    </w:p>
    <w:p w:rsidR="00000000" w:rsidRDefault="000501AE">
      <w:pPr>
        <w:shd w:val="clear" w:color="auto" w:fill="FFFFFF"/>
        <w:spacing w:before="193" w:after="170"/>
        <w:divId w:val="1265460557"/>
        <w:rPr>
          <w:rFonts w:ascii="var(--serif)" w:eastAsia="Times New Roman" w:hAnsi="var(--serif)"/>
          <w:sz w:val="24"/>
          <w:szCs w:val="24"/>
        </w:rPr>
      </w:pPr>
      <w:r>
        <w:rPr>
          <w:rStyle w:val="rec-id1"/>
          <w:rFonts w:eastAsia="Times New Roman"/>
        </w:rPr>
        <w:t>D-6</w:t>
      </w:r>
      <w:r>
        <w:rPr>
          <w:rFonts w:ascii="var(--serif)" w:eastAsia="Times New Roman" w:hAnsi="var(--serif)"/>
          <w:sz w:val="24"/>
          <w:szCs w:val="24"/>
        </w:rPr>
        <w:t xml:space="preserve"> </w:t>
      </w:r>
      <w:r>
        <w:rPr>
          <w:rStyle w:val="rec-t1"/>
          <w:rFonts w:eastAsia="Times New Roman"/>
        </w:rPr>
        <w:t>Alojar el Programa y el Laboratorio en el dominio institucional de la universidad.</w:t>
      </w:r>
    </w:p>
    <w:p w:rsidR="00000000" w:rsidRDefault="000501AE">
      <w:pPr>
        <w:shd w:val="clear" w:color="auto" w:fill="FFFFFF"/>
        <w:divId w:val="1401487524"/>
        <w:rPr>
          <w:rFonts w:ascii="var(--sans)" w:eastAsia="Times New Roman" w:hAnsi="var(--sans)"/>
          <w:caps/>
          <w:spacing w:val="24"/>
          <w:sz w:val="17"/>
          <w:szCs w:val="17"/>
        </w:rPr>
      </w:pPr>
      <w:r>
        <w:rPr>
          <w:rFonts w:ascii="var(--sans)" w:eastAsia="Times New Roman" w:hAnsi="var(--sans)"/>
          <w:caps/>
          <w:spacing w:val="24"/>
          <w:sz w:val="17"/>
          <w:szCs w:val="17"/>
        </w:rPr>
        <w:t>Evidencia</w:t>
      </w:r>
    </w:p>
    <w:p w:rsidR="00000000" w:rsidRDefault="000501AE">
      <w:pPr>
        <w:shd w:val="clear" w:color="auto" w:fill="FFFFFF"/>
        <w:divId w:val="447939140"/>
        <w:rPr>
          <w:rFonts w:ascii="var(--serif)" w:eastAsia="Times New Roman" w:hAnsi="var(--serif)"/>
          <w:sz w:val="22"/>
          <w:szCs w:val="22"/>
        </w:rPr>
      </w:pPr>
      <w:r>
        <w:rPr>
          <w:rFonts w:ascii="var(--serif)" w:eastAsia="Times New Roman" w:hAnsi="var(--serif)"/>
          <w:sz w:val="22"/>
          <w:szCs w:val="22"/>
        </w:rPr>
        <w:t>Ni el Programa ni el Laboratorio tienen página en el sitio de la PUCV. Su única descripción estructurada —consejo académico, equipo, oferta fo</w:t>
      </w:r>
      <w:r>
        <w:rPr>
          <w:rFonts w:ascii="var(--serif)" w:eastAsia="Times New Roman" w:hAnsi="var(--serif)"/>
          <w:sz w:val="22"/>
          <w:szCs w:val="22"/>
        </w:rPr>
        <w:t>rmativa, histórico— vive en dominios externos de propiedad privada, que pueden caducar o cambiar de titular.</w:t>
      </w:r>
    </w:p>
    <w:p w:rsidR="00000000" w:rsidRDefault="000501AE">
      <w:pPr>
        <w:shd w:val="clear" w:color="auto" w:fill="FFFFFF"/>
        <w:divId w:val="2068868144"/>
        <w:rPr>
          <w:rFonts w:ascii="var(--sans)" w:eastAsia="Times New Roman" w:hAnsi="var(--sans)"/>
          <w:caps/>
          <w:spacing w:val="24"/>
          <w:sz w:val="17"/>
          <w:szCs w:val="17"/>
        </w:rPr>
      </w:pPr>
      <w:r>
        <w:rPr>
          <w:rFonts w:ascii="var(--sans)" w:eastAsia="Times New Roman" w:hAnsi="var(--sans)"/>
          <w:caps/>
          <w:spacing w:val="24"/>
          <w:sz w:val="17"/>
          <w:szCs w:val="17"/>
        </w:rPr>
        <w:t>Referente</w:t>
      </w:r>
    </w:p>
    <w:p w:rsidR="00000000" w:rsidRDefault="000501AE">
      <w:pPr>
        <w:shd w:val="clear" w:color="auto" w:fill="FFFFFF"/>
        <w:divId w:val="282614648"/>
        <w:rPr>
          <w:rFonts w:ascii="var(--serif)" w:eastAsia="Times New Roman" w:hAnsi="var(--serif)"/>
          <w:sz w:val="22"/>
          <w:szCs w:val="22"/>
        </w:rPr>
      </w:pPr>
      <w:r>
        <w:rPr>
          <w:rFonts w:ascii="var(--serif)" w:eastAsia="Times New Roman" w:hAnsi="var(--serif)"/>
          <w:sz w:val="22"/>
          <w:szCs w:val="22"/>
        </w:rPr>
        <w:t>Todas las unidades comparables de la cohorte tienen página dentro del dominio institucional de su facultad o universidad.</w:t>
      </w:r>
    </w:p>
    <w:p w:rsidR="00000000" w:rsidRDefault="000501AE">
      <w:pPr>
        <w:shd w:val="clear" w:color="auto" w:fill="FFFFFF"/>
        <w:divId w:val="568266722"/>
        <w:rPr>
          <w:rFonts w:ascii="var(--sans)" w:eastAsia="Times New Roman" w:hAnsi="var(--sans)"/>
          <w:caps/>
          <w:spacing w:val="24"/>
          <w:sz w:val="17"/>
          <w:szCs w:val="17"/>
        </w:rPr>
      </w:pPr>
      <w:r>
        <w:rPr>
          <w:rFonts w:ascii="var(--sans)" w:eastAsia="Times New Roman" w:hAnsi="var(--sans)"/>
          <w:caps/>
          <w:spacing w:val="24"/>
          <w:sz w:val="17"/>
          <w:szCs w:val="17"/>
        </w:rPr>
        <w:t>Indicador</w:t>
      </w:r>
    </w:p>
    <w:p w:rsidR="00000000" w:rsidRDefault="000501AE">
      <w:pPr>
        <w:shd w:val="clear" w:color="auto" w:fill="FFFFFF"/>
        <w:divId w:val="1475024372"/>
        <w:rPr>
          <w:rFonts w:ascii="var(--serif)" w:eastAsia="Times New Roman" w:hAnsi="var(--serif)"/>
          <w:sz w:val="22"/>
          <w:szCs w:val="22"/>
        </w:rPr>
      </w:pPr>
      <w:r>
        <w:rPr>
          <w:rFonts w:ascii="var(--serif)" w:eastAsia="Times New Roman" w:hAnsi="var(--serif)"/>
          <w:sz w:val="22"/>
          <w:szCs w:val="22"/>
        </w:rPr>
        <w:t>Págin</w:t>
      </w:r>
      <w:r>
        <w:rPr>
          <w:rFonts w:ascii="var(--serif)" w:eastAsia="Times New Roman" w:hAnsi="var(--serif)"/>
          <w:sz w:val="22"/>
          <w:szCs w:val="22"/>
        </w:rPr>
        <w:t>a del Programa y del Laboratorio accesibles desde el sitio de la Facultad de Derecho PUCV, con la misma información que hoy vive fuera.</w:t>
      </w:r>
    </w:p>
    <w:p w:rsidR="00000000" w:rsidRDefault="000501AE">
      <w:pPr>
        <w:shd w:val="clear" w:color="auto" w:fill="FFFFFF"/>
        <w:divId w:val="849102507"/>
        <w:rPr>
          <w:rFonts w:ascii="var(--sans)" w:eastAsia="Times New Roman" w:hAnsi="var(--sans)"/>
          <w:caps/>
          <w:spacing w:val="24"/>
          <w:sz w:val="17"/>
          <w:szCs w:val="17"/>
        </w:rPr>
      </w:pPr>
      <w:r>
        <w:rPr>
          <w:rFonts w:ascii="var(--sans)" w:eastAsia="Times New Roman" w:hAnsi="var(--sans)"/>
          <w:caps/>
          <w:spacing w:val="24"/>
          <w:sz w:val="17"/>
          <w:szCs w:val="17"/>
        </w:rPr>
        <w:t>Efecto</w:t>
      </w:r>
    </w:p>
    <w:p w:rsidR="00000000" w:rsidRDefault="000501AE">
      <w:pPr>
        <w:shd w:val="clear" w:color="auto" w:fill="FFFFFF"/>
        <w:divId w:val="836384470"/>
        <w:rPr>
          <w:rFonts w:ascii="var(--serif)" w:eastAsia="Times New Roman" w:hAnsi="var(--serif)"/>
          <w:sz w:val="22"/>
          <w:szCs w:val="22"/>
        </w:rPr>
      </w:pPr>
      <w:r>
        <w:rPr>
          <w:rStyle w:val="Textoennegrita"/>
          <w:rFonts w:ascii="var(--serif)" w:eastAsia="Times New Roman" w:hAnsi="var(--serif)"/>
          <w:sz w:val="22"/>
          <w:szCs w:val="22"/>
        </w:rPr>
        <w:t>No suma puntos por sí sola, y es condición de que las demás sean verificables por un tercero.</w:t>
      </w:r>
    </w:p>
    <w:p w:rsidR="00000000" w:rsidRDefault="000501AE">
      <w:pPr>
        <w:shd w:val="clear" w:color="auto" w:fill="FFFFFF"/>
        <w:divId w:val="1399594649"/>
        <w:rPr>
          <w:rFonts w:ascii="var(--sans)" w:eastAsia="Times New Roman" w:hAnsi="var(--sans)"/>
          <w:caps/>
          <w:spacing w:val="24"/>
          <w:sz w:val="17"/>
          <w:szCs w:val="17"/>
        </w:rPr>
      </w:pPr>
      <w:r>
        <w:rPr>
          <w:rFonts w:ascii="var(--sans)" w:eastAsia="Times New Roman" w:hAnsi="var(--sans)"/>
          <w:caps/>
          <w:spacing w:val="24"/>
          <w:sz w:val="17"/>
          <w:szCs w:val="17"/>
        </w:rPr>
        <w:t>Plazo</w:t>
      </w:r>
    </w:p>
    <w:p w:rsidR="00000000" w:rsidRDefault="000501AE">
      <w:pPr>
        <w:shd w:val="clear" w:color="auto" w:fill="FFFFFF"/>
        <w:spacing w:after="193"/>
        <w:divId w:val="1840344704"/>
        <w:rPr>
          <w:rFonts w:ascii="var(--serif)" w:eastAsia="Times New Roman" w:hAnsi="var(--serif)"/>
          <w:sz w:val="22"/>
          <w:szCs w:val="22"/>
        </w:rPr>
      </w:pPr>
      <w:r>
        <w:rPr>
          <w:rFonts w:ascii="var(--serif)" w:eastAsia="Times New Roman" w:hAnsi="var(--serif)"/>
          <w:sz w:val="22"/>
          <w:szCs w:val="22"/>
        </w:rPr>
        <w:t>Semanas. Cost</w:t>
      </w:r>
      <w:r>
        <w:rPr>
          <w:rFonts w:ascii="var(--serif)" w:eastAsia="Times New Roman" w:hAnsi="var(--serif)"/>
          <w:sz w:val="22"/>
          <w:szCs w:val="22"/>
        </w:rPr>
        <w:t>e administrativo.</w:t>
      </w:r>
    </w:p>
    <w:p w:rsidR="00000000" w:rsidRDefault="000501AE">
      <w:pPr>
        <w:spacing w:after="340"/>
        <w:divId w:val="135802686"/>
        <w:rPr>
          <w:rFonts w:ascii="var(--sans)" w:eastAsia="Times New Roman" w:hAnsi="var(--sans)"/>
          <w:spacing w:val="12"/>
          <w:sz w:val="17"/>
          <w:szCs w:val="17"/>
        </w:rPr>
      </w:pPr>
      <w:r>
        <w:rPr>
          <w:rFonts w:ascii="var(--sans)" w:eastAsia="Times New Roman" w:hAnsi="var(--sans)"/>
          <w:spacing w:val="12"/>
          <w:sz w:val="17"/>
          <w:szCs w:val="17"/>
        </w:rPr>
        <w:t>Informe 01 · complementoLa PUCV como caso de proyección · v1.1</w:t>
      </w:r>
    </w:p>
    <w:p w:rsidR="00000000" w:rsidRDefault="000501AE">
      <w:pPr>
        <w:pStyle w:val="eyebrow"/>
        <w:divId w:val="1264731187"/>
      </w:pPr>
      <w:r>
        <w:t>Anexo H</w:t>
      </w:r>
    </w:p>
    <w:p w:rsidR="00000000" w:rsidRDefault="000501AE">
      <w:pPr>
        <w:pStyle w:val="Ttulo2"/>
        <w:divId w:val="1264731187"/>
        <w:rPr>
          <w:rFonts w:eastAsia="Times New Roman"/>
        </w:rPr>
      </w:pPr>
      <w:r>
        <w:rPr>
          <w:rFonts w:eastAsia="Times New Roman"/>
        </w:rPr>
        <w:t>Anexo · La evidencia completa</w:t>
      </w:r>
    </w:p>
    <w:p w:rsidR="00000000" w:rsidRDefault="000501AE">
      <w:pPr>
        <w:pStyle w:val="NormalWeb"/>
        <w:divId w:val="1264731187"/>
        <w:rPr>
          <w:rFonts w:ascii="var(--serif)" w:hAnsi="var(--serif)"/>
          <w:sz w:val="24"/>
          <w:szCs w:val="24"/>
        </w:rPr>
      </w:pPr>
      <w:r>
        <w:rPr>
          <w:rFonts w:ascii="var(--serif)" w:hAnsi="var(--serif)"/>
          <w:sz w:val="24"/>
          <w:szCs w:val="24"/>
        </w:rPr>
        <w:t>Diecisiete registros ordenados cronológicamente, con la unidad a la que se atribuye cada uno y su estado tras la verificación. Se publica</w:t>
      </w:r>
      <w:r>
        <w:rPr>
          <w:rFonts w:ascii="var(--serif)" w:hAnsi="var(--serif)"/>
          <w:sz w:val="24"/>
          <w:szCs w:val="24"/>
        </w:rPr>
        <w:t xml:space="preserve"> completo porque la sección 8 del informe principal hace afirmaciones sobre esta institución y el lector debe poder comprobarlas sin reconstruir el corpus.</w:t>
      </w:r>
    </w:p>
    <w:tbl>
      <w:tblPr>
        <w:tblW w:w="5000" w:type="pct"/>
        <w:tblCellMar>
          <w:top w:w="15" w:type="dxa"/>
          <w:left w:w="15" w:type="dxa"/>
          <w:bottom w:w="15" w:type="dxa"/>
          <w:right w:w="15" w:type="dxa"/>
        </w:tblCellMar>
        <w:tblLook w:val="04A0"/>
      </w:tblPr>
      <w:tblGrid>
        <w:gridCol w:w="964"/>
        <w:gridCol w:w="1361"/>
        <w:gridCol w:w="2720"/>
        <w:gridCol w:w="1928"/>
        <w:gridCol w:w="1701"/>
      </w:tblGrid>
      <w:tr w:rsidR="00000000">
        <w:trPr>
          <w:divId w:val="1264731187"/>
          <w:tblHeader/>
        </w:trPr>
        <w:tc>
          <w:tcPr>
            <w:tcW w:w="0" w:type="auto"/>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Fecha</w:t>
            </w:r>
          </w:p>
        </w:tc>
        <w:tc>
          <w:tcPr>
            <w:tcW w:w="0" w:type="auto"/>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Mecanismo</w:t>
            </w:r>
          </w:p>
        </w:tc>
        <w:tc>
          <w:tcPr>
            <w:tcW w:w="0" w:type="auto"/>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Qué consta</w:t>
            </w:r>
          </w:p>
        </w:tc>
        <w:tc>
          <w:tcPr>
            <w:tcW w:w="0" w:type="auto"/>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Atribución</w:t>
            </w:r>
          </w:p>
        </w:tc>
        <w:tc>
          <w:tcPr>
            <w:tcW w:w="0" w:type="auto"/>
            <w:tcMar>
              <w:top w:w="0" w:type="dxa"/>
              <w:left w:w="0" w:type="dxa"/>
              <w:bottom w:w="102" w:type="dxa"/>
              <w:right w:w="170" w:type="dxa"/>
            </w:tcMar>
            <w:vAlign w:val="bottom"/>
            <w:hideMark/>
          </w:tcPr>
          <w:p w:rsidR="00000000" w:rsidRDefault="000501AE">
            <w:pPr>
              <w:spacing w:before="170" w:after="193"/>
              <w:rPr>
                <w:rFonts w:ascii="var(--sans)" w:eastAsia="Times New Roman" w:hAnsi="var(--sans)"/>
                <w:b/>
                <w:bCs/>
                <w:caps/>
                <w:spacing w:val="22"/>
                <w:sz w:val="17"/>
                <w:szCs w:val="17"/>
              </w:rPr>
            </w:pPr>
            <w:r>
              <w:rPr>
                <w:rFonts w:ascii="var(--sans)" w:eastAsia="Times New Roman" w:hAnsi="var(--sans)"/>
                <w:b/>
                <w:bCs/>
                <w:caps/>
                <w:spacing w:val="22"/>
                <w:sz w:val="17"/>
                <w:szCs w:val="17"/>
              </w:rPr>
              <w:t>Estado</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9"/>
                <w:szCs w:val="19"/>
              </w:rPr>
            </w:pPr>
            <w:r>
              <w:rPr>
                <w:rFonts w:ascii="var(--sans)" w:eastAsia="Times New Roman" w:hAnsi="var(--sans)"/>
                <w:b/>
                <w:bCs/>
                <w:sz w:val="19"/>
                <w:szCs w:val="19"/>
              </w:rPr>
              <w:t>2020</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Publicación indexada</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Artículo sobre uso de inteligencia artificial por administraciones fiscales y derechos de los contribuyentes en Latinoamérica, en revista internacional de derecho y tecnología. Acredita interés de la Escuela por la materia cinco años antes de la ola de 202</w:t>
            </w:r>
            <w:r>
              <w:rPr>
                <w:rFonts w:ascii="var(--sans)" w:eastAsia="Times New Roman" w:hAnsi="var(--sans)"/>
                <w:sz w:val="19"/>
                <w:szCs w:val="19"/>
              </w:rPr>
              <w:t>5.</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8"/>
                <w:szCs w:val="18"/>
              </w:rPr>
            </w:pPr>
            <w:r>
              <w:rPr>
                <w:rFonts w:ascii="var(--sans)" w:eastAsia="Times New Roman" w:hAnsi="var(--sans)"/>
                <w:sz w:val="18"/>
                <w:szCs w:val="18"/>
              </w:rPr>
              <w:t>Escuela de Derecho</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9"/>
                <w:szCs w:val="19"/>
              </w:rPr>
            </w:pPr>
            <w:r>
              <w:rPr>
                <w:rFonts w:ascii="var(--sans)" w:eastAsia="Times New Roman" w:hAnsi="var(--sans)"/>
                <w:b/>
                <w:bCs/>
                <w:sz w:val="19"/>
                <w:szCs w:val="19"/>
              </w:rPr>
              <w:t>2020</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Unidad</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Primera mención pública al Núcleo de Derecho, Inteligencia Artificial y Tecnología, con director identificado, en un seminario sobre fiscalización tributaria e IA. La única afirmación de origen dice que «se oficializa en el 2020», sin instrumento citado.</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8"/>
                <w:szCs w:val="18"/>
              </w:rPr>
            </w:pPr>
            <w:r>
              <w:rPr>
                <w:rFonts w:ascii="var(--sans)" w:eastAsia="Times New Roman" w:hAnsi="var(--sans)"/>
                <w:sz w:val="18"/>
                <w:szCs w:val="18"/>
              </w:rPr>
              <w:t>Escuela de Derecho</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8"/>
                <w:szCs w:val="18"/>
              </w:rPr>
            </w:pPr>
            <w:r>
              <w:rPr>
                <w:rFonts w:ascii="var(--sans)" w:eastAsia="Times New Roman" w:hAnsi="var(--sans)"/>
                <w:color w:val="5D6B7D"/>
                <w:sz w:val="18"/>
                <w:szCs w:val="18"/>
              </w:rPr>
              <w:t>sin acto de creación</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9"/>
                <w:szCs w:val="19"/>
              </w:rPr>
            </w:pPr>
            <w:r>
              <w:rPr>
                <w:rFonts w:ascii="var(--sans)" w:eastAsia="Times New Roman" w:hAnsi="var(--sans)"/>
                <w:b/>
                <w:bCs/>
                <w:sz w:val="19"/>
                <w:szCs w:val="19"/>
              </w:rPr>
              <w:t>2020</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Convenio</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 xml:space="preserve">Convenio con la Corte Suprema para el proyecto de modernización de su base de datos de jurisprudencia mediante inteligencia artificial, firmado por la decana de la Facultad y el presidente de </w:t>
            </w:r>
            <w:r>
              <w:rPr>
                <w:rFonts w:ascii="var(--sans)" w:eastAsia="Times New Roman" w:hAnsi="var(--sans)"/>
                <w:sz w:val="19"/>
                <w:szCs w:val="19"/>
              </w:rPr>
              <w:t>la Corte, con cincuenta pasantes. Proyecto multiuniversitario de diecinueve instituciones.</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8"/>
                <w:szCs w:val="18"/>
              </w:rPr>
            </w:pPr>
            <w:r>
              <w:rPr>
                <w:rFonts w:ascii="var(--sans)" w:eastAsia="Times New Roman" w:hAnsi="var(--sans)"/>
                <w:sz w:val="18"/>
                <w:szCs w:val="18"/>
              </w:rPr>
              <w:t>Facultad y Escuela de Derecho</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instrumento formal</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9"/>
                <w:szCs w:val="19"/>
              </w:rPr>
            </w:pPr>
            <w:r>
              <w:rPr>
                <w:rFonts w:ascii="var(--sans)" w:eastAsia="Times New Roman" w:hAnsi="var(--sans)"/>
                <w:b/>
                <w:bCs/>
                <w:sz w:val="19"/>
                <w:szCs w:val="19"/>
              </w:rPr>
              <w:t>2021</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Herramienta</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Asistente virtual desarrollado en virtud de convenio con el Servicio de Impuestos Internos, a cargo del Núcleo, con participación de un estudiante de informática.</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8"/>
                <w:szCs w:val="18"/>
              </w:rPr>
            </w:pPr>
            <w:r>
              <w:rPr>
                <w:rFonts w:ascii="var(--sans)" w:eastAsia="Times New Roman" w:hAnsi="var(--sans)"/>
                <w:sz w:val="18"/>
                <w:szCs w:val="18"/>
              </w:rPr>
              <w:t>Escuela de Derecho</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9"/>
                <w:szCs w:val="19"/>
              </w:rPr>
            </w:pPr>
            <w:r>
              <w:rPr>
                <w:rFonts w:ascii="var(--sans)" w:eastAsia="Times New Roman" w:hAnsi="var(--sans)"/>
                <w:b/>
                <w:bCs/>
                <w:sz w:val="19"/>
                <w:szCs w:val="19"/>
              </w:rPr>
              <w:t>2022–2026</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Actividad recurrente</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Certamen de innovación legal del laboratorio de la Escuela, con ediciones documentadas desde 2022. La serie de continuidad más larga del corpus. La edición 2025 tiene convocatoria y no publica nota de resultados; dos ediciones aparecen numeradas como cuart</w:t>
            </w:r>
            <w:r>
              <w:rPr>
                <w:rFonts w:ascii="var(--sans)" w:eastAsia="Times New Roman" w:hAnsi="var(--sans)"/>
                <w:sz w:val="19"/>
                <w:szCs w:val="19"/>
              </w:rPr>
              <w:t>a.</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8"/>
                <w:szCs w:val="18"/>
              </w:rPr>
            </w:pPr>
            <w:r>
              <w:rPr>
                <w:rFonts w:ascii="var(--sans)" w:eastAsia="Times New Roman" w:hAnsi="var(--sans)"/>
                <w:sz w:val="18"/>
                <w:szCs w:val="18"/>
              </w:rPr>
              <w:t>Facultad de Derecho</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8"/>
                <w:szCs w:val="18"/>
              </w:rPr>
            </w:pPr>
            <w:r>
              <w:rPr>
                <w:rFonts w:ascii="var(--sans)" w:eastAsia="Times New Roman" w:hAnsi="var(--sans)"/>
                <w:color w:val="5D6B7D"/>
                <w:sz w:val="18"/>
                <w:szCs w:val="18"/>
              </w:rPr>
              <w:t>serie verificada · cifras 2025 pendientes</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9"/>
                <w:szCs w:val="19"/>
              </w:rPr>
            </w:pPr>
            <w:r>
              <w:rPr>
                <w:rFonts w:ascii="var(--sans)" w:eastAsia="Times New Roman" w:hAnsi="var(--sans)"/>
                <w:b/>
                <w:bCs/>
                <w:sz w:val="19"/>
                <w:szCs w:val="19"/>
              </w:rPr>
              <w:t>2023</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Fondo</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Adjudicación en el concurso institucional de inteligencia artificial en educación: dos de las catorce iniciativas seleccionadas son de la Escuela de Derecho. Una de ella</w:t>
            </w:r>
            <w:r>
              <w:rPr>
                <w:rFonts w:ascii="var(--sans)" w:eastAsia="Times New Roman" w:hAnsi="var(--sans)"/>
                <w:sz w:val="19"/>
                <w:szCs w:val="19"/>
              </w:rPr>
              <w:t>s origina la herramienta de redacción jurídica.</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8"/>
                <w:szCs w:val="18"/>
              </w:rPr>
            </w:pPr>
            <w:r>
              <w:rPr>
                <w:rFonts w:ascii="var(--sans)" w:eastAsia="Times New Roman" w:hAnsi="var(--sans)"/>
                <w:sz w:val="18"/>
                <w:szCs w:val="18"/>
              </w:rPr>
              <w:t>Escuela de Derecho · fondo de la universidad</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9"/>
                <w:szCs w:val="19"/>
              </w:rPr>
            </w:pPr>
            <w:r>
              <w:rPr>
                <w:rFonts w:ascii="var(--sans)" w:eastAsia="Times New Roman" w:hAnsi="var(--sans)"/>
                <w:b/>
                <w:bCs/>
                <w:sz w:val="19"/>
                <w:szCs w:val="19"/>
              </w:rPr>
              <w:t>2024</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Asignatura</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Integración de inteligencia artificial en el curso de Filosofía del Derecho mediante prompting y un chatbot de asignatura, con dos sesiones documentadas. Fuente única; no consta que se haya repetido ni su matrícula, semestre, créditos o evaluación.</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8"/>
                <w:szCs w:val="18"/>
              </w:rPr>
            </w:pPr>
            <w:r>
              <w:rPr>
                <w:rFonts w:ascii="var(--sans)" w:eastAsia="Times New Roman" w:hAnsi="var(--sans)"/>
                <w:sz w:val="18"/>
                <w:szCs w:val="18"/>
              </w:rPr>
              <w:t>Escuel</w:t>
            </w:r>
            <w:r>
              <w:rPr>
                <w:rFonts w:ascii="var(--sans)" w:eastAsia="Times New Roman" w:hAnsi="var(--sans)"/>
                <w:sz w:val="18"/>
                <w:szCs w:val="18"/>
              </w:rPr>
              <w:t>a de Derecho</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sin continuidad acreditada</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9"/>
                <w:szCs w:val="19"/>
              </w:rPr>
            </w:pPr>
            <w:r>
              <w:rPr>
                <w:rFonts w:ascii="var(--sans)" w:eastAsia="Times New Roman" w:hAnsi="var(--sans)"/>
                <w:b/>
                <w:bCs/>
                <w:sz w:val="19"/>
                <w:szCs w:val="19"/>
              </w:rPr>
              <w:t>2024–2025</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Formación</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Talleres de alfabetización digital y de prompting jurídico, con módulos fechados. El taller de 2025 declara cerca de noventa participantes, que son estudiantes de distintas universidades, egresados y profesionales, no de la propia Escuela.</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8"/>
                <w:szCs w:val="18"/>
              </w:rPr>
            </w:pPr>
            <w:r>
              <w:rPr>
                <w:rFonts w:ascii="var(--sans)" w:eastAsia="Times New Roman" w:hAnsi="var(--sans)"/>
                <w:sz w:val="18"/>
                <w:szCs w:val="18"/>
              </w:rPr>
              <w:t>Programa DIAT</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alcance externo</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9"/>
                <w:szCs w:val="19"/>
              </w:rPr>
            </w:pPr>
            <w:r>
              <w:rPr>
                <w:rFonts w:ascii="var(--sans)" w:eastAsia="Times New Roman" w:hAnsi="var(--sans)"/>
                <w:b/>
                <w:bCs/>
                <w:sz w:val="19"/>
                <w:szCs w:val="19"/>
              </w:rPr>
              <w:t>2025</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Fondo</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Dos proyectos de vinculación con el medio adjudicados con inteligencia artificial en el objeto. Montos no publicados. Responsable único.</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8"/>
                <w:szCs w:val="18"/>
              </w:rPr>
            </w:pPr>
            <w:r>
              <w:rPr>
                <w:rFonts w:ascii="var(--sans)" w:eastAsia="Times New Roman" w:hAnsi="var(--sans)"/>
                <w:sz w:val="18"/>
                <w:szCs w:val="18"/>
              </w:rPr>
              <w:t>Facultad y Escuela de Derecho</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sin monto</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9"/>
                <w:szCs w:val="19"/>
              </w:rPr>
            </w:pPr>
            <w:r>
              <w:rPr>
                <w:rFonts w:ascii="var(--sans)" w:eastAsia="Times New Roman" w:hAnsi="var(--sans)"/>
                <w:b/>
                <w:bCs/>
                <w:sz w:val="19"/>
                <w:szCs w:val="19"/>
              </w:rPr>
              <w:t>2025</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Actividad</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Encuentro entre estudiantes de Derecho e Ingeniería con alrededor de cien participantes. Es la cifra interna mejor documentada del dossier.</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8"/>
                <w:szCs w:val="18"/>
              </w:rPr>
            </w:pPr>
            <w:r>
              <w:rPr>
                <w:rFonts w:ascii="var(--sans)" w:eastAsia="Times New Roman" w:hAnsi="var(--sans)"/>
                <w:sz w:val="18"/>
                <w:szCs w:val="18"/>
              </w:rPr>
              <w:t>Laboratorio y Programa, con dirección de asuntos internacionales</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9"/>
                <w:szCs w:val="19"/>
              </w:rPr>
            </w:pPr>
            <w:r>
              <w:rPr>
                <w:rFonts w:ascii="var(--sans)" w:eastAsia="Times New Roman" w:hAnsi="var(--sans)"/>
                <w:b/>
                <w:bCs/>
                <w:sz w:val="19"/>
                <w:szCs w:val="19"/>
              </w:rPr>
              <w:t>2025</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Herramienta</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La Comisión de Lenguaje Claro de la Corte Suprema destaca la herramienta de redacción jurídica mediante boletín oficial. Reconocimiento externo de una institución del Estado.</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8"/>
                <w:szCs w:val="18"/>
              </w:rPr>
            </w:pPr>
            <w:r>
              <w:rPr>
                <w:rFonts w:ascii="var(--sans)" w:eastAsia="Times New Roman" w:hAnsi="var(--sans)"/>
                <w:sz w:val="18"/>
                <w:szCs w:val="18"/>
              </w:rPr>
              <w:t>Escuela de Derecho · Vicerrectoría Académica</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reconocimiento extern</w:t>
            </w:r>
            <w:r>
              <w:rPr>
                <w:rFonts w:ascii="var(--sans)" w:eastAsia="Times New Roman" w:hAnsi="var(--sans)"/>
                <w:color w:val="5D6B7D"/>
                <w:sz w:val="18"/>
                <w:szCs w:val="18"/>
              </w:rPr>
              <w:t>o</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9"/>
                <w:szCs w:val="19"/>
              </w:rPr>
            </w:pPr>
            <w:r>
              <w:rPr>
                <w:rFonts w:ascii="var(--sans)" w:eastAsia="Times New Roman" w:hAnsi="var(--sans)"/>
                <w:b/>
                <w:bCs/>
                <w:sz w:val="19"/>
                <w:szCs w:val="19"/>
              </w:rPr>
              <w:t>2025</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Proyecto</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Participación como contraparte en el FONDEF de certeza jurídica ambiental, adjudicado a otra universidad y dirigido desde su Facultad de Ingeniería. Un profesor de la Escuela integra el equipo.</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8"/>
                <w:szCs w:val="18"/>
              </w:rPr>
            </w:pPr>
            <w:r>
              <w:rPr>
                <w:rFonts w:ascii="var(--sans)" w:eastAsia="Times New Roman" w:hAnsi="var(--sans)"/>
                <w:sz w:val="18"/>
                <w:szCs w:val="18"/>
              </w:rPr>
              <w:t>Escuela de Derecho como contraparte</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atribución compartida</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9"/>
                <w:szCs w:val="19"/>
              </w:rPr>
            </w:pPr>
            <w:r>
              <w:rPr>
                <w:rFonts w:ascii="var(--sans)" w:eastAsia="Times New Roman" w:hAnsi="var(--sans)"/>
                <w:b/>
                <w:bCs/>
                <w:sz w:val="19"/>
                <w:szCs w:val="19"/>
              </w:rPr>
              <w:t>2026</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Norma</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Presentación del decálogo universitario sobre uso ético de la inteligencia artificial en docencia, conducido por una profesora de la Escuela desde la Unidad de Integridad Académica. Según su propia formulación, «sugiere recomendaciones». Sin decreto ni res</w:t>
            </w:r>
            <w:r>
              <w:rPr>
                <w:rFonts w:ascii="var(--sans)" w:eastAsia="Times New Roman" w:hAnsi="var(--sans)"/>
                <w:sz w:val="19"/>
                <w:szCs w:val="19"/>
              </w:rPr>
              <w:t>olución. La nota institucional remite, como referencia, a un enlace compartido de un servicio comercial de inteligencia artificial.</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8"/>
                <w:szCs w:val="18"/>
              </w:rPr>
            </w:pPr>
            <w:r>
              <w:rPr>
                <w:rFonts w:ascii="var(--sans)" w:eastAsia="Times New Roman" w:hAnsi="var(--sans)"/>
                <w:sz w:val="18"/>
                <w:szCs w:val="18"/>
              </w:rPr>
              <w:t>Vicerrectoría Académica</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orientador, no vinculante</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9"/>
                <w:szCs w:val="19"/>
              </w:rPr>
            </w:pPr>
            <w:r>
              <w:rPr>
                <w:rFonts w:ascii="var(--sans)" w:eastAsia="Times New Roman" w:hAnsi="var(--sans)"/>
                <w:b/>
                <w:bCs/>
                <w:sz w:val="19"/>
                <w:szCs w:val="19"/>
              </w:rPr>
              <w:t>2026</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Herramienta</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Registro de propiedad intelectual de la herramienta de redacción jurídica, Certificado nº 2026-A-6558 de 23 de junio. Es el único instrumento formal citable de todo el conjunto PUCV.</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8"/>
                <w:szCs w:val="18"/>
              </w:rPr>
            </w:pPr>
            <w:r>
              <w:rPr>
                <w:rFonts w:ascii="var(--sans)" w:eastAsia="Times New Roman" w:hAnsi="var(--sans)"/>
                <w:sz w:val="18"/>
                <w:szCs w:val="18"/>
              </w:rPr>
              <w:t>Escuela de Derecho</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instrumento formal</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9"/>
                <w:szCs w:val="19"/>
              </w:rPr>
            </w:pPr>
            <w:r>
              <w:rPr>
                <w:rFonts w:ascii="var(--sans)" w:eastAsia="Times New Roman" w:hAnsi="var(--sans)"/>
                <w:b/>
                <w:bCs/>
                <w:sz w:val="19"/>
                <w:szCs w:val="19"/>
              </w:rPr>
              <w:t>2026</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Activid</w:t>
            </w:r>
            <w:r>
              <w:rPr>
                <w:rFonts w:ascii="var(--sans)" w:eastAsia="Times New Roman" w:hAnsi="var(--sans)"/>
                <w:sz w:val="19"/>
                <w:szCs w:val="19"/>
              </w:rPr>
              <w:t>ad</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Workshop internacional sobre manejo de inteligencia artificial en el ámbito legal, con expositor extranjero y dirigido a exalumnos. La nota no declara la fecha del workshop, sólo la de su publicación, ni cifras de asistencia.</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8"/>
                <w:szCs w:val="18"/>
              </w:rPr>
            </w:pPr>
            <w:r>
              <w:rPr>
                <w:rFonts w:ascii="var(--sans)" w:eastAsia="Times New Roman" w:hAnsi="var(--sans)"/>
                <w:sz w:val="18"/>
                <w:szCs w:val="18"/>
              </w:rPr>
              <w:t>Escuela de Derecho</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8"/>
                <w:szCs w:val="18"/>
              </w:rPr>
            </w:pPr>
            <w:r>
              <w:rPr>
                <w:rFonts w:ascii="var(--sans)" w:eastAsia="Times New Roman" w:hAnsi="var(--sans)"/>
                <w:color w:val="5D6B7D"/>
                <w:sz w:val="18"/>
                <w:szCs w:val="18"/>
              </w:rPr>
              <w:t>verif</w:t>
            </w:r>
            <w:r>
              <w:rPr>
                <w:rFonts w:ascii="var(--sans)" w:eastAsia="Times New Roman" w:hAnsi="var(--sans)"/>
                <w:color w:val="5D6B7D"/>
                <w:sz w:val="18"/>
                <w:szCs w:val="18"/>
              </w:rPr>
              <w:t>icada · sin fecha ni cifras</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9"/>
                <w:szCs w:val="19"/>
              </w:rPr>
            </w:pPr>
            <w:r>
              <w:rPr>
                <w:rFonts w:ascii="var(--sans)" w:eastAsia="Times New Roman" w:hAnsi="var(--sans)"/>
                <w:b/>
                <w:bCs/>
                <w:sz w:val="19"/>
                <w:szCs w:val="19"/>
              </w:rPr>
              <w:t>2026</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Fondo</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Dos proyectos de vinculación con el medio adjudicados, con los mismos dos objetos del año anterior y el mismo responsable. Montos no publicados.</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8"/>
                <w:szCs w:val="18"/>
              </w:rPr>
            </w:pPr>
            <w:r>
              <w:rPr>
                <w:rFonts w:ascii="var(--sans)" w:eastAsia="Times New Roman" w:hAnsi="var(--sans)"/>
                <w:sz w:val="18"/>
                <w:szCs w:val="18"/>
              </w:rPr>
              <w:t>Facultad y Escuela de Derecho</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sin monto</w:t>
            </w:r>
          </w:p>
        </w:tc>
      </w:tr>
      <w:tr w:rsidR="00000000">
        <w:trPr>
          <w:divId w:val="1264731187"/>
        </w:trPr>
        <w:tc>
          <w:tcPr>
            <w:tcW w:w="964" w:type="dxa"/>
            <w:tcMar>
              <w:top w:w="108" w:type="dxa"/>
              <w:left w:w="0" w:type="dxa"/>
              <w:bottom w:w="108" w:type="dxa"/>
              <w:right w:w="170" w:type="dxa"/>
            </w:tcMar>
            <w:hideMark/>
          </w:tcPr>
          <w:p w:rsidR="00000000" w:rsidRDefault="000501AE">
            <w:pPr>
              <w:spacing w:before="170" w:after="193"/>
              <w:rPr>
                <w:rFonts w:ascii="var(--sans)" w:eastAsia="Times New Roman" w:hAnsi="var(--sans)"/>
                <w:b/>
                <w:bCs/>
                <w:sz w:val="19"/>
                <w:szCs w:val="19"/>
              </w:rPr>
            </w:pPr>
            <w:r>
              <w:rPr>
                <w:rFonts w:ascii="var(--sans)" w:eastAsia="Times New Roman" w:hAnsi="var(--sans)"/>
                <w:b/>
                <w:bCs/>
                <w:sz w:val="19"/>
                <w:szCs w:val="19"/>
              </w:rPr>
              <w:t>2026</w:t>
            </w:r>
          </w:p>
        </w:tc>
        <w:tc>
          <w:tcPr>
            <w:tcW w:w="1361" w:type="dxa"/>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Contexto</w:t>
            </w:r>
          </w:p>
        </w:tc>
        <w:tc>
          <w:tcPr>
            <w:tcW w:w="0" w:type="auto"/>
            <w:tcMar>
              <w:top w:w="108" w:type="dxa"/>
              <w:left w:w="0" w:type="dxa"/>
              <w:bottom w:w="108" w:type="dxa"/>
              <w:right w:w="170" w:type="dxa"/>
            </w:tcMar>
            <w:hideMark/>
          </w:tcPr>
          <w:p w:rsidR="00000000" w:rsidRDefault="000501AE">
            <w:pPr>
              <w:spacing w:before="170" w:after="193"/>
              <w:rPr>
                <w:rFonts w:ascii="var(--sans)" w:eastAsia="Times New Roman" w:hAnsi="var(--sans)"/>
                <w:sz w:val="19"/>
                <w:szCs w:val="19"/>
              </w:rPr>
            </w:pPr>
            <w:r>
              <w:rPr>
                <w:rFonts w:ascii="var(--sans)" w:eastAsia="Times New Roman" w:hAnsi="var(--sans)"/>
                <w:sz w:val="19"/>
                <w:szCs w:val="19"/>
              </w:rPr>
              <w:t>La universidad participa como mandante en un centro regional de supercómputo e inteligencia artificial aplicada, con financiamiento estatal de hasta siete millones de dólares. La Facultad de Derecho no participa ni es mencionada.</w:t>
            </w:r>
          </w:p>
        </w:tc>
        <w:tc>
          <w:tcPr>
            <w:tcW w:w="1928" w:type="dxa"/>
            <w:tcMar>
              <w:top w:w="108" w:type="dxa"/>
              <w:left w:w="0" w:type="dxa"/>
              <w:bottom w:w="108" w:type="dxa"/>
              <w:right w:w="170" w:type="dxa"/>
            </w:tcMar>
            <w:hideMark/>
          </w:tcPr>
          <w:p w:rsidR="00000000" w:rsidRDefault="000501AE">
            <w:pPr>
              <w:spacing w:before="170" w:after="193"/>
              <w:rPr>
                <w:rFonts w:ascii="var(--sans)" w:eastAsia="Times New Roman" w:hAnsi="var(--sans)"/>
                <w:sz w:val="18"/>
                <w:szCs w:val="18"/>
              </w:rPr>
            </w:pPr>
            <w:r>
              <w:rPr>
                <w:rFonts w:ascii="var(--sans)" w:eastAsia="Times New Roman" w:hAnsi="var(--sans)"/>
                <w:sz w:val="18"/>
                <w:szCs w:val="18"/>
              </w:rPr>
              <w:t>Universidad</w:t>
            </w:r>
          </w:p>
        </w:tc>
        <w:tc>
          <w:tcPr>
            <w:tcW w:w="1701" w:type="dxa"/>
            <w:tcMar>
              <w:top w:w="108" w:type="dxa"/>
              <w:left w:w="0" w:type="dxa"/>
              <w:bottom w:w="108" w:type="dxa"/>
              <w:right w:w="170" w:type="dxa"/>
            </w:tcMar>
            <w:hideMark/>
          </w:tcPr>
          <w:p w:rsidR="00000000" w:rsidRDefault="000501AE">
            <w:pPr>
              <w:spacing w:before="170" w:after="193"/>
              <w:rPr>
                <w:rFonts w:ascii="var(--sans)" w:eastAsia="Times New Roman" w:hAnsi="var(--sans)"/>
                <w:color w:val="5D6B7D"/>
                <w:sz w:val="18"/>
                <w:szCs w:val="18"/>
              </w:rPr>
            </w:pPr>
            <w:r>
              <w:rPr>
                <w:rFonts w:ascii="var(--sans)" w:eastAsia="Times New Roman" w:hAnsi="var(--sans)"/>
                <w:color w:val="5D6B7D"/>
                <w:sz w:val="18"/>
                <w:szCs w:val="18"/>
              </w:rPr>
              <w:t>verificada · entorno</w:t>
            </w:r>
          </w:p>
        </w:tc>
      </w:tr>
    </w:tbl>
    <w:p w:rsidR="00000000" w:rsidRDefault="000501AE">
      <w:pPr>
        <w:pStyle w:val="Ttulo5"/>
        <w:divId w:val="2066489775"/>
        <w:rPr>
          <w:rFonts w:eastAsia="Times New Roman"/>
        </w:rPr>
      </w:pPr>
      <w:r>
        <w:rPr>
          <w:rFonts w:eastAsia="Times New Roman"/>
        </w:rPr>
        <w:t>Lo que el dossier muestra cuando se lee entero</w:t>
      </w:r>
    </w:p>
    <w:p w:rsidR="00000000" w:rsidRDefault="000501AE">
      <w:pPr>
        <w:pStyle w:val="NormalWeb"/>
        <w:divId w:val="2066489775"/>
        <w:rPr>
          <w:rFonts w:ascii="var(--serif)" w:hAnsi="var(--serif)"/>
          <w:sz w:val="24"/>
          <w:szCs w:val="24"/>
        </w:rPr>
      </w:pPr>
      <w:r>
        <w:rPr>
          <w:rStyle w:val="Textoennegrita"/>
          <w:rFonts w:ascii="var(--serif)" w:hAnsi="var(--serif)"/>
          <w:sz w:val="24"/>
          <w:szCs w:val="24"/>
        </w:rPr>
        <w:t>Actividad densa desde 2020 y formalización casi nula.</w:t>
      </w:r>
      <w:r>
        <w:rPr>
          <w:rFonts w:ascii="var(--serif)" w:hAnsi="var(--serif)"/>
          <w:sz w:val="24"/>
          <w:szCs w:val="24"/>
        </w:rPr>
        <w:t xml:space="preserve"> Diecisiete registros en seis años, de siete clases distintas de mecanismo, y </w:t>
      </w:r>
      <w:r>
        <w:rPr>
          <w:rStyle w:val="Textoennegrita"/>
          <w:rFonts w:ascii="var(--serif)" w:hAnsi="var(--serif)"/>
          <w:sz w:val="24"/>
          <w:szCs w:val="24"/>
        </w:rPr>
        <w:t>dos instrumentos formales citables en todo e</w:t>
      </w:r>
      <w:r>
        <w:rPr>
          <w:rStyle w:val="Textoennegrita"/>
          <w:rFonts w:ascii="var(--serif)" w:hAnsi="var(--serif)"/>
          <w:sz w:val="24"/>
          <w:szCs w:val="24"/>
        </w:rPr>
        <w:t>l conjunto</w:t>
      </w:r>
      <w:r>
        <w:rPr>
          <w:rFonts w:ascii="var(--serif)" w:hAnsi="var(--serif)"/>
          <w:sz w:val="24"/>
          <w:szCs w:val="24"/>
        </w:rPr>
        <w:t>: un convenio de 2020 y un registro de propiedad intelectual de 2026. No hay decreto, resolución ni reglamento en ninguno de los diecisiete.</w:t>
      </w:r>
    </w:p>
    <w:p w:rsidR="00000000" w:rsidRDefault="000501AE">
      <w:pPr>
        <w:pStyle w:val="NormalWeb"/>
        <w:divId w:val="2066489775"/>
        <w:rPr>
          <w:rFonts w:ascii="var(--serif)" w:hAnsi="var(--serif)"/>
          <w:sz w:val="24"/>
          <w:szCs w:val="24"/>
        </w:rPr>
      </w:pPr>
      <w:r>
        <w:rPr>
          <w:rStyle w:val="Textoennegrita"/>
          <w:rFonts w:ascii="var(--serif)" w:hAnsi="var(--serif)"/>
          <w:sz w:val="24"/>
          <w:szCs w:val="24"/>
        </w:rPr>
        <w:t>Todo lo normativo lo dicta la universidad, y sugiere.</w:t>
      </w:r>
      <w:r>
        <w:rPr>
          <w:rFonts w:ascii="var(--serif)" w:hAnsi="var(--serif)"/>
          <w:sz w:val="24"/>
          <w:szCs w:val="24"/>
        </w:rPr>
        <w:t xml:space="preserve"> El decálogo, la política de integridad académica y </w:t>
      </w:r>
      <w:r>
        <w:rPr>
          <w:rFonts w:ascii="var(--serif)" w:hAnsi="var(--serif)"/>
          <w:sz w:val="24"/>
          <w:szCs w:val="24"/>
        </w:rPr>
        <w:t>el reglamento de disciplina son instrumentos de la Vicerrectoría Académica. La Facultad de Derecho no ha emitido ninguno.</w:t>
      </w:r>
    </w:p>
    <w:p w:rsidR="00000000" w:rsidRDefault="000501AE">
      <w:pPr>
        <w:pStyle w:val="NormalWeb"/>
        <w:divId w:val="2066489775"/>
        <w:rPr>
          <w:rFonts w:ascii="var(--serif)" w:hAnsi="var(--serif)"/>
          <w:sz w:val="24"/>
          <w:szCs w:val="24"/>
        </w:rPr>
      </w:pPr>
      <w:r>
        <w:rPr>
          <w:rStyle w:val="Textoennegrita"/>
          <w:rFonts w:ascii="var(--serif)" w:hAnsi="var(--serif)"/>
          <w:sz w:val="24"/>
          <w:szCs w:val="24"/>
        </w:rPr>
        <w:t>Ausencia sistemática de cifras.</w:t>
      </w:r>
      <w:r>
        <w:rPr>
          <w:rFonts w:ascii="var(--serif)" w:hAnsi="var(--serif)"/>
          <w:sz w:val="24"/>
          <w:szCs w:val="24"/>
        </w:rPr>
        <w:t xml:space="preserve"> No hay cifras de uso de la herramienta, ni montos de ningún fondo, ni asistentes de ningún seminario s</w:t>
      </w:r>
      <w:r>
        <w:rPr>
          <w:rFonts w:ascii="var(--serif)" w:hAnsi="var(--serif)"/>
          <w:sz w:val="24"/>
          <w:szCs w:val="24"/>
        </w:rPr>
        <w:t>alvo dos actividades, ni resultados de la edición 2025 del certamen. Las dos cifras que existen —noventa y cien participantes— corresponden a públicos mixtos y externos.</w:t>
      </w:r>
    </w:p>
    <w:p w:rsidR="00000000" w:rsidRDefault="000501AE">
      <w:pPr>
        <w:pStyle w:val="NormalWeb"/>
        <w:spacing w:after="193"/>
        <w:divId w:val="2066489775"/>
        <w:rPr>
          <w:rFonts w:ascii="var(--serif)" w:hAnsi="var(--serif)"/>
          <w:sz w:val="24"/>
          <w:szCs w:val="24"/>
        </w:rPr>
      </w:pPr>
      <w:r>
        <w:rPr>
          <w:rStyle w:val="Textoennegrita"/>
          <w:rFonts w:ascii="var(--serif)" w:hAnsi="var(--serif)"/>
          <w:sz w:val="24"/>
          <w:szCs w:val="24"/>
        </w:rPr>
        <w:t>Concentración en una persona.</w:t>
      </w:r>
      <w:r>
        <w:rPr>
          <w:rFonts w:ascii="var(--serif)" w:hAnsi="var(--serif)"/>
          <w:sz w:val="24"/>
          <w:szCs w:val="24"/>
        </w:rPr>
        <w:t xml:space="preserve"> Una misma persona dirige el Programa y el Laboratorio y </w:t>
      </w:r>
      <w:r>
        <w:rPr>
          <w:rFonts w:ascii="var(--serif)" w:hAnsi="var(--serif)"/>
          <w:sz w:val="24"/>
          <w:szCs w:val="24"/>
        </w:rPr>
        <w:t>es responsable de las cuatro adjudicaciones de vinculación con el medio de 2025 y 2026. La dirección de la unidad ha pasado por tres personas desde 2020 sin acto publicado en ninguna transición.</w:t>
      </w:r>
    </w:p>
    <w:sectPr w:rsidR="00000000">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r(--san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var(--mono)">
    <w:altName w:val="Times New Roman"/>
    <w:panose1 w:val="00000000000000000000"/>
    <w:charset w:val="00"/>
    <w:family w:val="roman"/>
    <w:notTrueType/>
    <w:pitch w:val="default"/>
    <w:sig w:usb0="00000000" w:usb1="00000000" w:usb2="00000000" w:usb3="00000000" w:csb0="00000000" w:csb1="00000000"/>
  </w:font>
  <w:font w:name="var(--serif)">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3F12F9"/>
    <w:multiLevelType w:val="multilevel"/>
    <w:tmpl w:val="0DE8C326"/>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1">
    <w:nsid w:val="62A06772"/>
    <w:multiLevelType w:val="multilevel"/>
    <w:tmpl w:val="A0D802A4"/>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nsid w:val="665F09EF"/>
    <w:multiLevelType w:val="multilevel"/>
    <w:tmpl w:val="9860288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70"/>
  <w:defaultTabStop w:val="708"/>
  <w:hyphenationZone w:val="425"/>
  <w:noPunctuationKerning/>
  <w:characterSpacingControl w:val="doNotCompress"/>
  <w:compat/>
  <w:rsids>
    <w:rsidRoot w:val="000501AE"/>
    <w:rsid w:val="000501AE"/>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sz w:val="24"/>
        <w:szCs w:val="24"/>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9"/>
      <w:szCs w:val="29"/>
    </w:rPr>
  </w:style>
  <w:style w:type="paragraph" w:styleId="Ttulo1">
    <w:name w:val="heading 1"/>
    <w:basedOn w:val="Normal"/>
    <w:link w:val="Ttulo1Car"/>
    <w:uiPriority w:val="9"/>
    <w:qFormat/>
    <w:pPr>
      <w:outlineLvl w:val="0"/>
    </w:pPr>
    <w:rPr>
      <w:rFonts w:ascii="var(--sans)" w:hAnsi="var(--sans)"/>
      <w:b/>
      <w:bCs/>
      <w:spacing w:val="-3"/>
      <w:kern w:val="36"/>
      <w:sz w:val="58"/>
      <w:szCs w:val="58"/>
    </w:rPr>
  </w:style>
  <w:style w:type="paragraph" w:styleId="Ttulo2">
    <w:name w:val="heading 2"/>
    <w:basedOn w:val="Normal"/>
    <w:link w:val="Ttulo2Car"/>
    <w:uiPriority w:val="9"/>
    <w:qFormat/>
    <w:pPr>
      <w:spacing w:after="170"/>
      <w:outlineLvl w:val="1"/>
    </w:pPr>
    <w:rPr>
      <w:rFonts w:ascii="var(--sans)" w:hAnsi="var(--sans)"/>
      <w:b/>
      <w:bCs/>
      <w:spacing w:val="-5"/>
      <w:sz w:val="48"/>
      <w:szCs w:val="48"/>
    </w:rPr>
  </w:style>
  <w:style w:type="paragraph" w:styleId="Ttulo3">
    <w:name w:val="heading 3"/>
    <w:basedOn w:val="Normal"/>
    <w:link w:val="Ttulo3Car"/>
    <w:uiPriority w:val="9"/>
    <w:qFormat/>
    <w:pPr>
      <w:spacing w:before="397" w:after="125"/>
      <w:outlineLvl w:val="2"/>
    </w:pPr>
    <w:rPr>
      <w:rFonts w:ascii="var(--sans)" w:hAnsi="var(--sans)"/>
      <w:b/>
      <w:bCs/>
      <w:spacing w:val="-3"/>
      <w:sz w:val="30"/>
      <w:szCs w:val="30"/>
    </w:rPr>
  </w:style>
  <w:style w:type="paragraph" w:styleId="Ttulo4">
    <w:name w:val="heading 4"/>
    <w:basedOn w:val="Normal"/>
    <w:link w:val="Ttulo4Car"/>
    <w:uiPriority w:val="9"/>
    <w:qFormat/>
    <w:pPr>
      <w:spacing w:before="272" w:after="79"/>
      <w:outlineLvl w:val="3"/>
    </w:pPr>
    <w:rPr>
      <w:rFonts w:ascii="var(--sans)" w:hAnsi="var(--sans)"/>
      <w:b/>
      <w:bCs/>
      <w:spacing w:val="-3"/>
      <w:sz w:val="25"/>
      <w:szCs w:val="25"/>
    </w:rPr>
  </w:style>
  <w:style w:type="paragraph" w:styleId="Ttulo5">
    <w:name w:val="heading 5"/>
    <w:basedOn w:val="Normal"/>
    <w:link w:val="Ttulo5Car"/>
    <w:uiPriority w:val="9"/>
    <w:qFormat/>
    <w:pPr>
      <w:spacing w:before="227" w:after="68"/>
      <w:outlineLvl w:val="4"/>
    </w:pPr>
    <w:rPr>
      <w:rFonts w:ascii="var(--sans)" w:hAnsi="var(--sans)"/>
      <w:b/>
      <w:bCs/>
      <w:caps/>
      <w:spacing w:val="22"/>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strike w:val="0"/>
      <w:dstrike w:val="0"/>
      <w:color w:val="0000FF"/>
      <w:u w:val="none"/>
      <w:effect w:val="none"/>
    </w:rPr>
  </w:style>
  <w:style w:type="character" w:styleId="Hipervnculovisitado">
    <w:name w:val="FollowedHyperlink"/>
    <w:basedOn w:val="Fuentedeprrafopredeter"/>
    <w:uiPriority w:val="99"/>
    <w:semiHidden/>
    <w:unhideWhenUsed/>
    <w:rPr>
      <w:strike w:val="0"/>
      <w:dstrike w:val="0"/>
      <w:color w:val="800080"/>
      <w:u w:val="none"/>
      <w:effect w:val="none"/>
    </w:rPr>
  </w:style>
  <w:style w:type="character" w:styleId="nfasis">
    <w:name w:val="Emphasis"/>
    <w:basedOn w:val="Fuentedeprrafopredeter"/>
    <w:uiPriority w:val="20"/>
    <w:qFormat/>
    <w:rPr>
      <w:i/>
      <w:iCs/>
    </w:r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365F91" w:themeColor="accent1" w:themeShade="BF"/>
      <w:sz w:val="34"/>
      <w:szCs w:val="34"/>
    </w:rPr>
  </w:style>
  <w:style w:type="character" w:customStyle="1" w:styleId="Ttulo2Car">
    <w:name w:val="Título 2 Car"/>
    <w:basedOn w:val="Fuentedeprrafopredeter"/>
    <w:link w:val="Ttulo2"/>
    <w:uiPriority w:val="9"/>
    <w:semiHidden/>
    <w:rPr>
      <w:rFonts w:asciiTheme="majorHAnsi" w:eastAsiaTheme="majorEastAsia" w:hAnsiTheme="majorHAnsi" w:cstheme="majorBidi"/>
      <w:b/>
      <w:bCs/>
      <w:color w:val="4F81BD" w:themeColor="accent1"/>
      <w:sz w:val="31"/>
      <w:szCs w:val="31"/>
    </w:rPr>
  </w:style>
  <w:style w:type="character" w:customStyle="1" w:styleId="Ttulo3Car">
    <w:name w:val="Título 3 Car"/>
    <w:basedOn w:val="Fuentedeprrafopredeter"/>
    <w:link w:val="Ttulo3"/>
    <w:uiPriority w:val="9"/>
    <w:semiHidden/>
    <w:rPr>
      <w:rFonts w:asciiTheme="majorHAnsi" w:eastAsiaTheme="majorEastAsia" w:hAnsiTheme="majorHAnsi" w:cstheme="majorBidi"/>
      <w:b/>
      <w:bCs/>
      <w:color w:val="4F81BD" w:themeColor="accent1"/>
      <w:sz w:val="29"/>
      <w:szCs w:val="29"/>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sz w:val="29"/>
      <w:szCs w:val="29"/>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3F60" w:themeColor="accent1" w:themeShade="7F"/>
      <w:sz w:val="29"/>
      <w:szCs w:val="29"/>
    </w:rPr>
  </w:style>
  <w:style w:type="character" w:styleId="Textoennegrita">
    <w:name w:val="Strong"/>
    <w:basedOn w:val="Fuentedeprrafopredeter"/>
    <w:uiPriority w:val="22"/>
    <w:qFormat/>
    <w:rPr>
      <w:b/>
      <w:bCs/>
    </w:rPr>
  </w:style>
  <w:style w:type="paragraph" w:styleId="NormalWeb">
    <w:name w:val="Normal (Web)"/>
    <w:basedOn w:val="Normal"/>
    <w:uiPriority w:val="99"/>
    <w:semiHidden/>
    <w:unhideWhenUsed/>
    <w:pPr>
      <w:spacing w:after="130"/>
      <w:jc w:val="both"/>
    </w:pPr>
  </w:style>
  <w:style w:type="paragraph" w:customStyle="1" w:styleId="lead">
    <w:name w:val="lead"/>
    <w:basedOn w:val="Normal"/>
    <w:pPr>
      <w:spacing w:after="130"/>
    </w:pPr>
    <w:rPr>
      <w:sz w:val="26"/>
      <w:szCs w:val="26"/>
    </w:rPr>
  </w:style>
  <w:style w:type="paragraph" w:customStyle="1" w:styleId="nobreak">
    <w:name w:val="nobreak"/>
    <w:basedOn w:val="Normal"/>
    <w:pPr>
      <w:spacing w:after="130"/>
      <w:jc w:val="both"/>
    </w:pPr>
  </w:style>
  <w:style w:type="paragraph" w:customStyle="1" w:styleId="eyebrow">
    <w:name w:val="eyebrow"/>
    <w:basedOn w:val="Normal"/>
    <w:pPr>
      <w:spacing w:after="113"/>
      <w:jc w:val="both"/>
    </w:pPr>
    <w:rPr>
      <w:rFonts w:ascii="var(--sans)" w:hAnsi="var(--sans)"/>
      <w:caps/>
      <w:spacing w:val="36"/>
      <w:sz w:val="18"/>
      <w:szCs w:val="18"/>
    </w:rPr>
  </w:style>
  <w:style w:type="paragraph" w:customStyle="1" w:styleId="sec-no">
    <w:name w:val="sec-no"/>
    <w:basedOn w:val="Normal"/>
    <w:pPr>
      <w:spacing w:after="130"/>
      <w:jc w:val="both"/>
    </w:pPr>
    <w:rPr>
      <w:rFonts w:ascii="var(--sans)" w:hAnsi="var(--sans)"/>
      <w:caps/>
      <w:spacing w:val="34"/>
      <w:sz w:val="19"/>
      <w:szCs w:val="19"/>
    </w:rPr>
  </w:style>
  <w:style w:type="paragraph" w:customStyle="1" w:styleId="rule">
    <w:name w:val="rule"/>
    <w:basedOn w:val="Normal"/>
    <w:pPr>
      <w:spacing w:after="284"/>
      <w:jc w:val="both"/>
    </w:pPr>
  </w:style>
  <w:style w:type="paragraph" w:customStyle="1" w:styleId="cover">
    <w:name w:val="cover"/>
    <w:basedOn w:val="Normal"/>
    <w:pPr>
      <w:jc w:val="both"/>
    </w:pPr>
    <w:rPr>
      <w:color w:val="EAF1F7"/>
    </w:rPr>
  </w:style>
  <w:style w:type="paragraph" w:customStyle="1" w:styleId="cv-top">
    <w:name w:val="cv-top"/>
    <w:basedOn w:val="Normal"/>
    <w:pPr>
      <w:spacing w:after="130"/>
      <w:jc w:val="both"/>
    </w:pPr>
  </w:style>
  <w:style w:type="paragraph" w:customStyle="1" w:styleId="cv-org">
    <w:name w:val="cv-org"/>
    <w:basedOn w:val="Normal"/>
    <w:pPr>
      <w:spacing w:after="130"/>
      <w:jc w:val="both"/>
    </w:pPr>
    <w:rPr>
      <w:rFonts w:ascii="var(--sans)" w:hAnsi="var(--sans)"/>
      <w:b/>
      <w:bCs/>
      <w:caps/>
      <w:color w:val="9FD6D3"/>
      <w:spacing w:val="29"/>
      <w:sz w:val="19"/>
      <w:szCs w:val="19"/>
    </w:rPr>
  </w:style>
  <w:style w:type="paragraph" w:customStyle="1" w:styleId="cv-badge">
    <w:name w:val="cv-badge"/>
    <w:basedOn w:val="Normal"/>
    <w:pPr>
      <w:spacing w:after="130"/>
      <w:jc w:val="both"/>
    </w:pPr>
    <w:rPr>
      <w:rFonts w:ascii="var(--mono)" w:hAnsi="var(--mono)"/>
      <w:color w:val="A8DEDB"/>
      <w:spacing w:val="24"/>
      <w:sz w:val="18"/>
      <w:szCs w:val="18"/>
    </w:rPr>
  </w:style>
  <w:style w:type="paragraph" w:customStyle="1" w:styleId="cv-mid">
    <w:name w:val="cv-mid"/>
    <w:basedOn w:val="Normal"/>
    <w:pPr>
      <w:spacing w:before="100" w:beforeAutospacing="1" w:after="130"/>
      <w:jc w:val="both"/>
    </w:pPr>
  </w:style>
  <w:style w:type="paragraph" w:customStyle="1" w:styleId="cv-kicker">
    <w:name w:val="cv-kicker"/>
    <w:basedOn w:val="Normal"/>
    <w:pPr>
      <w:spacing w:after="340"/>
      <w:jc w:val="both"/>
    </w:pPr>
    <w:rPr>
      <w:rFonts w:ascii="var(--sans)" w:hAnsi="var(--sans)"/>
      <w:caps/>
      <w:color w:val="5FBFBB"/>
      <w:spacing w:val="41"/>
      <w:sz w:val="20"/>
      <w:szCs w:val="20"/>
    </w:rPr>
  </w:style>
  <w:style w:type="paragraph" w:customStyle="1" w:styleId="cv-title">
    <w:name w:val="cv-title"/>
    <w:basedOn w:val="Normal"/>
    <w:pPr>
      <w:spacing w:after="340"/>
      <w:jc w:val="both"/>
    </w:pPr>
    <w:rPr>
      <w:rFonts w:ascii="var(--sans)" w:hAnsi="var(--sans)"/>
      <w:color w:val="FFFFFF"/>
      <w:spacing w:val="-8"/>
      <w:sz w:val="94"/>
      <w:szCs w:val="94"/>
    </w:rPr>
  </w:style>
  <w:style w:type="paragraph" w:customStyle="1" w:styleId="cv-sub">
    <w:name w:val="cv-sub"/>
    <w:basedOn w:val="Normal"/>
    <w:pPr>
      <w:spacing w:after="454"/>
      <w:jc w:val="both"/>
    </w:pPr>
    <w:rPr>
      <w:rFonts w:ascii="var(--serif)" w:hAnsi="var(--serif)"/>
      <w:i/>
      <w:iCs/>
      <w:color w:val="BCD0E0"/>
      <w:sz w:val="31"/>
      <w:szCs w:val="31"/>
    </w:rPr>
  </w:style>
  <w:style w:type="paragraph" w:customStyle="1" w:styleId="cv-tag">
    <w:name w:val="cv-tag"/>
    <w:basedOn w:val="Normal"/>
    <w:pPr>
      <w:shd w:val="clear" w:color="auto" w:fill="7AD0CD"/>
      <w:spacing w:after="130"/>
      <w:jc w:val="both"/>
    </w:pPr>
    <w:rPr>
      <w:rFonts w:ascii="var(--sans)" w:hAnsi="var(--sans)"/>
      <w:b/>
      <w:bCs/>
      <w:caps/>
      <w:color w:val="0A1220"/>
      <w:spacing w:val="24"/>
      <w:sz w:val="19"/>
      <w:szCs w:val="19"/>
    </w:rPr>
  </w:style>
  <w:style w:type="paragraph" w:customStyle="1" w:styleId="cv-grid">
    <w:name w:val="cv-grid"/>
    <w:basedOn w:val="Normal"/>
    <w:pPr>
      <w:spacing w:before="510" w:after="130"/>
      <w:jc w:val="both"/>
    </w:pPr>
  </w:style>
  <w:style w:type="paragraph" w:customStyle="1" w:styleId="cv-cell">
    <w:name w:val="cv-cell"/>
    <w:basedOn w:val="Normal"/>
    <w:pPr>
      <w:spacing w:after="130"/>
      <w:jc w:val="both"/>
    </w:pPr>
  </w:style>
  <w:style w:type="paragraph" w:customStyle="1" w:styleId="cv-k">
    <w:name w:val="cv-k"/>
    <w:basedOn w:val="Normal"/>
    <w:pPr>
      <w:spacing w:after="91"/>
      <w:jc w:val="both"/>
    </w:pPr>
    <w:rPr>
      <w:rFonts w:ascii="var(--sans)" w:hAnsi="var(--sans)"/>
      <w:b/>
      <w:bCs/>
      <w:caps/>
      <w:color w:val="7F9BB0"/>
      <w:spacing w:val="34"/>
      <w:sz w:val="17"/>
      <w:szCs w:val="17"/>
    </w:rPr>
  </w:style>
  <w:style w:type="paragraph" w:customStyle="1" w:styleId="cv-v">
    <w:name w:val="cv-v"/>
    <w:basedOn w:val="Normal"/>
    <w:pPr>
      <w:spacing w:after="130"/>
      <w:jc w:val="both"/>
    </w:pPr>
    <w:rPr>
      <w:rFonts w:ascii="var(--sans)" w:hAnsi="var(--sans)"/>
      <w:b/>
      <w:bCs/>
      <w:color w:val="E9F2F8"/>
      <w:sz w:val="24"/>
      <w:szCs w:val="24"/>
    </w:rPr>
  </w:style>
  <w:style w:type="paragraph" w:customStyle="1" w:styleId="cv-foot">
    <w:name w:val="cv-foot"/>
    <w:basedOn w:val="Normal"/>
    <w:pPr>
      <w:spacing w:before="397" w:after="130"/>
      <w:jc w:val="both"/>
    </w:pPr>
    <w:rPr>
      <w:rFonts w:ascii="var(--sans)" w:hAnsi="var(--sans)"/>
      <w:color w:val="8FA6BA"/>
      <w:sz w:val="19"/>
      <w:szCs w:val="19"/>
    </w:rPr>
  </w:style>
  <w:style w:type="paragraph" w:customStyle="1" w:styleId="box">
    <w:name w:val="box"/>
    <w:basedOn w:val="Normal"/>
    <w:pPr>
      <w:spacing w:before="193" w:after="193"/>
      <w:jc w:val="both"/>
    </w:pPr>
  </w:style>
  <w:style w:type="paragraph" w:customStyle="1" w:styleId="limite">
    <w:name w:val="limite"/>
    <w:basedOn w:val="Normal"/>
    <w:pPr>
      <w:spacing w:before="142" w:after="170"/>
      <w:jc w:val="both"/>
    </w:pPr>
    <w:rPr>
      <w:i/>
      <w:iCs/>
      <w:sz w:val="22"/>
      <w:szCs w:val="22"/>
    </w:rPr>
  </w:style>
  <w:style w:type="paragraph" w:customStyle="1" w:styleId="tbl-note">
    <w:name w:val="tbl-note"/>
    <w:basedOn w:val="Normal"/>
    <w:pPr>
      <w:spacing w:after="227"/>
      <w:jc w:val="both"/>
    </w:pPr>
    <w:rPr>
      <w:rFonts w:ascii="var(--sans)" w:hAnsi="var(--sans)"/>
      <w:sz w:val="19"/>
      <w:szCs w:val="19"/>
    </w:rPr>
  </w:style>
  <w:style w:type="paragraph" w:customStyle="1" w:styleId="chip">
    <w:name w:val="chip"/>
    <w:basedOn w:val="Normal"/>
    <w:pPr>
      <w:spacing w:after="130"/>
      <w:jc w:val="both"/>
    </w:pPr>
    <w:rPr>
      <w:rFonts w:ascii="var(--sans)" w:hAnsi="var(--sans)"/>
      <w:spacing w:val="14"/>
      <w:sz w:val="17"/>
      <w:szCs w:val="17"/>
    </w:rPr>
  </w:style>
  <w:style w:type="paragraph" w:customStyle="1" w:styleId="c-op">
    <w:name w:val="c-op"/>
    <w:basedOn w:val="Normal"/>
    <w:pPr>
      <w:shd w:val="clear" w:color="auto" w:fill="DCF0EF"/>
      <w:spacing w:after="130"/>
      <w:jc w:val="both"/>
    </w:pPr>
    <w:rPr>
      <w:color w:val="065F5C"/>
    </w:rPr>
  </w:style>
  <w:style w:type="paragraph" w:customStyle="1" w:styleId="c-opf">
    <w:name w:val="c-opf"/>
    <w:basedOn w:val="Normal"/>
    <w:pPr>
      <w:shd w:val="clear" w:color="auto" w:fill="0F4C81"/>
      <w:spacing w:after="130"/>
      <w:jc w:val="both"/>
    </w:pPr>
    <w:rPr>
      <w:color w:val="FFFFFF"/>
    </w:rPr>
  </w:style>
  <w:style w:type="paragraph" w:customStyle="1" w:styleId="c-inc">
    <w:name w:val="c-inc"/>
    <w:basedOn w:val="Normal"/>
    <w:pPr>
      <w:shd w:val="clear" w:color="auto" w:fill="FDEEDD"/>
      <w:spacing w:after="130"/>
      <w:jc w:val="both"/>
    </w:pPr>
    <w:rPr>
      <w:color w:val="8A4A1C"/>
    </w:rPr>
  </w:style>
  <w:style w:type="paragraph" w:customStyle="1" w:styleId="c-ent">
    <w:name w:val="c-ent"/>
    <w:basedOn w:val="Normal"/>
    <w:pPr>
      <w:shd w:val="clear" w:color="auto" w:fill="E7EDF4"/>
      <w:spacing w:after="130"/>
      <w:jc w:val="both"/>
    </w:pPr>
    <w:rPr>
      <w:color w:val="3D556E"/>
    </w:rPr>
  </w:style>
  <w:style w:type="paragraph" w:customStyle="1" w:styleId="c-nl">
    <w:name w:val="c-nl"/>
    <w:basedOn w:val="Normal"/>
    <w:pPr>
      <w:shd w:val="clear" w:color="auto" w:fill="F2F4F7"/>
      <w:spacing w:after="130"/>
      <w:jc w:val="both"/>
    </w:pPr>
    <w:rPr>
      <w:color w:val="6B7684"/>
    </w:rPr>
  </w:style>
  <w:style w:type="paragraph" w:customStyle="1" w:styleId="c-nc">
    <w:name w:val="c-nc"/>
    <w:basedOn w:val="Normal"/>
    <w:pPr>
      <w:pBdr>
        <w:top w:val="dashed" w:sz="2" w:space="0" w:color="C3CCD6"/>
        <w:left w:val="dashed" w:sz="2" w:space="0" w:color="C3CCD6"/>
        <w:bottom w:val="dashed" w:sz="2" w:space="0" w:color="C3CCD6"/>
        <w:right w:val="dashed" w:sz="2" w:space="0" w:color="C3CCD6"/>
      </w:pBdr>
      <w:shd w:val="clear" w:color="auto" w:fill="FFFFFF"/>
      <w:spacing w:after="130"/>
      <w:jc w:val="both"/>
    </w:pPr>
    <w:rPr>
      <w:color w:val="98A3B2"/>
    </w:rPr>
  </w:style>
  <w:style w:type="paragraph" w:customStyle="1" w:styleId="fig-q">
    <w:name w:val="fig-q"/>
    <w:basedOn w:val="Normal"/>
    <w:pPr>
      <w:spacing w:after="102"/>
      <w:jc w:val="both"/>
    </w:pPr>
    <w:rPr>
      <w:rFonts w:ascii="var(--sans)" w:hAnsi="var(--sans)"/>
      <w:caps/>
      <w:spacing w:val="26"/>
      <w:sz w:val="18"/>
      <w:szCs w:val="18"/>
    </w:rPr>
  </w:style>
  <w:style w:type="paragraph" w:customStyle="1" w:styleId="fig-t">
    <w:name w:val="fig-t"/>
    <w:basedOn w:val="Normal"/>
    <w:pPr>
      <w:spacing w:after="227"/>
      <w:jc w:val="both"/>
    </w:pPr>
    <w:rPr>
      <w:rFonts w:ascii="var(--sans)" w:hAnsi="var(--sans)"/>
      <w:b/>
      <w:bCs/>
      <w:spacing w:val="-3"/>
      <w:sz w:val="30"/>
      <w:szCs w:val="30"/>
    </w:rPr>
  </w:style>
  <w:style w:type="paragraph" w:customStyle="1" w:styleId="leg">
    <w:name w:val="leg"/>
    <w:basedOn w:val="Normal"/>
    <w:pPr>
      <w:spacing w:before="142" w:after="130"/>
      <w:jc w:val="both"/>
    </w:pPr>
    <w:rPr>
      <w:rFonts w:ascii="var(--sans)" w:hAnsi="var(--sans)"/>
      <w:sz w:val="18"/>
      <w:szCs w:val="18"/>
    </w:rPr>
  </w:style>
  <w:style w:type="paragraph" w:customStyle="1" w:styleId="toc">
    <w:name w:val="toc"/>
    <w:basedOn w:val="Normal"/>
    <w:pPr>
      <w:spacing w:after="130"/>
      <w:jc w:val="both"/>
    </w:pPr>
    <w:rPr>
      <w:rFonts w:ascii="var(--sans)" w:hAnsi="var(--sans)"/>
      <w:sz w:val="22"/>
      <w:szCs w:val="22"/>
    </w:rPr>
  </w:style>
  <w:style w:type="paragraph" w:customStyle="1" w:styleId="toc-i">
    <w:name w:val="toc-i"/>
    <w:basedOn w:val="Normal"/>
    <w:pPr>
      <w:spacing w:after="130"/>
      <w:jc w:val="both"/>
    </w:pPr>
  </w:style>
  <w:style w:type="paragraph" w:customStyle="1" w:styleId="toc-n">
    <w:name w:val="toc-n"/>
    <w:basedOn w:val="Normal"/>
    <w:pPr>
      <w:spacing w:after="130"/>
      <w:jc w:val="both"/>
    </w:pPr>
    <w:rPr>
      <w:sz w:val="18"/>
      <w:szCs w:val="18"/>
    </w:rPr>
  </w:style>
  <w:style w:type="paragraph" w:customStyle="1" w:styleId="toc-h">
    <w:name w:val="toc-h"/>
    <w:basedOn w:val="Normal"/>
    <w:pPr>
      <w:spacing w:before="284" w:after="85"/>
      <w:jc w:val="both"/>
    </w:pPr>
    <w:rPr>
      <w:rFonts w:ascii="var(--sans)" w:hAnsi="var(--sans)"/>
      <w:caps/>
      <w:spacing w:val="31"/>
      <w:sz w:val="18"/>
      <w:szCs w:val="18"/>
    </w:rPr>
  </w:style>
  <w:style w:type="paragraph" w:customStyle="1" w:styleId="kpis">
    <w:name w:val="kpis"/>
    <w:basedOn w:val="Normal"/>
    <w:pPr>
      <w:spacing w:before="227" w:after="284"/>
      <w:jc w:val="both"/>
    </w:pPr>
  </w:style>
  <w:style w:type="paragraph" w:customStyle="1" w:styleId="kpi">
    <w:name w:val="kpi"/>
    <w:basedOn w:val="Normal"/>
    <w:pPr>
      <w:shd w:val="clear" w:color="auto" w:fill="FFFFFF"/>
      <w:spacing w:after="130"/>
      <w:jc w:val="both"/>
    </w:pPr>
  </w:style>
  <w:style w:type="paragraph" w:customStyle="1" w:styleId="kpi-v">
    <w:name w:val="kpi-v"/>
    <w:basedOn w:val="Normal"/>
    <w:pPr>
      <w:spacing w:after="130"/>
      <w:jc w:val="both"/>
    </w:pPr>
    <w:rPr>
      <w:rFonts w:ascii="var(--sans)" w:hAnsi="var(--sans)"/>
      <w:spacing w:val="-7"/>
      <w:sz w:val="50"/>
      <w:szCs w:val="50"/>
    </w:rPr>
  </w:style>
  <w:style w:type="paragraph" w:customStyle="1" w:styleId="kpi-l">
    <w:name w:val="kpi-l"/>
    <w:basedOn w:val="Normal"/>
    <w:pPr>
      <w:spacing w:before="113" w:after="130"/>
      <w:jc w:val="both"/>
    </w:pPr>
    <w:rPr>
      <w:rFonts w:ascii="var(--sans)" w:hAnsi="var(--sans)"/>
      <w:sz w:val="18"/>
      <w:szCs w:val="18"/>
    </w:rPr>
  </w:style>
  <w:style w:type="paragraph" w:customStyle="1" w:styleId="kpi-d">
    <w:name w:val="kpi-d"/>
    <w:basedOn w:val="Normal"/>
    <w:pPr>
      <w:spacing w:before="79" w:after="130"/>
      <w:jc w:val="both"/>
    </w:pPr>
    <w:rPr>
      <w:rFonts w:ascii="var(--sans)" w:hAnsi="var(--sans)"/>
      <w:caps/>
      <w:spacing w:val="12"/>
      <w:sz w:val="17"/>
      <w:szCs w:val="17"/>
    </w:rPr>
  </w:style>
  <w:style w:type="paragraph" w:customStyle="1" w:styleId="hall">
    <w:name w:val="hall"/>
    <w:basedOn w:val="Normal"/>
    <w:pPr>
      <w:spacing w:after="318"/>
      <w:jc w:val="both"/>
    </w:pPr>
  </w:style>
  <w:style w:type="paragraph" w:customStyle="1" w:styleId="hall-h">
    <w:name w:val="hall-h"/>
    <w:basedOn w:val="Normal"/>
    <w:pPr>
      <w:spacing w:after="136"/>
      <w:jc w:val="both"/>
    </w:pPr>
  </w:style>
  <w:style w:type="paragraph" w:customStyle="1" w:styleId="hall-n">
    <w:name w:val="hall-n"/>
    <w:basedOn w:val="Normal"/>
    <w:pPr>
      <w:spacing w:after="130"/>
      <w:jc w:val="both"/>
    </w:pPr>
    <w:rPr>
      <w:rFonts w:ascii="var(--sans)" w:hAnsi="var(--sans)"/>
      <w:b/>
      <w:bCs/>
      <w:color w:val="FFFFFF"/>
      <w:spacing w:val="12"/>
      <w:sz w:val="19"/>
      <w:szCs w:val="19"/>
    </w:rPr>
  </w:style>
  <w:style w:type="paragraph" w:customStyle="1" w:styleId="hall-t">
    <w:name w:val="hall-t"/>
    <w:basedOn w:val="Normal"/>
    <w:pPr>
      <w:spacing w:after="130"/>
      <w:jc w:val="both"/>
    </w:pPr>
    <w:rPr>
      <w:rFonts w:ascii="var(--sans)" w:hAnsi="var(--sans)"/>
      <w:b/>
      <w:bCs/>
      <w:spacing w:val="-3"/>
    </w:rPr>
  </w:style>
  <w:style w:type="paragraph" w:customStyle="1" w:styleId="hall-b">
    <w:name w:val="hall-b"/>
    <w:basedOn w:val="Normal"/>
    <w:pPr>
      <w:spacing w:after="130"/>
      <w:jc w:val="both"/>
    </w:pPr>
  </w:style>
  <w:style w:type="paragraph" w:customStyle="1" w:styleId="dato">
    <w:name w:val="dato"/>
    <w:basedOn w:val="Normal"/>
    <w:pPr>
      <w:spacing w:after="130"/>
      <w:jc w:val="both"/>
    </w:pPr>
    <w:rPr>
      <w:rFonts w:ascii="var(--sans)" w:hAnsi="var(--sans)"/>
      <w:caps/>
      <w:spacing w:val="26"/>
      <w:sz w:val="17"/>
      <w:szCs w:val="17"/>
    </w:rPr>
  </w:style>
  <w:style w:type="paragraph" w:customStyle="1" w:styleId="src">
    <w:name w:val="src"/>
    <w:basedOn w:val="Normal"/>
    <w:pPr>
      <w:spacing w:before="85" w:after="130"/>
      <w:jc w:val="both"/>
    </w:pPr>
    <w:rPr>
      <w:rFonts w:ascii="var(--mono)" w:hAnsi="var(--mono)"/>
      <w:sz w:val="17"/>
      <w:szCs w:val="17"/>
    </w:rPr>
  </w:style>
  <w:style w:type="paragraph" w:customStyle="1" w:styleId="rec">
    <w:name w:val="rec"/>
    <w:basedOn w:val="Normal"/>
    <w:pPr>
      <w:shd w:val="clear" w:color="auto" w:fill="FFFFFF"/>
      <w:spacing w:before="193" w:after="193"/>
      <w:jc w:val="both"/>
    </w:pPr>
  </w:style>
  <w:style w:type="paragraph" w:customStyle="1" w:styleId="rec-h">
    <w:name w:val="rec-h"/>
    <w:basedOn w:val="Normal"/>
    <w:pPr>
      <w:spacing w:after="170"/>
      <w:jc w:val="both"/>
    </w:pPr>
  </w:style>
  <w:style w:type="paragraph" w:customStyle="1" w:styleId="rec-id">
    <w:name w:val="rec-id"/>
    <w:basedOn w:val="Normal"/>
    <w:pPr>
      <w:spacing w:after="130"/>
      <w:jc w:val="both"/>
    </w:pPr>
    <w:rPr>
      <w:rFonts w:ascii="var(--mono)" w:hAnsi="var(--mono)"/>
      <w:b/>
      <w:bCs/>
      <w:color w:val="FFFFFF"/>
      <w:sz w:val="20"/>
      <w:szCs w:val="20"/>
    </w:rPr>
  </w:style>
  <w:style w:type="paragraph" w:customStyle="1" w:styleId="rec-t">
    <w:name w:val="rec-t"/>
    <w:basedOn w:val="Normal"/>
    <w:pPr>
      <w:spacing w:after="130"/>
      <w:jc w:val="both"/>
    </w:pPr>
    <w:rPr>
      <w:rFonts w:ascii="var(--sans)" w:hAnsi="var(--sans)"/>
      <w:b/>
      <w:bCs/>
      <w:sz w:val="25"/>
      <w:szCs w:val="25"/>
    </w:rPr>
  </w:style>
  <w:style w:type="paragraph" w:customStyle="1" w:styleId="rec-g">
    <w:name w:val="rec-g"/>
    <w:basedOn w:val="Normal"/>
    <w:pPr>
      <w:spacing w:after="130"/>
      <w:jc w:val="both"/>
    </w:pPr>
    <w:rPr>
      <w:sz w:val="22"/>
      <w:szCs w:val="22"/>
    </w:rPr>
  </w:style>
  <w:style w:type="paragraph" w:customStyle="1" w:styleId="rec-k">
    <w:name w:val="rec-k"/>
    <w:basedOn w:val="Normal"/>
    <w:pPr>
      <w:spacing w:after="130"/>
      <w:jc w:val="both"/>
    </w:pPr>
    <w:rPr>
      <w:rFonts w:ascii="var(--sans)" w:hAnsi="var(--sans)"/>
      <w:caps/>
      <w:spacing w:val="24"/>
      <w:sz w:val="17"/>
      <w:szCs w:val="17"/>
    </w:rPr>
  </w:style>
  <w:style w:type="paragraph" w:customStyle="1" w:styleId="hdr">
    <w:name w:val="hdr"/>
    <w:basedOn w:val="Normal"/>
    <w:pPr>
      <w:spacing w:after="340"/>
      <w:jc w:val="both"/>
    </w:pPr>
    <w:rPr>
      <w:rFonts w:ascii="var(--sans)" w:hAnsi="var(--sans)"/>
      <w:spacing w:val="12"/>
      <w:sz w:val="17"/>
      <w:szCs w:val="17"/>
    </w:rPr>
  </w:style>
  <w:style w:type="paragraph" w:customStyle="1" w:styleId="srcrow">
    <w:name w:val="srcrow"/>
    <w:basedOn w:val="Normal"/>
    <w:pPr>
      <w:spacing w:after="130"/>
      <w:jc w:val="both"/>
    </w:pPr>
    <w:rPr>
      <w:rFonts w:ascii="var(--sans)" w:hAnsi="var(--sans)"/>
      <w:sz w:val="18"/>
      <w:szCs w:val="18"/>
    </w:rPr>
  </w:style>
  <w:style w:type="paragraph" w:customStyle="1" w:styleId="srcid">
    <w:name w:val="srcid"/>
    <w:basedOn w:val="Normal"/>
    <w:pPr>
      <w:spacing w:after="130"/>
      <w:jc w:val="both"/>
    </w:pPr>
    <w:rPr>
      <w:rFonts w:ascii="var(--mono)" w:hAnsi="var(--mono)"/>
      <w:b/>
      <w:bCs/>
      <w:sz w:val="17"/>
      <w:szCs w:val="17"/>
    </w:rPr>
  </w:style>
  <w:style w:type="paragraph" w:customStyle="1" w:styleId="srcurl">
    <w:name w:val="srcurl"/>
    <w:basedOn w:val="Normal"/>
    <w:pPr>
      <w:wordWrap w:val="0"/>
      <w:spacing w:before="40" w:after="130"/>
      <w:jc w:val="both"/>
    </w:pPr>
    <w:rPr>
      <w:rFonts w:ascii="var(--mono)" w:hAnsi="var(--mono)"/>
      <w:sz w:val="16"/>
      <w:szCs w:val="16"/>
    </w:rPr>
  </w:style>
  <w:style w:type="paragraph" w:customStyle="1" w:styleId="div-item">
    <w:name w:val="div-item"/>
    <w:basedOn w:val="Normal"/>
    <w:pPr>
      <w:spacing w:after="164"/>
      <w:jc w:val="both"/>
    </w:pPr>
  </w:style>
  <w:style w:type="paragraph" w:customStyle="1" w:styleId="div-id">
    <w:name w:val="div-id"/>
    <w:basedOn w:val="Normal"/>
    <w:pPr>
      <w:spacing w:after="130"/>
      <w:jc w:val="both"/>
    </w:pPr>
    <w:rPr>
      <w:rFonts w:ascii="var(--mono)" w:hAnsi="var(--mono)"/>
      <w:b/>
      <w:bCs/>
      <w:sz w:val="18"/>
      <w:szCs w:val="18"/>
    </w:rPr>
  </w:style>
  <w:style w:type="paragraph" w:customStyle="1" w:styleId="div-t">
    <w:name w:val="div-t"/>
    <w:basedOn w:val="Normal"/>
    <w:pPr>
      <w:spacing w:before="34" w:after="57"/>
      <w:jc w:val="both"/>
    </w:pPr>
    <w:rPr>
      <w:rFonts w:ascii="var(--sans)" w:hAnsi="var(--sans)"/>
      <w:b/>
      <w:bCs/>
      <w:sz w:val="22"/>
      <w:szCs w:val="22"/>
    </w:rPr>
  </w:style>
  <w:style w:type="paragraph" w:customStyle="1" w:styleId="div-b">
    <w:name w:val="div-b"/>
    <w:basedOn w:val="Normal"/>
    <w:pPr>
      <w:jc w:val="both"/>
    </w:pPr>
    <w:rPr>
      <w:sz w:val="22"/>
      <w:szCs w:val="22"/>
    </w:rPr>
  </w:style>
  <w:style w:type="paragraph" w:customStyle="1" w:styleId="hl">
    <w:name w:val="hl"/>
    <w:basedOn w:val="Normal"/>
    <w:pPr>
      <w:spacing w:after="130"/>
      <w:jc w:val="both"/>
    </w:pPr>
  </w:style>
  <w:style w:type="paragraph" w:customStyle="1" w:styleId="hl1">
    <w:name w:val="hl1"/>
    <w:basedOn w:val="Normal"/>
    <w:pPr>
      <w:spacing w:after="130"/>
      <w:jc w:val="both"/>
    </w:pPr>
    <w:rPr>
      <w:color w:val="7AD0CD"/>
    </w:rPr>
  </w:style>
  <w:style w:type="character" w:customStyle="1" w:styleId="hl2">
    <w:name w:val="hl2"/>
    <w:basedOn w:val="Fuentedeprrafopredeter"/>
    <w:rPr>
      <w:color w:val="7AD0CD"/>
    </w:rPr>
  </w:style>
  <w:style w:type="character" w:customStyle="1" w:styleId="cv-tag1">
    <w:name w:val="cv-tag1"/>
    <w:basedOn w:val="Fuentedeprrafopredeter"/>
    <w:rPr>
      <w:rFonts w:ascii="var(--sans)" w:hAnsi="var(--sans)" w:hint="default"/>
      <w:b/>
      <w:bCs/>
      <w:caps/>
      <w:color w:val="0A1220"/>
      <w:spacing w:val="24"/>
      <w:sz w:val="19"/>
      <w:szCs w:val="19"/>
      <w:shd w:val="clear" w:color="auto" w:fill="7AD0CD"/>
    </w:rPr>
  </w:style>
  <w:style w:type="character" w:customStyle="1" w:styleId="rec-id1">
    <w:name w:val="rec-id1"/>
    <w:basedOn w:val="Fuentedeprrafopredeter"/>
    <w:rPr>
      <w:rFonts w:ascii="var(--mono)" w:hAnsi="var(--mono)" w:hint="default"/>
      <w:b/>
      <w:bCs/>
      <w:color w:val="FFFFFF"/>
      <w:sz w:val="20"/>
      <w:szCs w:val="20"/>
    </w:rPr>
  </w:style>
  <w:style w:type="character" w:customStyle="1" w:styleId="rec-t1">
    <w:name w:val="rec-t1"/>
    <w:basedOn w:val="Fuentedeprrafopredeter"/>
    <w:rPr>
      <w:rFonts w:ascii="var(--sans)" w:hAnsi="var(--sans)" w:hint="default"/>
      <w:b/>
      <w:bCs/>
      <w:sz w:val="25"/>
      <w:szCs w:val="25"/>
    </w:rPr>
  </w:style>
</w:styles>
</file>

<file path=word/webSettings.xml><?xml version="1.0" encoding="utf-8"?>
<w:webSettings xmlns:r="http://schemas.openxmlformats.org/officeDocument/2006/relationships" xmlns:w="http://schemas.openxmlformats.org/wordprocessingml/2006/main">
  <w:divs>
    <w:div w:id="110825385">
      <w:marLeft w:val="0"/>
      <w:marRight w:val="0"/>
      <w:marTop w:val="0"/>
      <w:marBottom w:val="0"/>
      <w:divBdr>
        <w:top w:val="none" w:sz="0" w:space="0" w:color="auto"/>
        <w:left w:val="none" w:sz="0" w:space="0" w:color="auto"/>
        <w:bottom w:val="none" w:sz="0" w:space="0" w:color="auto"/>
        <w:right w:val="none" w:sz="0" w:space="0" w:color="auto"/>
      </w:divBdr>
      <w:divsChild>
        <w:div w:id="79760903">
          <w:marLeft w:val="0"/>
          <w:marRight w:val="0"/>
          <w:marTop w:val="0"/>
          <w:marBottom w:val="340"/>
          <w:divBdr>
            <w:top w:val="none" w:sz="0" w:space="0" w:color="auto"/>
            <w:left w:val="none" w:sz="0" w:space="0" w:color="auto"/>
            <w:bottom w:val="none" w:sz="0" w:space="0" w:color="auto"/>
            <w:right w:val="none" w:sz="0" w:space="0" w:color="auto"/>
          </w:divBdr>
        </w:div>
        <w:div w:id="862472434">
          <w:marLeft w:val="0"/>
          <w:marRight w:val="0"/>
          <w:marTop w:val="193"/>
          <w:marBottom w:val="193"/>
          <w:divBdr>
            <w:top w:val="none" w:sz="0" w:space="0" w:color="auto"/>
            <w:left w:val="single" w:sz="18" w:space="0" w:color="0F4C81"/>
            <w:bottom w:val="none" w:sz="0" w:space="0" w:color="auto"/>
            <w:right w:val="none" w:sz="0" w:space="0" w:color="auto"/>
          </w:divBdr>
          <w:divsChild>
            <w:div w:id="1072971922">
              <w:marLeft w:val="0"/>
              <w:marRight w:val="0"/>
              <w:marTop w:val="0"/>
              <w:marBottom w:val="170"/>
              <w:divBdr>
                <w:top w:val="none" w:sz="0" w:space="0" w:color="auto"/>
                <w:left w:val="none" w:sz="0" w:space="0" w:color="auto"/>
                <w:bottom w:val="none" w:sz="0" w:space="0" w:color="auto"/>
                <w:right w:val="none" w:sz="0" w:space="0" w:color="auto"/>
              </w:divBdr>
            </w:div>
            <w:div w:id="903489096">
              <w:marLeft w:val="0"/>
              <w:marRight w:val="0"/>
              <w:marTop w:val="0"/>
              <w:marBottom w:val="0"/>
              <w:divBdr>
                <w:top w:val="none" w:sz="0" w:space="0" w:color="auto"/>
                <w:left w:val="none" w:sz="0" w:space="0" w:color="auto"/>
                <w:bottom w:val="none" w:sz="0" w:space="0" w:color="auto"/>
                <w:right w:val="none" w:sz="0" w:space="0" w:color="auto"/>
              </w:divBdr>
              <w:divsChild>
                <w:div w:id="762065703">
                  <w:marLeft w:val="0"/>
                  <w:marRight w:val="0"/>
                  <w:marTop w:val="0"/>
                  <w:marBottom w:val="0"/>
                  <w:divBdr>
                    <w:top w:val="none" w:sz="0" w:space="0" w:color="auto"/>
                    <w:left w:val="none" w:sz="0" w:space="0" w:color="auto"/>
                    <w:bottom w:val="none" w:sz="0" w:space="0" w:color="auto"/>
                    <w:right w:val="none" w:sz="0" w:space="0" w:color="auto"/>
                  </w:divBdr>
                </w:div>
                <w:div w:id="1736008942">
                  <w:marLeft w:val="0"/>
                  <w:marRight w:val="0"/>
                  <w:marTop w:val="0"/>
                  <w:marBottom w:val="0"/>
                  <w:divBdr>
                    <w:top w:val="none" w:sz="0" w:space="0" w:color="auto"/>
                    <w:left w:val="none" w:sz="0" w:space="0" w:color="auto"/>
                    <w:bottom w:val="none" w:sz="0" w:space="0" w:color="auto"/>
                    <w:right w:val="none" w:sz="0" w:space="0" w:color="auto"/>
                  </w:divBdr>
                </w:div>
                <w:div w:id="539630594">
                  <w:marLeft w:val="0"/>
                  <w:marRight w:val="0"/>
                  <w:marTop w:val="0"/>
                  <w:marBottom w:val="0"/>
                  <w:divBdr>
                    <w:top w:val="none" w:sz="0" w:space="0" w:color="auto"/>
                    <w:left w:val="none" w:sz="0" w:space="0" w:color="auto"/>
                    <w:bottom w:val="none" w:sz="0" w:space="0" w:color="auto"/>
                    <w:right w:val="none" w:sz="0" w:space="0" w:color="auto"/>
                  </w:divBdr>
                </w:div>
                <w:div w:id="2007246590">
                  <w:marLeft w:val="0"/>
                  <w:marRight w:val="0"/>
                  <w:marTop w:val="0"/>
                  <w:marBottom w:val="0"/>
                  <w:divBdr>
                    <w:top w:val="none" w:sz="0" w:space="0" w:color="auto"/>
                    <w:left w:val="none" w:sz="0" w:space="0" w:color="auto"/>
                    <w:bottom w:val="none" w:sz="0" w:space="0" w:color="auto"/>
                    <w:right w:val="none" w:sz="0" w:space="0" w:color="auto"/>
                  </w:divBdr>
                </w:div>
                <w:div w:id="2000885470">
                  <w:marLeft w:val="0"/>
                  <w:marRight w:val="0"/>
                  <w:marTop w:val="0"/>
                  <w:marBottom w:val="0"/>
                  <w:divBdr>
                    <w:top w:val="none" w:sz="0" w:space="0" w:color="auto"/>
                    <w:left w:val="none" w:sz="0" w:space="0" w:color="auto"/>
                    <w:bottom w:val="none" w:sz="0" w:space="0" w:color="auto"/>
                    <w:right w:val="none" w:sz="0" w:space="0" w:color="auto"/>
                  </w:divBdr>
                </w:div>
                <w:div w:id="1563904390">
                  <w:marLeft w:val="0"/>
                  <w:marRight w:val="0"/>
                  <w:marTop w:val="0"/>
                  <w:marBottom w:val="0"/>
                  <w:divBdr>
                    <w:top w:val="none" w:sz="0" w:space="0" w:color="auto"/>
                    <w:left w:val="none" w:sz="0" w:space="0" w:color="auto"/>
                    <w:bottom w:val="none" w:sz="0" w:space="0" w:color="auto"/>
                    <w:right w:val="none" w:sz="0" w:space="0" w:color="auto"/>
                  </w:divBdr>
                </w:div>
                <w:div w:id="794251589">
                  <w:marLeft w:val="0"/>
                  <w:marRight w:val="0"/>
                  <w:marTop w:val="0"/>
                  <w:marBottom w:val="0"/>
                  <w:divBdr>
                    <w:top w:val="none" w:sz="0" w:space="0" w:color="auto"/>
                    <w:left w:val="none" w:sz="0" w:space="0" w:color="auto"/>
                    <w:bottom w:val="none" w:sz="0" w:space="0" w:color="auto"/>
                    <w:right w:val="none" w:sz="0" w:space="0" w:color="auto"/>
                  </w:divBdr>
                </w:div>
                <w:div w:id="164982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568944">
          <w:marLeft w:val="0"/>
          <w:marRight w:val="0"/>
          <w:marTop w:val="193"/>
          <w:marBottom w:val="193"/>
          <w:divBdr>
            <w:top w:val="none" w:sz="0" w:space="0" w:color="auto"/>
            <w:left w:val="single" w:sz="18" w:space="0" w:color="0F4C81"/>
            <w:bottom w:val="none" w:sz="0" w:space="0" w:color="auto"/>
            <w:right w:val="none" w:sz="0" w:space="0" w:color="auto"/>
          </w:divBdr>
          <w:divsChild>
            <w:div w:id="2146585973">
              <w:marLeft w:val="0"/>
              <w:marRight w:val="0"/>
              <w:marTop w:val="0"/>
              <w:marBottom w:val="170"/>
              <w:divBdr>
                <w:top w:val="none" w:sz="0" w:space="0" w:color="auto"/>
                <w:left w:val="none" w:sz="0" w:space="0" w:color="auto"/>
                <w:bottom w:val="none" w:sz="0" w:space="0" w:color="auto"/>
                <w:right w:val="none" w:sz="0" w:space="0" w:color="auto"/>
              </w:divBdr>
            </w:div>
            <w:div w:id="616644964">
              <w:marLeft w:val="0"/>
              <w:marRight w:val="0"/>
              <w:marTop w:val="0"/>
              <w:marBottom w:val="0"/>
              <w:divBdr>
                <w:top w:val="none" w:sz="0" w:space="0" w:color="auto"/>
                <w:left w:val="none" w:sz="0" w:space="0" w:color="auto"/>
                <w:bottom w:val="none" w:sz="0" w:space="0" w:color="auto"/>
                <w:right w:val="none" w:sz="0" w:space="0" w:color="auto"/>
              </w:divBdr>
              <w:divsChild>
                <w:div w:id="852298989">
                  <w:marLeft w:val="0"/>
                  <w:marRight w:val="0"/>
                  <w:marTop w:val="0"/>
                  <w:marBottom w:val="0"/>
                  <w:divBdr>
                    <w:top w:val="none" w:sz="0" w:space="0" w:color="auto"/>
                    <w:left w:val="none" w:sz="0" w:space="0" w:color="auto"/>
                    <w:bottom w:val="none" w:sz="0" w:space="0" w:color="auto"/>
                    <w:right w:val="none" w:sz="0" w:space="0" w:color="auto"/>
                  </w:divBdr>
                </w:div>
                <w:div w:id="1986619657">
                  <w:marLeft w:val="0"/>
                  <w:marRight w:val="0"/>
                  <w:marTop w:val="0"/>
                  <w:marBottom w:val="0"/>
                  <w:divBdr>
                    <w:top w:val="none" w:sz="0" w:space="0" w:color="auto"/>
                    <w:left w:val="none" w:sz="0" w:space="0" w:color="auto"/>
                    <w:bottom w:val="none" w:sz="0" w:space="0" w:color="auto"/>
                    <w:right w:val="none" w:sz="0" w:space="0" w:color="auto"/>
                  </w:divBdr>
                </w:div>
                <w:div w:id="529607882">
                  <w:marLeft w:val="0"/>
                  <w:marRight w:val="0"/>
                  <w:marTop w:val="0"/>
                  <w:marBottom w:val="0"/>
                  <w:divBdr>
                    <w:top w:val="none" w:sz="0" w:space="0" w:color="auto"/>
                    <w:left w:val="none" w:sz="0" w:space="0" w:color="auto"/>
                    <w:bottom w:val="none" w:sz="0" w:space="0" w:color="auto"/>
                    <w:right w:val="none" w:sz="0" w:space="0" w:color="auto"/>
                  </w:divBdr>
                </w:div>
                <w:div w:id="1450197058">
                  <w:marLeft w:val="0"/>
                  <w:marRight w:val="0"/>
                  <w:marTop w:val="0"/>
                  <w:marBottom w:val="0"/>
                  <w:divBdr>
                    <w:top w:val="none" w:sz="0" w:space="0" w:color="auto"/>
                    <w:left w:val="none" w:sz="0" w:space="0" w:color="auto"/>
                    <w:bottom w:val="none" w:sz="0" w:space="0" w:color="auto"/>
                    <w:right w:val="none" w:sz="0" w:space="0" w:color="auto"/>
                  </w:divBdr>
                </w:div>
                <w:div w:id="1310015801">
                  <w:marLeft w:val="0"/>
                  <w:marRight w:val="0"/>
                  <w:marTop w:val="0"/>
                  <w:marBottom w:val="0"/>
                  <w:divBdr>
                    <w:top w:val="none" w:sz="0" w:space="0" w:color="auto"/>
                    <w:left w:val="none" w:sz="0" w:space="0" w:color="auto"/>
                    <w:bottom w:val="none" w:sz="0" w:space="0" w:color="auto"/>
                    <w:right w:val="none" w:sz="0" w:space="0" w:color="auto"/>
                  </w:divBdr>
                </w:div>
                <w:div w:id="1256943640">
                  <w:marLeft w:val="0"/>
                  <w:marRight w:val="0"/>
                  <w:marTop w:val="0"/>
                  <w:marBottom w:val="0"/>
                  <w:divBdr>
                    <w:top w:val="none" w:sz="0" w:space="0" w:color="auto"/>
                    <w:left w:val="none" w:sz="0" w:space="0" w:color="auto"/>
                    <w:bottom w:val="none" w:sz="0" w:space="0" w:color="auto"/>
                    <w:right w:val="none" w:sz="0" w:space="0" w:color="auto"/>
                  </w:divBdr>
                </w:div>
                <w:div w:id="2043164281">
                  <w:marLeft w:val="0"/>
                  <w:marRight w:val="0"/>
                  <w:marTop w:val="0"/>
                  <w:marBottom w:val="0"/>
                  <w:divBdr>
                    <w:top w:val="none" w:sz="0" w:space="0" w:color="auto"/>
                    <w:left w:val="none" w:sz="0" w:space="0" w:color="auto"/>
                    <w:bottom w:val="none" w:sz="0" w:space="0" w:color="auto"/>
                    <w:right w:val="none" w:sz="0" w:space="0" w:color="auto"/>
                  </w:divBdr>
                </w:div>
                <w:div w:id="125042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257628">
          <w:marLeft w:val="0"/>
          <w:marRight w:val="0"/>
          <w:marTop w:val="193"/>
          <w:marBottom w:val="193"/>
          <w:divBdr>
            <w:top w:val="none" w:sz="0" w:space="0" w:color="auto"/>
            <w:left w:val="none" w:sz="0" w:space="0" w:color="auto"/>
            <w:bottom w:val="none" w:sz="0" w:space="0" w:color="auto"/>
            <w:right w:val="none" w:sz="0" w:space="0" w:color="auto"/>
          </w:divBdr>
        </w:div>
      </w:divsChild>
    </w:div>
    <w:div w:id="353458779">
      <w:marLeft w:val="0"/>
      <w:marRight w:val="0"/>
      <w:marTop w:val="0"/>
      <w:marBottom w:val="0"/>
      <w:divBdr>
        <w:top w:val="none" w:sz="0" w:space="0" w:color="auto"/>
        <w:left w:val="none" w:sz="0" w:space="0" w:color="auto"/>
        <w:bottom w:val="none" w:sz="0" w:space="0" w:color="auto"/>
        <w:right w:val="none" w:sz="0" w:space="0" w:color="auto"/>
      </w:divBdr>
      <w:divsChild>
        <w:div w:id="1218854823">
          <w:marLeft w:val="0"/>
          <w:marRight w:val="0"/>
          <w:marTop w:val="0"/>
          <w:marBottom w:val="340"/>
          <w:divBdr>
            <w:top w:val="none" w:sz="0" w:space="0" w:color="auto"/>
            <w:left w:val="none" w:sz="0" w:space="0" w:color="auto"/>
            <w:bottom w:val="none" w:sz="0" w:space="0" w:color="auto"/>
            <w:right w:val="none" w:sz="0" w:space="0" w:color="auto"/>
          </w:divBdr>
        </w:div>
        <w:div w:id="222915298">
          <w:marLeft w:val="0"/>
          <w:marRight w:val="0"/>
          <w:marTop w:val="0"/>
          <w:marBottom w:val="0"/>
          <w:divBdr>
            <w:top w:val="none" w:sz="0" w:space="0" w:color="auto"/>
            <w:left w:val="none" w:sz="0" w:space="0" w:color="auto"/>
            <w:bottom w:val="none" w:sz="0" w:space="0" w:color="auto"/>
            <w:right w:val="none" w:sz="0" w:space="0" w:color="auto"/>
          </w:divBdr>
          <w:divsChild>
            <w:div w:id="1963919824">
              <w:marLeft w:val="0"/>
              <w:marRight w:val="0"/>
              <w:marTop w:val="0"/>
              <w:marBottom w:val="0"/>
              <w:divBdr>
                <w:top w:val="none" w:sz="0" w:space="0" w:color="auto"/>
                <w:left w:val="none" w:sz="0" w:space="0" w:color="auto"/>
                <w:bottom w:val="none" w:sz="0" w:space="0" w:color="auto"/>
                <w:right w:val="none" w:sz="0" w:space="0" w:color="auto"/>
              </w:divBdr>
            </w:div>
            <w:div w:id="2129544787">
              <w:marLeft w:val="0"/>
              <w:marRight w:val="0"/>
              <w:marTop w:val="0"/>
              <w:marBottom w:val="0"/>
              <w:divBdr>
                <w:top w:val="none" w:sz="0" w:space="0" w:color="auto"/>
                <w:left w:val="none" w:sz="0" w:space="0" w:color="auto"/>
                <w:bottom w:val="none" w:sz="0" w:space="0" w:color="auto"/>
                <w:right w:val="none" w:sz="0" w:space="0" w:color="auto"/>
              </w:divBdr>
            </w:div>
          </w:divsChild>
        </w:div>
        <w:div w:id="270822448">
          <w:marLeft w:val="0"/>
          <w:marRight w:val="0"/>
          <w:marTop w:val="193"/>
          <w:marBottom w:val="193"/>
          <w:divBdr>
            <w:top w:val="none" w:sz="0" w:space="0" w:color="auto"/>
            <w:left w:val="none" w:sz="0" w:space="0" w:color="auto"/>
            <w:bottom w:val="none" w:sz="0" w:space="0" w:color="auto"/>
            <w:right w:val="none" w:sz="0" w:space="0" w:color="auto"/>
          </w:divBdr>
        </w:div>
      </w:divsChild>
    </w:div>
    <w:div w:id="395861632">
      <w:marLeft w:val="0"/>
      <w:marRight w:val="0"/>
      <w:marTop w:val="0"/>
      <w:marBottom w:val="0"/>
      <w:divBdr>
        <w:top w:val="none" w:sz="0" w:space="0" w:color="auto"/>
        <w:left w:val="none" w:sz="0" w:space="0" w:color="auto"/>
        <w:bottom w:val="none" w:sz="0" w:space="0" w:color="auto"/>
        <w:right w:val="none" w:sz="0" w:space="0" w:color="auto"/>
      </w:divBdr>
      <w:divsChild>
        <w:div w:id="476531456">
          <w:marLeft w:val="0"/>
          <w:marRight w:val="0"/>
          <w:marTop w:val="0"/>
          <w:marBottom w:val="340"/>
          <w:divBdr>
            <w:top w:val="none" w:sz="0" w:space="0" w:color="auto"/>
            <w:left w:val="none" w:sz="0" w:space="0" w:color="auto"/>
            <w:bottom w:val="none" w:sz="0" w:space="0" w:color="auto"/>
            <w:right w:val="none" w:sz="0" w:space="0" w:color="auto"/>
          </w:divBdr>
        </w:div>
        <w:div w:id="1706321156">
          <w:marLeft w:val="0"/>
          <w:marRight w:val="0"/>
          <w:marTop w:val="193"/>
          <w:marBottom w:val="193"/>
          <w:divBdr>
            <w:top w:val="none" w:sz="0" w:space="0" w:color="auto"/>
            <w:left w:val="single" w:sz="18" w:space="0" w:color="0F4C81"/>
            <w:bottom w:val="none" w:sz="0" w:space="0" w:color="auto"/>
            <w:right w:val="none" w:sz="0" w:space="0" w:color="auto"/>
          </w:divBdr>
          <w:divsChild>
            <w:div w:id="1617181276">
              <w:marLeft w:val="0"/>
              <w:marRight w:val="0"/>
              <w:marTop w:val="0"/>
              <w:marBottom w:val="170"/>
              <w:divBdr>
                <w:top w:val="none" w:sz="0" w:space="0" w:color="auto"/>
                <w:left w:val="none" w:sz="0" w:space="0" w:color="auto"/>
                <w:bottom w:val="none" w:sz="0" w:space="0" w:color="auto"/>
                <w:right w:val="none" w:sz="0" w:space="0" w:color="auto"/>
              </w:divBdr>
            </w:div>
            <w:div w:id="1607224755">
              <w:marLeft w:val="0"/>
              <w:marRight w:val="0"/>
              <w:marTop w:val="0"/>
              <w:marBottom w:val="0"/>
              <w:divBdr>
                <w:top w:val="none" w:sz="0" w:space="0" w:color="auto"/>
                <w:left w:val="none" w:sz="0" w:space="0" w:color="auto"/>
                <w:bottom w:val="none" w:sz="0" w:space="0" w:color="auto"/>
                <w:right w:val="none" w:sz="0" w:space="0" w:color="auto"/>
              </w:divBdr>
              <w:divsChild>
                <w:div w:id="2105956396">
                  <w:marLeft w:val="0"/>
                  <w:marRight w:val="0"/>
                  <w:marTop w:val="0"/>
                  <w:marBottom w:val="0"/>
                  <w:divBdr>
                    <w:top w:val="none" w:sz="0" w:space="0" w:color="auto"/>
                    <w:left w:val="none" w:sz="0" w:space="0" w:color="auto"/>
                    <w:bottom w:val="none" w:sz="0" w:space="0" w:color="auto"/>
                    <w:right w:val="none" w:sz="0" w:space="0" w:color="auto"/>
                  </w:divBdr>
                </w:div>
                <w:div w:id="697582204">
                  <w:marLeft w:val="0"/>
                  <w:marRight w:val="0"/>
                  <w:marTop w:val="0"/>
                  <w:marBottom w:val="0"/>
                  <w:divBdr>
                    <w:top w:val="none" w:sz="0" w:space="0" w:color="auto"/>
                    <w:left w:val="none" w:sz="0" w:space="0" w:color="auto"/>
                    <w:bottom w:val="none" w:sz="0" w:space="0" w:color="auto"/>
                    <w:right w:val="none" w:sz="0" w:space="0" w:color="auto"/>
                  </w:divBdr>
                </w:div>
                <w:div w:id="532037518">
                  <w:marLeft w:val="0"/>
                  <w:marRight w:val="0"/>
                  <w:marTop w:val="0"/>
                  <w:marBottom w:val="0"/>
                  <w:divBdr>
                    <w:top w:val="none" w:sz="0" w:space="0" w:color="auto"/>
                    <w:left w:val="none" w:sz="0" w:space="0" w:color="auto"/>
                    <w:bottom w:val="none" w:sz="0" w:space="0" w:color="auto"/>
                    <w:right w:val="none" w:sz="0" w:space="0" w:color="auto"/>
                  </w:divBdr>
                </w:div>
                <w:div w:id="1041050569">
                  <w:marLeft w:val="0"/>
                  <w:marRight w:val="0"/>
                  <w:marTop w:val="0"/>
                  <w:marBottom w:val="0"/>
                  <w:divBdr>
                    <w:top w:val="none" w:sz="0" w:space="0" w:color="auto"/>
                    <w:left w:val="none" w:sz="0" w:space="0" w:color="auto"/>
                    <w:bottom w:val="none" w:sz="0" w:space="0" w:color="auto"/>
                    <w:right w:val="none" w:sz="0" w:space="0" w:color="auto"/>
                  </w:divBdr>
                </w:div>
                <w:div w:id="1600792390">
                  <w:marLeft w:val="0"/>
                  <w:marRight w:val="0"/>
                  <w:marTop w:val="0"/>
                  <w:marBottom w:val="0"/>
                  <w:divBdr>
                    <w:top w:val="none" w:sz="0" w:space="0" w:color="auto"/>
                    <w:left w:val="none" w:sz="0" w:space="0" w:color="auto"/>
                    <w:bottom w:val="none" w:sz="0" w:space="0" w:color="auto"/>
                    <w:right w:val="none" w:sz="0" w:space="0" w:color="auto"/>
                  </w:divBdr>
                </w:div>
                <w:div w:id="716853314">
                  <w:marLeft w:val="0"/>
                  <w:marRight w:val="0"/>
                  <w:marTop w:val="0"/>
                  <w:marBottom w:val="0"/>
                  <w:divBdr>
                    <w:top w:val="none" w:sz="0" w:space="0" w:color="auto"/>
                    <w:left w:val="none" w:sz="0" w:space="0" w:color="auto"/>
                    <w:bottom w:val="none" w:sz="0" w:space="0" w:color="auto"/>
                    <w:right w:val="none" w:sz="0" w:space="0" w:color="auto"/>
                  </w:divBdr>
                </w:div>
                <w:div w:id="645743927">
                  <w:marLeft w:val="0"/>
                  <w:marRight w:val="0"/>
                  <w:marTop w:val="0"/>
                  <w:marBottom w:val="0"/>
                  <w:divBdr>
                    <w:top w:val="none" w:sz="0" w:space="0" w:color="auto"/>
                    <w:left w:val="none" w:sz="0" w:space="0" w:color="auto"/>
                    <w:bottom w:val="none" w:sz="0" w:space="0" w:color="auto"/>
                    <w:right w:val="none" w:sz="0" w:space="0" w:color="auto"/>
                  </w:divBdr>
                </w:div>
                <w:div w:id="165749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533469">
          <w:marLeft w:val="0"/>
          <w:marRight w:val="0"/>
          <w:marTop w:val="193"/>
          <w:marBottom w:val="193"/>
          <w:divBdr>
            <w:top w:val="none" w:sz="0" w:space="0" w:color="auto"/>
            <w:left w:val="single" w:sz="18" w:space="0" w:color="C2703A"/>
            <w:bottom w:val="none" w:sz="0" w:space="0" w:color="auto"/>
            <w:right w:val="none" w:sz="0" w:space="0" w:color="auto"/>
          </w:divBdr>
          <w:divsChild>
            <w:div w:id="1698193795">
              <w:marLeft w:val="0"/>
              <w:marRight w:val="0"/>
              <w:marTop w:val="0"/>
              <w:marBottom w:val="170"/>
              <w:divBdr>
                <w:top w:val="none" w:sz="0" w:space="0" w:color="auto"/>
                <w:left w:val="none" w:sz="0" w:space="0" w:color="auto"/>
                <w:bottom w:val="none" w:sz="0" w:space="0" w:color="auto"/>
                <w:right w:val="none" w:sz="0" w:space="0" w:color="auto"/>
              </w:divBdr>
            </w:div>
            <w:div w:id="88165941">
              <w:marLeft w:val="0"/>
              <w:marRight w:val="0"/>
              <w:marTop w:val="0"/>
              <w:marBottom w:val="0"/>
              <w:divBdr>
                <w:top w:val="none" w:sz="0" w:space="0" w:color="auto"/>
                <w:left w:val="none" w:sz="0" w:space="0" w:color="auto"/>
                <w:bottom w:val="none" w:sz="0" w:space="0" w:color="auto"/>
                <w:right w:val="none" w:sz="0" w:space="0" w:color="auto"/>
              </w:divBdr>
              <w:divsChild>
                <w:div w:id="151146134">
                  <w:marLeft w:val="0"/>
                  <w:marRight w:val="0"/>
                  <w:marTop w:val="0"/>
                  <w:marBottom w:val="0"/>
                  <w:divBdr>
                    <w:top w:val="none" w:sz="0" w:space="0" w:color="auto"/>
                    <w:left w:val="none" w:sz="0" w:space="0" w:color="auto"/>
                    <w:bottom w:val="none" w:sz="0" w:space="0" w:color="auto"/>
                    <w:right w:val="none" w:sz="0" w:space="0" w:color="auto"/>
                  </w:divBdr>
                </w:div>
                <w:div w:id="1660227070">
                  <w:marLeft w:val="0"/>
                  <w:marRight w:val="0"/>
                  <w:marTop w:val="0"/>
                  <w:marBottom w:val="0"/>
                  <w:divBdr>
                    <w:top w:val="none" w:sz="0" w:space="0" w:color="auto"/>
                    <w:left w:val="none" w:sz="0" w:space="0" w:color="auto"/>
                    <w:bottom w:val="none" w:sz="0" w:space="0" w:color="auto"/>
                    <w:right w:val="none" w:sz="0" w:space="0" w:color="auto"/>
                  </w:divBdr>
                </w:div>
                <w:div w:id="1247886901">
                  <w:marLeft w:val="0"/>
                  <w:marRight w:val="0"/>
                  <w:marTop w:val="0"/>
                  <w:marBottom w:val="0"/>
                  <w:divBdr>
                    <w:top w:val="none" w:sz="0" w:space="0" w:color="auto"/>
                    <w:left w:val="none" w:sz="0" w:space="0" w:color="auto"/>
                    <w:bottom w:val="none" w:sz="0" w:space="0" w:color="auto"/>
                    <w:right w:val="none" w:sz="0" w:space="0" w:color="auto"/>
                  </w:divBdr>
                </w:div>
                <w:div w:id="569585373">
                  <w:marLeft w:val="0"/>
                  <w:marRight w:val="0"/>
                  <w:marTop w:val="0"/>
                  <w:marBottom w:val="0"/>
                  <w:divBdr>
                    <w:top w:val="none" w:sz="0" w:space="0" w:color="auto"/>
                    <w:left w:val="none" w:sz="0" w:space="0" w:color="auto"/>
                    <w:bottom w:val="none" w:sz="0" w:space="0" w:color="auto"/>
                    <w:right w:val="none" w:sz="0" w:space="0" w:color="auto"/>
                  </w:divBdr>
                </w:div>
                <w:div w:id="1866553472">
                  <w:marLeft w:val="0"/>
                  <w:marRight w:val="0"/>
                  <w:marTop w:val="0"/>
                  <w:marBottom w:val="0"/>
                  <w:divBdr>
                    <w:top w:val="none" w:sz="0" w:space="0" w:color="auto"/>
                    <w:left w:val="none" w:sz="0" w:space="0" w:color="auto"/>
                    <w:bottom w:val="none" w:sz="0" w:space="0" w:color="auto"/>
                    <w:right w:val="none" w:sz="0" w:space="0" w:color="auto"/>
                  </w:divBdr>
                </w:div>
                <w:div w:id="1480416588">
                  <w:marLeft w:val="0"/>
                  <w:marRight w:val="0"/>
                  <w:marTop w:val="0"/>
                  <w:marBottom w:val="0"/>
                  <w:divBdr>
                    <w:top w:val="none" w:sz="0" w:space="0" w:color="auto"/>
                    <w:left w:val="none" w:sz="0" w:space="0" w:color="auto"/>
                    <w:bottom w:val="none" w:sz="0" w:space="0" w:color="auto"/>
                    <w:right w:val="none" w:sz="0" w:space="0" w:color="auto"/>
                  </w:divBdr>
                </w:div>
                <w:div w:id="1085490424">
                  <w:marLeft w:val="0"/>
                  <w:marRight w:val="0"/>
                  <w:marTop w:val="0"/>
                  <w:marBottom w:val="0"/>
                  <w:divBdr>
                    <w:top w:val="none" w:sz="0" w:space="0" w:color="auto"/>
                    <w:left w:val="none" w:sz="0" w:space="0" w:color="auto"/>
                    <w:bottom w:val="none" w:sz="0" w:space="0" w:color="auto"/>
                    <w:right w:val="none" w:sz="0" w:space="0" w:color="auto"/>
                  </w:divBdr>
                </w:div>
                <w:div w:id="174714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554519">
      <w:marLeft w:val="0"/>
      <w:marRight w:val="0"/>
      <w:marTop w:val="0"/>
      <w:marBottom w:val="0"/>
      <w:divBdr>
        <w:top w:val="none" w:sz="0" w:space="0" w:color="auto"/>
        <w:left w:val="none" w:sz="0" w:space="0" w:color="auto"/>
        <w:bottom w:val="none" w:sz="0" w:space="0" w:color="auto"/>
        <w:right w:val="none" w:sz="0" w:space="0" w:color="auto"/>
      </w:divBdr>
      <w:divsChild>
        <w:div w:id="1859809043">
          <w:marLeft w:val="0"/>
          <w:marRight w:val="0"/>
          <w:marTop w:val="0"/>
          <w:marBottom w:val="340"/>
          <w:divBdr>
            <w:top w:val="none" w:sz="0" w:space="0" w:color="auto"/>
            <w:left w:val="none" w:sz="0" w:space="0" w:color="auto"/>
            <w:bottom w:val="none" w:sz="0" w:space="0" w:color="auto"/>
            <w:right w:val="none" w:sz="0" w:space="0" w:color="auto"/>
          </w:divBdr>
        </w:div>
        <w:div w:id="1692149474">
          <w:marLeft w:val="0"/>
          <w:marRight w:val="0"/>
          <w:marTop w:val="193"/>
          <w:marBottom w:val="193"/>
          <w:divBdr>
            <w:top w:val="none" w:sz="0" w:space="0" w:color="auto"/>
            <w:left w:val="none" w:sz="0" w:space="0" w:color="auto"/>
            <w:bottom w:val="none" w:sz="0" w:space="0" w:color="auto"/>
            <w:right w:val="none" w:sz="0" w:space="0" w:color="auto"/>
          </w:divBdr>
        </w:div>
      </w:divsChild>
    </w:div>
    <w:div w:id="1075712373">
      <w:marLeft w:val="0"/>
      <w:marRight w:val="0"/>
      <w:marTop w:val="0"/>
      <w:marBottom w:val="0"/>
      <w:divBdr>
        <w:top w:val="none" w:sz="0" w:space="0" w:color="auto"/>
        <w:left w:val="none" w:sz="0" w:space="0" w:color="auto"/>
        <w:bottom w:val="none" w:sz="0" w:space="0" w:color="auto"/>
        <w:right w:val="none" w:sz="0" w:space="0" w:color="auto"/>
      </w:divBdr>
      <w:divsChild>
        <w:div w:id="1293707757">
          <w:marLeft w:val="0"/>
          <w:marRight w:val="0"/>
          <w:marTop w:val="0"/>
          <w:marBottom w:val="340"/>
          <w:divBdr>
            <w:top w:val="none" w:sz="0" w:space="0" w:color="auto"/>
            <w:left w:val="none" w:sz="0" w:space="0" w:color="auto"/>
            <w:bottom w:val="none" w:sz="0" w:space="0" w:color="auto"/>
            <w:right w:val="none" w:sz="0" w:space="0" w:color="auto"/>
          </w:divBdr>
        </w:div>
      </w:divsChild>
    </w:div>
    <w:div w:id="1083643286">
      <w:marLeft w:val="0"/>
      <w:marRight w:val="0"/>
      <w:marTop w:val="0"/>
      <w:marBottom w:val="0"/>
      <w:divBdr>
        <w:top w:val="none" w:sz="0" w:space="0" w:color="auto"/>
        <w:left w:val="none" w:sz="0" w:space="0" w:color="auto"/>
        <w:bottom w:val="none" w:sz="0" w:space="0" w:color="auto"/>
        <w:right w:val="none" w:sz="0" w:space="0" w:color="auto"/>
      </w:divBdr>
      <w:divsChild>
        <w:div w:id="848057793">
          <w:marLeft w:val="0"/>
          <w:marRight w:val="0"/>
          <w:marTop w:val="0"/>
          <w:marBottom w:val="340"/>
          <w:divBdr>
            <w:top w:val="none" w:sz="0" w:space="0" w:color="auto"/>
            <w:left w:val="none" w:sz="0" w:space="0" w:color="auto"/>
            <w:bottom w:val="none" w:sz="0" w:space="0" w:color="auto"/>
            <w:right w:val="none" w:sz="0" w:space="0" w:color="auto"/>
          </w:divBdr>
        </w:div>
        <w:div w:id="1973510800">
          <w:marLeft w:val="0"/>
          <w:marRight w:val="0"/>
          <w:marTop w:val="193"/>
          <w:marBottom w:val="193"/>
          <w:divBdr>
            <w:top w:val="none" w:sz="0" w:space="0" w:color="auto"/>
            <w:left w:val="none" w:sz="0" w:space="0" w:color="auto"/>
            <w:bottom w:val="none" w:sz="0" w:space="0" w:color="auto"/>
            <w:right w:val="none" w:sz="0" w:space="0" w:color="auto"/>
          </w:divBdr>
        </w:div>
      </w:divsChild>
    </w:div>
    <w:div w:id="1100102970">
      <w:marLeft w:val="0"/>
      <w:marRight w:val="0"/>
      <w:marTop w:val="0"/>
      <w:marBottom w:val="0"/>
      <w:divBdr>
        <w:top w:val="none" w:sz="0" w:space="0" w:color="auto"/>
        <w:left w:val="none" w:sz="0" w:space="0" w:color="auto"/>
        <w:bottom w:val="none" w:sz="0" w:space="0" w:color="auto"/>
        <w:right w:val="none" w:sz="0" w:space="0" w:color="auto"/>
      </w:divBdr>
      <w:divsChild>
        <w:div w:id="1779523575">
          <w:marLeft w:val="0"/>
          <w:marRight w:val="0"/>
          <w:marTop w:val="0"/>
          <w:marBottom w:val="340"/>
          <w:divBdr>
            <w:top w:val="none" w:sz="0" w:space="0" w:color="auto"/>
            <w:left w:val="none" w:sz="0" w:space="0" w:color="auto"/>
            <w:bottom w:val="none" w:sz="0" w:space="0" w:color="auto"/>
            <w:right w:val="none" w:sz="0" w:space="0" w:color="auto"/>
          </w:divBdr>
        </w:div>
        <w:div w:id="715930160">
          <w:marLeft w:val="0"/>
          <w:marRight w:val="0"/>
          <w:marTop w:val="193"/>
          <w:marBottom w:val="193"/>
          <w:divBdr>
            <w:top w:val="none" w:sz="0" w:space="0" w:color="auto"/>
            <w:left w:val="none" w:sz="0" w:space="0" w:color="auto"/>
            <w:bottom w:val="none" w:sz="0" w:space="0" w:color="auto"/>
            <w:right w:val="none" w:sz="0" w:space="0" w:color="auto"/>
          </w:divBdr>
        </w:div>
        <w:div w:id="1330014277">
          <w:marLeft w:val="0"/>
          <w:marRight w:val="0"/>
          <w:marTop w:val="193"/>
          <w:marBottom w:val="193"/>
          <w:divBdr>
            <w:top w:val="none" w:sz="0" w:space="0" w:color="auto"/>
            <w:left w:val="none" w:sz="0" w:space="0" w:color="auto"/>
            <w:bottom w:val="none" w:sz="0" w:space="0" w:color="auto"/>
            <w:right w:val="none" w:sz="0" w:space="0" w:color="auto"/>
          </w:divBdr>
        </w:div>
      </w:divsChild>
    </w:div>
    <w:div w:id="1264731187">
      <w:marLeft w:val="0"/>
      <w:marRight w:val="0"/>
      <w:marTop w:val="0"/>
      <w:marBottom w:val="0"/>
      <w:divBdr>
        <w:top w:val="none" w:sz="0" w:space="0" w:color="auto"/>
        <w:left w:val="none" w:sz="0" w:space="0" w:color="auto"/>
        <w:bottom w:val="none" w:sz="0" w:space="0" w:color="auto"/>
        <w:right w:val="none" w:sz="0" w:space="0" w:color="auto"/>
      </w:divBdr>
      <w:divsChild>
        <w:div w:id="135802686">
          <w:marLeft w:val="0"/>
          <w:marRight w:val="0"/>
          <w:marTop w:val="0"/>
          <w:marBottom w:val="340"/>
          <w:divBdr>
            <w:top w:val="none" w:sz="0" w:space="0" w:color="auto"/>
            <w:left w:val="none" w:sz="0" w:space="0" w:color="auto"/>
            <w:bottom w:val="none" w:sz="0" w:space="0" w:color="auto"/>
            <w:right w:val="none" w:sz="0" w:space="0" w:color="auto"/>
          </w:divBdr>
        </w:div>
        <w:div w:id="2066489775">
          <w:marLeft w:val="0"/>
          <w:marRight w:val="0"/>
          <w:marTop w:val="193"/>
          <w:marBottom w:val="193"/>
          <w:divBdr>
            <w:top w:val="none" w:sz="0" w:space="0" w:color="auto"/>
            <w:left w:val="none" w:sz="0" w:space="0" w:color="auto"/>
            <w:bottom w:val="none" w:sz="0" w:space="0" w:color="auto"/>
            <w:right w:val="none" w:sz="0" w:space="0" w:color="auto"/>
          </w:divBdr>
        </w:div>
      </w:divsChild>
    </w:div>
    <w:div w:id="1402364248">
      <w:marLeft w:val="0"/>
      <w:marRight w:val="0"/>
      <w:marTop w:val="0"/>
      <w:marBottom w:val="0"/>
      <w:divBdr>
        <w:top w:val="none" w:sz="0" w:space="0" w:color="auto"/>
        <w:left w:val="none" w:sz="0" w:space="0" w:color="auto"/>
        <w:bottom w:val="none" w:sz="0" w:space="0" w:color="auto"/>
        <w:right w:val="none" w:sz="0" w:space="0" w:color="auto"/>
      </w:divBdr>
      <w:divsChild>
        <w:div w:id="326445583">
          <w:marLeft w:val="0"/>
          <w:marRight w:val="0"/>
          <w:marTop w:val="0"/>
          <w:marBottom w:val="340"/>
          <w:divBdr>
            <w:top w:val="none" w:sz="0" w:space="0" w:color="auto"/>
            <w:left w:val="none" w:sz="0" w:space="0" w:color="auto"/>
            <w:bottom w:val="none" w:sz="0" w:space="0" w:color="auto"/>
            <w:right w:val="none" w:sz="0" w:space="0" w:color="auto"/>
          </w:divBdr>
        </w:div>
        <w:div w:id="270161408">
          <w:marLeft w:val="0"/>
          <w:marRight w:val="0"/>
          <w:marTop w:val="193"/>
          <w:marBottom w:val="193"/>
          <w:divBdr>
            <w:top w:val="none" w:sz="0" w:space="0" w:color="auto"/>
            <w:left w:val="none" w:sz="0" w:space="0" w:color="auto"/>
            <w:bottom w:val="none" w:sz="0" w:space="0" w:color="auto"/>
            <w:right w:val="none" w:sz="0" w:space="0" w:color="auto"/>
          </w:divBdr>
        </w:div>
        <w:div w:id="693270352">
          <w:marLeft w:val="0"/>
          <w:marRight w:val="0"/>
          <w:marTop w:val="193"/>
          <w:marBottom w:val="193"/>
          <w:divBdr>
            <w:top w:val="none" w:sz="0" w:space="0" w:color="auto"/>
            <w:left w:val="none" w:sz="0" w:space="0" w:color="auto"/>
            <w:bottom w:val="none" w:sz="0" w:space="0" w:color="auto"/>
            <w:right w:val="none" w:sz="0" w:space="0" w:color="auto"/>
          </w:divBdr>
          <w:divsChild>
            <w:div w:id="1445340509">
              <w:marLeft w:val="0"/>
              <w:marRight w:val="0"/>
              <w:marTop w:val="0"/>
              <w:marBottom w:val="170"/>
              <w:divBdr>
                <w:top w:val="none" w:sz="0" w:space="0" w:color="auto"/>
                <w:left w:val="none" w:sz="0" w:space="0" w:color="auto"/>
                <w:bottom w:val="none" w:sz="0" w:space="0" w:color="auto"/>
                <w:right w:val="none" w:sz="0" w:space="0" w:color="auto"/>
              </w:divBdr>
            </w:div>
            <w:div w:id="2129427362">
              <w:marLeft w:val="0"/>
              <w:marRight w:val="0"/>
              <w:marTop w:val="0"/>
              <w:marBottom w:val="0"/>
              <w:divBdr>
                <w:top w:val="none" w:sz="0" w:space="0" w:color="auto"/>
                <w:left w:val="none" w:sz="0" w:space="0" w:color="auto"/>
                <w:bottom w:val="none" w:sz="0" w:space="0" w:color="auto"/>
                <w:right w:val="none" w:sz="0" w:space="0" w:color="auto"/>
              </w:divBdr>
              <w:divsChild>
                <w:div w:id="1971275631">
                  <w:marLeft w:val="0"/>
                  <w:marRight w:val="0"/>
                  <w:marTop w:val="0"/>
                  <w:marBottom w:val="0"/>
                  <w:divBdr>
                    <w:top w:val="none" w:sz="0" w:space="0" w:color="auto"/>
                    <w:left w:val="none" w:sz="0" w:space="0" w:color="auto"/>
                    <w:bottom w:val="none" w:sz="0" w:space="0" w:color="auto"/>
                    <w:right w:val="none" w:sz="0" w:space="0" w:color="auto"/>
                  </w:divBdr>
                </w:div>
                <w:div w:id="183978253">
                  <w:marLeft w:val="0"/>
                  <w:marRight w:val="0"/>
                  <w:marTop w:val="0"/>
                  <w:marBottom w:val="0"/>
                  <w:divBdr>
                    <w:top w:val="none" w:sz="0" w:space="0" w:color="auto"/>
                    <w:left w:val="none" w:sz="0" w:space="0" w:color="auto"/>
                    <w:bottom w:val="none" w:sz="0" w:space="0" w:color="auto"/>
                    <w:right w:val="none" w:sz="0" w:space="0" w:color="auto"/>
                  </w:divBdr>
                </w:div>
                <w:div w:id="576137487">
                  <w:marLeft w:val="0"/>
                  <w:marRight w:val="0"/>
                  <w:marTop w:val="0"/>
                  <w:marBottom w:val="0"/>
                  <w:divBdr>
                    <w:top w:val="none" w:sz="0" w:space="0" w:color="auto"/>
                    <w:left w:val="none" w:sz="0" w:space="0" w:color="auto"/>
                    <w:bottom w:val="none" w:sz="0" w:space="0" w:color="auto"/>
                    <w:right w:val="none" w:sz="0" w:space="0" w:color="auto"/>
                  </w:divBdr>
                </w:div>
                <w:div w:id="977687173">
                  <w:marLeft w:val="0"/>
                  <w:marRight w:val="0"/>
                  <w:marTop w:val="0"/>
                  <w:marBottom w:val="0"/>
                  <w:divBdr>
                    <w:top w:val="none" w:sz="0" w:space="0" w:color="auto"/>
                    <w:left w:val="none" w:sz="0" w:space="0" w:color="auto"/>
                    <w:bottom w:val="none" w:sz="0" w:space="0" w:color="auto"/>
                    <w:right w:val="none" w:sz="0" w:space="0" w:color="auto"/>
                  </w:divBdr>
                </w:div>
                <w:div w:id="1522938035">
                  <w:marLeft w:val="0"/>
                  <w:marRight w:val="0"/>
                  <w:marTop w:val="0"/>
                  <w:marBottom w:val="0"/>
                  <w:divBdr>
                    <w:top w:val="none" w:sz="0" w:space="0" w:color="auto"/>
                    <w:left w:val="none" w:sz="0" w:space="0" w:color="auto"/>
                    <w:bottom w:val="none" w:sz="0" w:space="0" w:color="auto"/>
                    <w:right w:val="none" w:sz="0" w:space="0" w:color="auto"/>
                  </w:divBdr>
                </w:div>
                <w:div w:id="1815684364">
                  <w:marLeft w:val="0"/>
                  <w:marRight w:val="0"/>
                  <w:marTop w:val="0"/>
                  <w:marBottom w:val="0"/>
                  <w:divBdr>
                    <w:top w:val="none" w:sz="0" w:space="0" w:color="auto"/>
                    <w:left w:val="none" w:sz="0" w:space="0" w:color="auto"/>
                    <w:bottom w:val="none" w:sz="0" w:space="0" w:color="auto"/>
                    <w:right w:val="none" w:sz="0" w:space="0" w:color="auto"/>
                  </w:divBdr>
                </w:div>
                <w:div w:id="1648243064">
                  <w:marLeft w:val="0"/>
                  <w:marRight w:val="0"/>
                  <w:marTop w:val="0"/>
                  <w:marBottom w:val="0"/>
                  <w:divBdr>
                    <w:top w:val="none" w:sz="0" w:space="0" w:color="auto"/>
                    <w:left w:val="none" w:sz="0" w:space="0" w:color="auto"/>
                    <w:bottom w:val="none" w:sz="0" w:space="0" w:color="auto"/>
                    <w:right w:val="none" w:sz="0" w:space="0" w:color="auto"/>
                  </w:divBdr>
                </w:div>
                <w:div w:id="1696074868">
                  <w:marLeft w:val="0"/>
                  <w:marRight w:val="0"/>
                  <w:marTop w:val="0"/>
                  <w:marBottom w:val="0"/>
                  <w:divBdr>
                    <w:top w:val="none" w:sz="0" w:space="0" w:color="auto"/>
                    <w:left w:val="none" w:sz="0" w:space="0" w:color="auto"/>
                    <w:bottom w:val="none" w:sz="0" w:space="0" w:color="auto"/>
                    <w:right w:val="none" w:sz="0" w:space="0" w:color="auto"/>
                  </w:divBdr>
                </w:div>
                <w:div w:id="1002930129">
                  <w:marLeft w:val="0"/>
                  <w:marRight w:val="0"/>
                  <w:marTop w:val="0"/>
                  <w:marBottom w:val="0"/>
                  <w:divBdr>
                    <w:top w:val="none" w:sz="0" w:space="0" w:color="auto"/>
                    <w:left w:val="none" w:sz="0" w:space="0" w:color="auto"/>
                    <w:bottom w:val="none" w:sz="0" w:space="0" w:color="auto"/>
                    <w:right w:val="none" w:sz="0" w:space="0" w:color="auto"/>
                  </w:divBdr>
                </w:div>
                <w:div w:id="43640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24476">
          <w:marLeft w:val="0"/>
          <w:marRight w:val="0"/>
          <w:marTop w:val="193"/>
          <w:marBottom w:val="193"/>
          <w:divBdr>
            <w:top w:val="none" w:sz="0" w:space="0" w:color="auto"/>
            <w:left w:val="none" w:sz="0" w:space="0" w:color="auto"/>
            <w:bottom w:val="none" w:sz="0" w:space="0" w:color="auto"/>
            <w:right w:val="none" w:sz="0" w:space="0" w:color="auto"/>
          </w:divBdr>
          <w:divsChild>
            <w:div w:id="1632859334">
              <w:marLeft w:val="0"/>
              <w:marRight w:val="0"/>
              <w:marTop w:val="0"/>
              <w:marBottom w:val="170"/>
              <w:divBdr>
                <w:top w:val="none" w:sz="0" w:space="0" w:color="auto"/>
                <w:left w:val="none" w:sz="0" w:space="0" w:color="auto"/>
                <w:bottom w:val="none" w:sz="0" w:space="0" w:color="auto"/>
                <w:right w:val="none" w:sz="0" w:space="0" w:color="auto"/>
              </w:divBdr>
            </w:div>
            <w:div w:id="1463620227">
              <w:marLeft w:val="0"/>
              <w:marRight w:val="0"/>
              <w:marTop w:val="0"/>
              <w:marBottom w:val="0"/>
              <w:divBdr>
                <w:top w:val="none" w:sz="0" w:space="0" w:color="auto"/>
                <w:left w:val="none" w:sz="0" w:space="0" w:color="auto"/>
                <w:bottom w:val="none" w:sz="0" w:space="0" w:color="auto"/>
                <w:right w:val="none" w:sz="0" w:space="0" w:color="auto"/>
              </w:divBdr>
              <w:divsChild>
                <w:div w:id="9181003">
                  <w:marLeft w:val="0"/>
                  <w:marRight w:val="0"/>
                  <w:marTop w:val="0"/>
                  <w:marBottom w:val="0"/>
                  <w:divBdr>
                    <w:top w:val="none" w:sz="0" w:space="0" w:color="auto"/>
                    <w:left w:val="none" w:sz="0" w:space="0" w:color="auto"/>
                    <w:bottom w:val="none" w:sz="0" w:space="0" w:color="auto"/>
                    <w:right w:val="none" w:sz="0" w:space="0" w:color="auto"/>
                  </w:divBdr>
                </w:div>
                <w:div w:id="832337467">
                  <w:marLeft w:val="0"/>
                  <w:marRight w:val="0"/>
                  <w:marTop w:val="0"/>
                  <w:marBottom w:val="0"/>
                  <w:divBdr>
                    <w:top w:val="none" w:sz="0" w:space="0" w:color="auto"/>
                    <w:left w:val="none" w:sz="0" w:space="0" w:color="auto"/>
                    <w:bottom w:val="none" w:sz="0" w:space="0" w:color="auto"/>
                    <w:right w:val="none" w:sz="0" w:space="0" w:color="auto"/>
                  </w:divBdr>
                </w:div>
                <w:div w:id="1585341445">
                  <w:marLeft w:val="0"/>
                  <w:marRight w:val="0"/>
                  <w:marTop w:val="0"/>
                  <w:marBottom w:val="0"/>
                  <w:divBdr>
                    <w:top w:val="none" w:sz="0" w:space="0" w:color="auto"/>
                    <w:left w:val="none" w:sz="0" w:space="0" w:color="auto"/>
                    <w:bottom w:val="none" w:sz="0" w:space="0" w:color="auto"/>
                    <w:right w:val="none" w:sz="0" w:space="0" w:color="auto"/>
                  </w:divBdr>
                </w:div>
                <w:div w:id="913778577">
                  <w:marLeft w:val="0"/>
                  <w:marRight w:val="0"/>
                  <w:marTop w:val="0"/>
                  <w:marBottom w:val="0"/>
                  <w:divBdr>
                    <w:top w:val="none" w:sz="0" w:space="0" w:color="auto"/>
                    <w:left w:val="none" w:sz="0" w:space="0" w:color="auto"/>
                    <w:bottom w:val="none" w:sz="0" w:space="0" w:color="auto"/>
                    <w:right w:val="none" w:sz="0" w:space="0" w:color="auto"/>
                  </w:divBdr>
                </w:div>
                <w:div w:id="198399312">
                  <w:marLeft w:val="0"/>
                  <w:marRight w:val="0"/>
                  <w:marTop w:val="0"/>
                  <w:marBottom w:val="0"/>
                  <w:divBdr>
                    <w:top w:val="none" w:sz="0" w:space="0" w:color="auto"/>
                    <w:left w:val="none" w:sz="0" w:space="0" w:color="auto"/>
                    <w:bottom w:val="none" w:sz="0" w:space="0" w:color="auto"/>
                    <w:right w:val="none" w:sz="0" w:space="0" w:color="auto"/>
                  </w:divBdr>
                </w:div>
                <w:div w:id="140582642">
                  <w:marLeft w:val="0"/>
                  <w:marRight w:val="0"/>
                  <w:marTop w:val="0"/>
                  <w:marBottom w:val="0"/>
                  <w:divBdr>
                    <w:top w:val="none" w:sz="0" w:space="0" w:color="auto"/>
                    <w:left w:val="none" w:sz="0" w:space="0" w:color="auto"/>
                    <w:bottom w:val="none" w:sz="0" w:space="0" w:color="auto"/>
                    <w:right w:val="none" w:sz="0" w:space="0" w:color="auto"/>
                  </w:divBdr>
                </w:div>
                <w:div w:id="1130512769">
                  <w:marLeft w:val="0"/>
                  <w:marRight w:val="0"/>
                  <w:marTop w:val="0"/>
                  <w:marBottom w:val="0"/>
                  <w:divBdr>
                    <w:top w:val="none" w:sz="0" w:space="0" w:color="auto"/>
                    <w:left w:val="none" w:sz="0" w:space="0" w:color="auto"/>
                    <w:bottom w:val="none" w:sz="0" w:space="0" w:color="auto"/>
                    <w:right w:val="none" w:sz="0" w:space="0" w:color="auto"/>
                  </w:divBdr>
                </w:div>
                <w:div w:id="430931371">
                  <w:marLeft w:val="0"/>
                  <w:marRight w:val="0"/>
                  <w:marTop w:val="0"/>
                  <w:marBottom w:val="0"/>
                  <w:divBdr>
                    <w:top w:val="none" w:sz="0" w:space="0" w:color="auto"/>
                    <w:left w:val="none" w:sz="0" w:space="0" w:color="auto"/>
                    <w:bottom w:val="none" w:sz="0" w:space="0" w:color="auto"/>
                    <w:right w:val="none" w:sz="0" w:space="0" w:color="auto"/>
                  </w:divBdr>
                </w:div>
                <w:div w:id="804663756">
                  <w:marLeft w:val="0"/>
                  <w:marRight w:val="0"/>
                  <w:marTop w:val="0"/>
                  <w:marBottom w:val="0"/>
                  <w:divBdr>
                    <w:top w:val="none" w:sz="0" w:space="0" w:color="auto"/>
                    <w:left w:val="none" w:sz="0" w:space="0" w:color="auto"/>
                    <w:bottom w:val="none" w:sz="0" w:space="0" w:color="auto"/>
                    <w:right w:val="none" w:sz="0" w:space="0" w:color="auto"/>
                  </w:divBdr>
                </w:div>
                <w:div w:id="170062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026353">
          <w:marLeft w:val="0"/>
          <w:marRight w:val="0"/>
          <w:marTop w:val="193"/>
          <w:marBottom w:val="193"/>
          <w:divBdr>
            <w:top w:val="none" w:sz="0" w:space="0" w:color="auto"/>
            <w:left w:val="none" w:sz="0" w:space="0" w:color="auto"/>
            <w:bottom w:val="none" w:sz="0" w:space="0" w:color="auto"/>
            <w:right w:val="none" w:sz="0" w:space="0" w:color="auto"/>
          </w:divBdr>
          <w:divsChild>
            <w:div w:id="1957591405">
              <w:marLeft w:val="0"/>
              <w:marRight w:val="0"/>
              <w:marTop w:val="0"/>
              <w:marBottom w:val="170"/>
              <w:divBdr>
                <w:top w:val="none" w:sz="0" w:space="0" w:color="auto"/>
                <w:left w:val="none" w:sz="0" w:space="0" w:color="auto"/>
                <w:bottom w:val="none" w:sz="0" w:space="0" w:color="auto"/>
                <w:right w:val="none" w:sz="0" w:space="0" w:color="auto"/>
              </w:divBdr>
            </w:div>
            <w:div w:id="1141382123">
              <w:marLeft w:val="0"/>
              <w:marRight w:val="0"/>
              <w:marTop w:val="0"/>
              <w:marBottom w:val="0"/>
              <w:divBdr>
                <w:top w:val="none" w:sz="0" w:space="0" w:color="auto"/>
                <w:left w:val="none" w:sz="0" w:space="0" w:color="auto"/>
                <w:bottom w:val="none" w:sz="0" w:space="0" w:color="auto"/>
                <w:right w:val="none" w:sz="0" w:space="0" w:color="auto"/>
              </w:divBdr>
              <w:divsChild>
                <w:div w:id="63383543">
                  <w:marLeft w:val="0"/>
                  <w:marRight w:val="0"/>
                  <w:marTop w:val="0"/>
                  <w:marBottom w:val="0"/>
                  <w:divBdr>
                    <w:top w:val="none" w:sz="0" w:space="0" w:color="auto"/>
                    <w:left w:val="none" w:sz="0" w:space="0" w:color="auto"/>
                    <w:bottom w:val="none" w:sz="0" w:space="0" w:color="auto"/>
                    <w:right w:val="none" w:sz="0" w:space="0" w:color="auto"/>
                  </w:divBdr>
                </w:div>
                <w:div w:id="857308962">
                  <w:marLeft w:val="0"/>
                  <w:marRight w:val="0"/>
                  <w:marTop w:val="0"/>
                  <w:marBottom w:val="0"/>
                  <w:divBdr>
                    <w:top w:val="none" w:sz="0" w:space="0" w:color="auto"/>
                    <w:left w:val="none" w:sz="0" w:space="0" w:color="auto"/>
                    <w:bottom w:val="none" w:sz="0" w:space="0" w:color="auto"/>
                    <w:right w:val="none" w:sz="0" w:space="0" w:color="auto"/>
                  </w:divBdr>
                </w:div>
                <w:div w:id="1605914513">
                  <w:marLeft w:val="0"/>
                  <w:marRight w:val="0"/>
                  <w:marTop w:val="0"/>
                  <w:marBottom w:val="0"/>
                  <w:divBdr>
                    <w:top w:val="none" w:sz="0" w:space="0" w:color="auto"/>
                    <w:left w:val="none" w:sz="0" w:space="0" w:color="auto"/>
                    <w:bottom w:val="none" w:sz="0" w:space="0" w:color="auto"/>
                    <w:right w:val="none" w:sz="0" w:space="0" w:color="auto"/>
                  </w:divBdr>
                </w:div>
                <w:div w:id="538324785">
                  <w:marLeft w:val="0"/>
                  <w:marRight w:val="0"/>
                  <w:marTop w:val="0"/>
                  <w:marBottom w:val="0"/>
                  <w:divBdr>
                    <w:top w:val="none" w:sz="0" w:space="0" w:color="auto"/>
                    <w:left w:val="none" w:sz="0" w:space="0" w:color="auto"/>
                    <w:bottom w:val="none" w:sz="0" w:space="0" w:color="auto"/>
                    <w:right w:val="none" w:sz="0" w:space="0" w:color="auto"/>
                  </w:divBdr>
                </w:div>
                <w:div w:id="85004274">
                  <w:marLeft w:val="0"/>
                  <w:marRight w:val="0"/>
                  <w:marTop w:val="0"/>
                  <w:marBottom w:val="0"/>
                  <w:divBdr>
                    <w:top w:val="none" w:sz="0" w:space="0" w:color="auto"/>
                    <w:left w:val="none" w:sz="0" w:space="0" w:color="auto"/>
                    <w:bottom w:val="none" w:sz="0" w:space="0" w:color="auto"/>
                    <w:right w:val="none" w:sz="0" w:space="0" w:color="auto"/>
                  </w:divBdr>
                </w:div>
                <w:div w:id="1275866872">
                  <w:marLeft w:val="0"/>
                  <w:marRight w:val="0"/>
                  <w:marTop w:val="0"/>
                  <w:marBottom w:val="0"/>
                  <w:divBdr>
                    <w:top w:val="none" w:sz="0" w:space="0" w:color="auto"/>
                    <w:left w:val="none" w:sz="0" w:space="0" w:color="auto"/>
                    <w:bottom w:val="none" w:sz="0" w:space="0" w:color="auto"/>
                    <w:right w:val="none" w:sz="0" w:space="0" w:color="auto"/>
                  </w:divBdr>
                </w:div>
                <w:div w:id="1847859113">
                  <w:marLeft w:val="0"/>
                  <w:marRight w:val="0"/>
                  <w:marTop w:val="0"/>
                  <w:marBottom w:val="0"/>
                  <w:divBdr>
                    <w:top w:val="none" w:sz="0" w:space="0" w:color="auto"/>
                    <w:left w:val="none" w:sz="0" w:space="0" w:color="auto"/>
                    <w:bottom w:val="none" w:sz="0" w:space="0" w:color="auto"/>
                    <w:right w:val="none" w:sz="0" w:space="0" w:color="auto"/>
                  </w:divBdr>
                </w:div>
                <w:div w:id="1114863251">
                  <w:marLeft w:val="0"/>
                  <w:marRight w:val="0"/>
                  <w:marTop w:val="0"/>
                  <w:marBottom w:val="0"/>
                  <w:divBdr>
                    <w:top w:val="none" w:sz="0" w:space="0" w:color="auto"/>
                    <w:left w:val="none" w:sz="0" w:space="0" w:color="auto"/>
                    <w:bottom w:val="none" w:sz="0" w:space="0" w:color="auto"/>
                    <w:right w:val="none" w:sz="0" w:space="0" w:color="auto"/>
                  </w:divBdr>
                </w:div>
                <w:div w:id="440220709">
                  <w:marLeft w:val="0"/>
                  <w:marRight w:val="0"/>
                  <w:marTop w:val="0"/>
                  <w:marBottom w:val="0"/>
                  <w:divBdr>
                    <w:top w:val="none" w:sz="0" w:space="0" w:color="auto"/>
                    <w:left w:val="none" w:sz="0" w:space="0" w:color="auto"/>
                    <w:bottom w:val="none" w:sz="0" w:space="0" w:color="auto"/>
                    <w:right w:val="none" w:sz="0" w:space="0" w:color="auto"/>
                  </w:divBdr>
                </w:div>
                <w:div w:id="196981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00917">
          <w:marLeft w:val="0"/>
          <w:marRight w:val="0"/>
          <w:marTop w:val="193"/>
          <w:marBottom w:val="193"/>
          <w:divBdr>
            <w:top w:val="none" w:sz="0" w:space="0" w:color="auto"/>
            <w:left w:val="none" w:sz="0" w:space="0" w:color="auto"/>
            <w:bottom w:val="none" w:sz="0" w:space="0" w:color="auto"/>
            <w:right w:val="none" w:sz="0" w:space="0" w:color="auto"/>
          </w:divBdr>
          <w:divsChild>
            <w:div w:id="1890916270">
              <w:marLeft w:val="0"/>
              <w:marRight w:val="0"/>
              <w:marTop w:val="0"/>
              <w:marBottom w:val="170"/>
              <w:divBdr>
                <w:top w:val="none" w:sz="0" w:space="0" w:color="auto"/>
                <w:left w:val="none" w:sz="0" w:space="0" w:color="auto"/>
                <w:bottom w:val="none" w:sz="0" w:space="0" w:color="auto"/>
                <w:right w:val="none" w:sz="0" w:space="0" w:color="auto"/>
              </w:divBdr>
            </w:div>
            <w:div w:id="609556225">
              <w:marLeft w:val="0"/>
              <w:marRight w:val="0"/>
              <w:marTop w:val="0"/>
              <w:marBottom w:val="0"/>
              <w:divBdr>
                <w:top w:val="none" w:sz="0" w:space="0" w:color="auto"/>
                <w:left w:val="none" w:sz="0" w:space="0" w:color="auto"/>
                <w:bottom w:val="none" w:sz="0" w:space="0" w:color="auto"/>
                <w:right w:val="none" w:sz="0" w:space="0" w:color="auto"/>
              </w:divBdr>
              <w:divsChild>
                <w:div w:id="2098011953">
                  <w:marLeft w:val="0"/>
                  <w:marRight w:val="0"/>
                  <w:marTop w:val="0"/>
                  <w:marBottom w:val="0"/>
                  <w:divBdr>
                    <w:top w:val="none" w:sz="0" w:space="0" w:color="auto"/>
                    <w:left w:val="none" w:sz="0" w:space="0" w:color="auto"/>
                    <w:bottom w:val="none" w:sz="0" w:space="0" w:color="auto"/>
                    <w:right w:val="none" w:sz="0" w:space="0" w:color="auto"/>
                  </w:divBdr>
                </w:div>
                <w:div w:id="424573258">
                  <w:marLeft w:val="0"/>
                  <w:marRight w:val="0"/>
                  <w:marTop w:val="0"/>
                  <w:marBottom w:val="0"/>
                  <w:divBdr>
                    <w:top w:val="none" w:sz="0" w:space="0" w:color="auto"/>
                    <w:left w:val="none" w:sz="0" w:space="0" w:color="auto"/>
                    <w:bottom w:val="none" w:sz="0" w:space="0" w:color="auto"/>
                    <w:right w:val="none" w:sz="0" w:space="0" w:color="auto"/>
                  </w:divBdr>
                </w:div>
                <w:div w:id="1017578101">
                  <w:marLeft w:val="0"/>
                  <w:marRight w:val="0"/>
                  <w:marTop w:val="0"/>
                  <w:marBottom w:val="0"/>
                  <w:divBdr>
                    <w:top w:val="none" w:sz="0" w:space="0" w:color="auto"/>
                    <w:left w:val="none" w:sz="0" w:space="0" w:color="auto"/>
                    <w:bottom w:val="none" w:sz="0" w:space="0" w:color="auto"/>
                    <w:right w:val="none" w:sz="0" w:space="0" w:color="auto"/>
                  </w:divBdr>
                </w:div>
                <w:div w:id="1180970858">
                  <w:marLeft w:val="0"/>
                  <w:marRight w:val="0"/>
                  <w:marTop w:val="0"/>
                  <w:marBottom w:val="0"/>
                  <w:divBdr>
                    <w:top w:val="none" w:sz="0" w:space="0" w:color="auto"/>
                    <w:left w:val="none" w:sz="0" w:space="0" w:color="auto"/>
                    <w:bottom w:val="none" w:sz="0" w:space="0" w:color="auto"/>
                    <w:right w:val="none" w:sz="0" w:space="0" w:color="auto"/>
                  </w:divBdr>
                </w:div>
                <w:div w:id="437986768">
                  <w:marLeft w:val="0"/>
                  <w:marRight w:val="0"/>
                  <w:marTop w:val="0"/>
                  <w:marBottom w:val="0"/>
                  <w:divBdr>
                    <w:top w:val="none" w:sz="0" w:space="0" w:color="auto"/>
                    <w:left w:val="none" w:sz="0" w:space="0" w:color="auto"/>
                    <w:bottom w:val="none" w:sz="0" w:space="0" w:color="auto"/>
                    <w:right w:val="none" w:sz="0" w:space="0" w:color="auto"/>
                  </w:divBdr>
                </w:div>
                <w:div w:id="577517832">
                  <w:marLeft w:val="0"/>
                  <w:marRight w:val="0"/>
                  <w:marTop w:val="0"/>
                  <w:marBottom w:val="0"/>
                  <w:divBdr>
                    <w:top w:val="none" w:sz="0" w:space="0" w:color="auto"/>
                    <w:left w:val="none" w:sz="0" w:space="0" w:color="auto"/>
                    <w:bottom w:val="none" w:sz="0" w:space="0" w:color="auto"/>
                    <w:right w:val="none" w:sz="0" w:space="0" w:color="auto"/>
                  </w:divBdr>
                </w:div>
                <w:div w:id="2006590223">
                  <w:marLeft w:val="0"/>
                  <w:marRight w:val="0"/>
                  <w:marTop w:val="0"/>
                  <w:marBottom w:val="0"/>
                  <w:divBdr>
                    <w:top w:val="none" w:sz="0" w:space="0" w:color="auto"/>
                    <w:left w:val="none" w:sz="0" w:space="0" w:color="auto"/>
                    <w:bottom w:val="none" w:sz="0" w:space="0" w:color="auto"/>
                    <w:right w:val="none" w:sz="0" w:space="0" w:color="auto"/>
                  </w:divBdr>
                </w:div>
                <w:div w:id="141700552">
                  <w:marLeft w:val="0"/>
                  <w:marRight w:val="0"/>
                  <w:marTop w:val="0"/>
                  <w:marBottom w:val="0"/>
                  <w:divBdr>
                    <w:top w:val="none" w:sz="0" w:space="0" w:color="auto"/>
                    <w:left w:val="none" w:sz="0" w:space="0" w:color="auto"/>
                    <w:bottom w:val="none" w:sz="0" w:space="0" w:color="auto"/>
                    <w:right w:val="none" w:sz="0" w:space="0" w:color="auto"/>
                  </w:divBdr>
                </w:div>
                <w:div w:id="1509058255">
                  <w:marLeft w:val="0"/>
                  <w:marRight w:val="0"/>
                  <w:marTop w:val="0"/>
                  <w:marBottom w:val="0"/>
                  <w:divBdr>
                    <w:top w:val="none" w:sz="0" w:space="0" w:color="auto"/>
                    <w:left w:val="none" w:sz="0" w:space="0" w:color="auto"/>
                    <w:bottom w:val="none" w:sz="0" w:space="0" w:color="auto"/>
                    <w:right w:val="none" w:sz="0" w:space="0" w:color="auto"/>
                  </w:divBdr>
                </w:div>
                <w:div w:id="79582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16028">
          <w:marLeft w:val="0"/>
          <w:marRight w:val="0"/>
          <w:marTop w:val="193"/>
          <w:marBottom w:val="193"/>
          <w:divBdr>
            <w:top w:val="none" w:sz="0" w:space="0" w:color="auto"/>
            <w:left w:val="none" w:sz="0" w:space="0" w:color="auto"/>
            <w:bottom w:val="none" w:sz="0" w:space="0" w:color="auto"/>
            <w:right w:val="none" w:sz="0" w:space="0" w:color="auto"/>
          </w:divBdr>
          <w:divsChild>
            <w:div w:id="1356030988">
              <w:marLeft w:val="0"/>
              <w:marRight w:val="0"/>
              <w:marTop w:val="0"/>
              <w:marBottom w:val="170"/>
              <w:divBdr>
                <w:top w:val="none" w:sz="0" w:space="0" w:color="auto"/>
                <w:left w:val="none" w:sz="0" w:space="0" w:color="auto"/>
                <w:bottom w:val="none" w:sz="0" w:space="0" w:color="auto"/>
                <w:right w:val="none" w:sz="0" w:space="0" w:color="auto"/>
              </w:divBdr>
            </w:div>
            <w:div w:id="186138323">
              <w:marLeft w:val="0"/>
              <w:marRight w:val="0"/>
              <w:marTop w:val="0"/>
              <w:marBottom w:val="0"/>
              <w:divBdr>
                <w:top w:val="none" w:sz="0" w:space="0" w:color="auto"/>
                <w:left w:val="none" w:sz="0" w:space="0" w:color="auto"/>
                <w:bottom w:val="none" w:sz="0" w:space="0" w:color="auto"/>
                <w:right w:val="none" w:sz="0" w:space="0" w:color="auto"/>
              </w:divBdr>
              <w:divsChild>
                <w:div w:id="1239097503">
                  <w:marLeft w:val="0"/>
                  <w:marRight w:val="0"/>
                  <w:marTop w:val="0"/>
                  <w:marBottom w:val="0"/>
                  <w:divBdr>
                    <w:top w:val="none" w:sz="0" w:space="0" w:color="auto"/>
                    <w:left w:val="none" w:sz="0" w:space="0" w:color="auto"/>
                    <w:bottom w:val="none" w:sz="0" w:space="0" w:color="auto"/>
                    <w:right w:val="none" w:sz="0" w:space="0" w:color="auto"/>
                  </w:divBdr>
                </w:div>
                <w:div w:id="1924296953">
                  <w:marLeft w:val="0"/>
                  <w:marRight w:val="0"/>
                  <w:marTop w:val="0"/>
                  <w:marBottom w:val="0"/>
                  <w:divBdr>
                    <w:top w:val="none" w:sz="0" w:space="0" w:color="auto"/>
                    <w:left w:val="none" w:sz="0" w:space="0" w:color="auto"/>
                    <w:bottom w:val="none" w:sz="0" w:space="0" w:color="auto"/>
                    <w:right w:val="none" w:sz="0" w:space="0" w:color="auto"/>
                  </w:divBdr>
                </w:div>
                <w:div w:id="932006104">
                  <w:marLeft w:val="0"/>
                  <w:marRight w:val="0"/>
                  <w:marTop w:val="0"/>
                  <w:marBottom w:val="0"/>
                  <w:divBdr>
                    <w:top w:val="none" w:sz="0" w:space="0" w:color="auto"/>
                    <w:left w:val="none" w:sz="0" w:space="0" w:color="auto"/>
                    <w:bottom w:val="none" w:sz="0" w:space="0" w:color="auto"/>
                    <w:right w:val="none" w:sz="0" w:space="0" w:color="auto"/>
                  </w:divBdr>
                </w:div>
                <w:div w:id="499467920">
                  <w:marLeft w:val="0"/>
                  <w:marRight w:val="0"/>
                  <w:marTop w:val="0"/>
                  <w:marBottom w:val="0"/>
                  <w:divBdr>
                    <w:top w:val="none" w:sz="0" w:space="0" w:color="auto"/>
                    <w:left w:val="none" w:sz="0" w:space="0" w:color="auto"/>
                    <w:bottom w:val="none" w:sz="0" w:space="0" w:color="auto"/>
                    <w:right w:val="none" w:sz="0" w:space="0" w:color="auto"/>
                  </w:divBdr>
                </w:div>
                <w:div w:id="744299628">
                  <w:marLeft w:val="0"/>
                  <w:marRight w:val="0"/>
                  <w:marTop w:val="0"/>
                  <w:marBottom w:val="0"/>
                  <w:divBdr>
                    <w:top w:val="none" w:sz="0" w:space="0" w:color="auto"/>
                    <w:left w:val="none" w:sz="0" w:space="0" w:color="auto"/>
                    <w:bottom w:val="none" w:sz="0" w:space="0" w:color="auto"/>
                    <w:right w:val="none" w:sz="0" w:space="0" w:color="auto"/>
                  </w:divBdr>
                </w:div>
                <w:div w:id="1787965328">
                  <w:marLeft w:val="0"/>
                  <w:marRight w:val="0"/>
                  <w:marTop w:val="0"/>
                  <w:marBottom w:val="0"/>
                  <w:divBdr>
                    <w:top w:val="none" w:sz="0" w:space="0" w:color="auto"/>
                    <w:left w:val="none" w:sz="0" w:space="0" w:color="auto"/>
                    <w:bottom w:val="none" w:sz="0" w:space="0" w:color="auto"/>
                    <w:right w:val="none" w:sz="0" w:space="0" w:color="auto"/>
                  </w:divBdr>
                </w:div>
                <w:div w:id="1288392551">
                  <w:marLeft w:val="0"/>
                  <w:marRight w:val="0"/>
                  <w:marTop w:val="0"/>
                  <w:marBottom w:val="0"/>
                  <w:divBdr>
                    <w:top w:val="none" w:sz="0" w:space="0" w:color="auto"/>
                    <w:left w:val="none" w:sz="0" w:space="0" w:color="auto"/>
                    <w:bottom w:val="none" w:sz="0" w:space="0" w:color="auto"/>
                    <w:right w:val="none" w:sz="0" w:space="0" w:color="auto"/>
                  </w:divBdr>
                </w:div>
                <w:div w:id="1400323322">
                  <w:marLeft w:val="0"/>
                  <w:marRight w:val="0"/>
                  <w:marTop w:val="0"/>
                  <w:marBottom w:val="0"/>
                  <w:divBdr>
                    <w:top w:val="none" w:sz="0" w:space="0" w:color="auto"/>
                    <w:left w:val="none" w:sz="0" w:space="0" w:color="auto"/>
                    <w:bottom w:val="none" w:sz="0" w:space="0" w:color="auto"/>
                    <w:right w:val="none" w:sz="0" w:space="0" w:color="auto"/>
                  </w:divBdr>
                </w:div>
                <w:div w:id="1550606196">
                  <w:marLeft w:val="0"/>
                  <w:marRight w:val="0"/>
                  <w:marTop w:val="0"/>
                  <w:marBottom w:val="0"/>
                  <w:divBdr>
                    <w:top w:val="none" w:sz="0" w:space="0" w:color="auto"/>
                    <w:left w:val="none" w:sz="0" w:space="0" w:color="auto"/>
                    <w:bottom w:val="none" w:sz="0" w:space="0" w:color="auto"/>
                    <w:right w:val="none" w:sz="0" w:space="0" w:color="auto"/>
                  </w:divBdr>
                </w:div>
                <w:div w:id="213775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25083">
          <w:marLeft w:val="0"/>
          <w:marRight w:val="0"/>
          <w:marTop w:val="193"/>
          <w:marBottom w:val="193"/>
          <w:divBdr>
            <w:top w:val="none" w:sz="0" w:space="0" w:color="auto"/>
            <w:left w:val="none" w:sz="0" w:space="0" w:color="auto"/>
            <w:bottom w:val="none" w:sz="0" w:space="0" w:color="auto"/>
            <w:right w:val="none" w:sz="0" w:space="0" w:color="auto"/>
          </w:divBdr>
          <w:divsChild>
            <w:div w:id="1265460557">
              <w:marLeft w:val="0"/>
              <w:marRight w:val="0"/>
              <w:marTop w:val="0"/>
              <w:marBottom w:val="170"/>
              <w:divBdr>
                <w:top w:val="none" w:sz="0" w:space="0" w:color="auto"/>
                <w:left w:val="none" w:sz="0" w:space="0" w:color="auto"/>
                <w:bottom w:val="none" w:sz="0" w:space="0" w:color="auto"/>
                <w:right w:val="none" w:sz="0" w:space="0" w:color="auto"/>
              </w:divBdr>
            </w:div>
            <w:div w:id="1134718540">
              <w:marLeft w:val="0"/>
              <w:marRight w:val="0"/>
              <w:marTop w:val="0"/>
              <w:marBottom w:val="0"/>
              <w:divBdr>
                <w:top w:val="none" w:sz="0" w:space="0" w:color="auto"/>
                <w:left w:val="none" w:sz="0" w:space="0" w:color="auto"/>
                <w:bottom w:val="none" w:sz="0" w:space="0" w:color="auto"/>
                <w:right w:val="none" w:sz="0" w:space="0" w:color="auto"/>
              </w:divBdr>
              <w:divsChild>
                <w:div w:id="1401487524">
                  <w:marLeft w:val="0"/>
                  <w:marRight w:val="0"/>
                  <w:marTop w:val="0"/>
                  <w:marBottom w:val="0"/>
                  <w:divBdr>
                    <w:top w:val="none" w:sz="0" w:space="0" w:color="auto"/>
                    <w:left w:val="none" w:sz="0" w:space="0" w:color="auto"/>
                    <w:bottom w:val="none" w:sz="0" w:space="0" w:color="auto"/>
                    <w:right w:val="none" w:sz="0" w:space="0" w:color="auto"/>
                  </w:divBdr>
                </w:div>
                <w:div w:id="447939140">
                  <w:marLeft w:val="0"/>
                  <w:marRight w:val="0"/>
                  <w:marTop w:val="0"/>
                  <w:marBottom w:val="0"/>
                  <w:divBdr>
                    <w:top w:val="none" w:sz="0" w:space="0" w:color="auto"/>
                    <w:left w:val="none" w:sz="0" w:space="0" w:color="auto"/>
                    <w:bottom w:val="none" w:sz="0" w:space="0" w:color="auto"/>
                    <w:right w:val="none" w:sz="0" w:space="0" w:color="auto"/>
                  </w:divBdr>
                </w:div>
                <w:div w:id="2068868144">
                  <w:marLeft w:val="0"/>
                  <w:marRight w:val="0"/>
                  <w:marTop w:val="0"/>
                  <w:marBottom w:val="0"/>
                  <w:divBdr>
                    <w:top w:val="none" w:sz="0" w:space="0" w:color="auto"/>
                    <w:left w:val="none" w:sz="0" w:space="0" w:color="auto"/>
                    <w:bottom w:val="none" w:sz="0" w:space="0" w:color="auto"/>
                    <w:right w:val="none" w:sz="0" w:space="0" w:color="auto"/>
                  </w:divBdr>
                </w:div>
                <w:div w:id="282614648">
                  <w:marLeft w:val="0"/>
                  <w:marRight w:val="0"/>
                  <w:marTop w:val="0"/>
                  <w:marBottom w:val="0"/>
                  <w:divBdr>
                    <w:top w:val="none" w:sz="0" w:space="0" w:color="auto"/>
                    <w:left w:val="none" w:sz="0" w:space="0" w:color="auto"/>
                    <w:bottom w:val="none" w:sz="0" w:space="0" w:color="auto"/>
                    <w:right w:val="none" w:sz="0" w:space="0" w:color="auto"/>
                  </w:divBdr>
                </w:div>
                <w:div w:id="568266722">
                  <w:marLeft w:val="0"/>
                  <w:marRight w:val="0"/>
                  <w:marTop w:val="0"/>
                  <w:marBottom w:val="0"/>
                  <w:divBdr>
                    <w:top w:val="none" w:sz="0" w:space="0" w:color="auto"/>
                    <w:left w:val="none" w:sz="0" w:space="0" w:color="auto"/>
                    <w:bottom w:val="none" w:sz="0" w:space="0" w:color="auto"/>
                    <w:right w:val="none" w:sz="0" w:space="0" w:color="auto"/>
                  </w:divBdr>
                </w:div>
                <w:div w:id="1475024372">
                  <w:marLeft w:val="0"/>
                  <w:marRight w:val="0"/>
                  <w:marTop w:val="0"/>
                  <w:marBottom w:val="0"/>
                  <w:divBdr>
                    <w:top w:val="none" w:sz="0" w:space="0" w:color="auto"/>
                    <w:left w:val="none" w:sz="0" w:space="0" w:color="auto"/>
                    <w:bottom w:val="none" w:sz="0" w:space="0" w:color="auto"/>
                    <w:right w:val="none" w:sz="0" w:space="0" w:color="auto"/>
                  </w:divBdr>
                </w:div>
                <w:div w:id="849102507">
                  <w:marLeft w:val="0"/>
                  <w:marRight w:val="0"/>
                  <w:marTop w:val="0"/>
                  <w:marBottom w:val="0"/>
                  <w:divBdr>
                    <w:top w:val="none" w:sz="0" w:space="0" w:color="auto"/>
                    <w:left w:val="none" w:sz="0" w:space="0" w:color="auto"/>
                    <w:bottom w:val="none" w:sz="0" w:space="0" w:color="auto"/>
                    <w:right w:val="none" w:sz="0" w:space="0" w:color="auto"/>
                  </w:divBdr>
                </w:div>
                <w:div w:id="836384470">
                  <w:marLeft w:val="0"/>
                  <w:marRight w:val="0"/>
                  <w:marTop w:val="0"/>
                  <w:marBottom w:val="0"/>
                  <w:divBdr>
                    <w:top w:val="none" w:sz="0" w:space="0" w:color="auto"/>
                    <w:left w:val="none" w:sz="0" w:space="0" w:color="auto"/>
                    <w:bottom w:val="none" w:sz="0" w:space="0" w:color="auto"/>
                    <w:right w:val="none" w:sz="0" w:space="0" w:color="auto"/>
                  </w:divBdr>
                </w:div>
                <w:div w:id="1399594649">
                  <w:marLeft w:val="0"/>
                  <w:marRight w:val="0"/>
                  <w:marTop w:val="0"/>
                  <w:marBottom w:val="0"/>
                  <w:divBdr>
                    <w:top w:val="none" w:sz="0" w:space="0" w:color="auto"/>
                    <w:left w:val="none" w:sz="0" w:space="0" w:color="auto"/>
                    <w:bottom w:val="none" w:sz="0" w:space="0" w:color="auto"/>
                    <w:right w:val="none" w:sz="0" w:space="0" w:color="auto"/>
                  </w:divBdr>
                </w:div>
                <w:div w:id="184034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112457">
      <w:marLeft w:val="0"/>
      <w:marRight w:val="0"/>
      <w:marTop w:val="0"/>
      <w:marBottom w:val="0"/>
      <w:divBdr>
        <w:top w:val="none" w:sz="0" w:space="0" w:color="auto"/>
        <w:left w:val="none" w:sz="0" w:space="0" w:color="auto"/>
        <w:bottom w:val="none" w:sz="0" w:space="0" w:color="auto"/>
        <w:right w:val="none" w:sz="0" w:space="0" w:color="auto"/>
      </w:divBdr>
      <w:divsChild>
        <w:div w:id="942759142">
          <w:marLeft w:val="0"/>
          <w:marRight w:val="0"/>
          <w:marTop w:val="0"/>
          <w:marBottom w:val="340"/>
          <w:divBdr>
            <w:top w:val="none" w:sz="0" w:space="0" w:color="auto"/>
            <w:left w:val="none" w:sz="0" w:space="0" w:color="auto"/>
            <w:bottom w:val="none" w:sz="0" w:space="0" w:color="auto"/>
            <w:right w:val="none" w:sz="0" w:space="0" w:color="auto"/>
          </w:divBdr>
        </w:div>
        <w:div w:id="93017778">
          <w:marLeft w:val="0"/>
          <w:marRight w:val="0"/>
          <w:marTop w:val="193"/>
          <w:marBottom w:val="193"/>
          <w:divBdr>
            <w:top w:val="none" w:sz="0" w:space="0" w:color="auto"/>
            <w:left w:val="none" w:sz="0" w:space="0" w:color="auto"/>
            <w:bottom w:val="none" w:sz="0" w:space="0" w:color="auto"/>
            <w:right w:val="none" w:sz="0" w:space="0" w:color="auto"/>
          </w:divBdr>
        </w:div>
        <w:div w:id="2081562062">
          <w:marLeft w:val="0"/>
          <w:marRight w:val="0"/>
          <w:marTop w:val="142"/>
          <w:marBottom w:val="170"/>
          <w:divBdr>
            <w:top w:val="none" w:sz="0" w:space="0" w:color="auto"/>
            <w:left w:val="none" w:sz="0" w:space="0" w:color="auto"/>
            <w:bottom w:val="none" w:sz="0" w:space="0" w:color="auto"/>
            <w:right w:val="none" w:sz="0" w:space="0" w:color="auto"/>
          </w:divBdr>
        </w:div>
      </w:divsChild>
    </w:div>
    <w:div w:id="1747730245">
      <w:marLeft w:val="0"/>
      <w:marRight w:val="0"/>
      <w:marTop w:val="0"/>
      <w:marBottom w:val="0"/>
      <w:divBdr>
        <w:top w:val="none" w:sz="0" w:space="0" w:color="auto"/>
        <w:left w:val="none" w:sz="0" w:space="0" w:color="auto"/>
        <w:bottom w:val="none" w:sz="0" w:space="0" w:color="auto"/>
        <w:right w:val="none" w:sz="0" w:space="0" w:color="auto"/>
      </w:divBdr>
      <w:divsChild>
        <w:div w:id="1352101307">
          <w:marLeft w:val="0"/>
          <w:marRight w:val="0"/>
          <w:marTop w:val="0"/>
          <w:marBottom w:val="340"/>
          <w:divBdr>
            <w:top w:val="none" w:sz="0" w:space="0" w:color="auto"/>
            <w:left w:val="none" w:sz="0" w:space="0" w:color="auto"/>
            <w:bottom w:val="none" w:sz="0" w:space="0" w:color="auto"/>
            <w:right w:val="none" w:sz="0" w:space="0" w:color="auto"/>
          </w:divBdr>
        </w:div>
        <w:div w:id="1387025016">
          <w:marLeft w:val="0"/>
          <w:marRight w:val="0"/>
          <w:marTop w:val="193"/>
          <w:marBottom w:val="193"/>
          <w:divBdr>
            <w:top w:val="none" w:sz="0" w:space="0" w:color="auto"/>
            <w:left w:val="none" w:sz="0" w:space="0" w:color="auto"/>
            <w:bottom w:val="none" w:sz="0" w:space="0" w:color="auto"/>
            <w:right w:val="none" w:sz="0" w:space="0" w:color="auto"/>
          </w:divBdr>
        </w:div>
      </w:divsChild>
    </w:div>
    <w:div w:id="1759718628">
      <w:marLeft w:val="0"/>
      <w:marRight w:val="0"/>
      <w:marTop w:val="0"/>
      <w:marBottom w:val="0"/>
      <w:divBdr>
        <w:top w:val="none" w:sz="0" w:space="0" w:color="auto"/>
        <w:left w:val="none" w:sz="0" w:space="0" w:color="auto"/>
        <w:bottom w:val="none" w:sz="0" w:space="0" w:color="auto"/>
        <w:right w:val="none" w:sz="0" w:space="0" w:color="auto"/>
      </w:divBdr>
      <w:divsChild>
        <w:div w:id="1748066730">
          <w:marLeft w:val="0"/>
          <w:marRight w:val="0"/>
          <w:marTop w:val="0"/>
          <w:marBottom w:val="340"/>
          <w:divBdr>
            <w:top w:val="none" w:sz="0" w:space="0" w:color="auto"/>
            <w:left w:val="none" w:sz="0" w:space="0" w:color="auto"/>
            <w:bottom w:val="none" w:sz="0" w:space="0" w:color="auto"/>
            <w:right w:val="none" w:sz="0" w:space="0" w:color="auto"/>
          </w:divBdr>
        </w:div>
        <w:div w:id="488907974">
          <w:marLeft w:val="0"/>
          <w:marRight w:val="0"/>
          <w:marTop w:val="0"/>
          <w:marBottom w:val="0"/>
          <w:divBdr>
            <w:top w:val="none" w:sz="0" w:space="0" w:color="auto"/>
            <w:left w:val="none" w:sz="0" w:space="0" w:color="auto"/>
            <w:bottom w:val="none" w:sz="0" w:space="0" w:color="auto"/>
            <w:right w:val="none" w:sz="0" w:space="0" w:color="auto"/>
          </w:divBdr>
          <w:divsChild>
            <w:div w:id="439297964">
              <w:marLeft w:val="0"/>
              <w:marRight w:val="0"/>
              <w:marTop w:val="0"/>
              <w:marBottom w:val="0"/>
              <w:divBdr>
                <w:top w:val="none" w:sz="0" w:space="0" w:color="auto"/>
                <w:left w:val="none" w:sz="0" w:space="0" w:color="auto"/>
                <w:bottom w:val="none" w:sz="0" w:space="0" w:color="auto"/>
                <w:right w:val="none" w:sz="0" w:space="0" w:color="auto"/>
              </w:divBdr>
            </w:div>
            <w:div w:id="315036654">
              <w:marLeft w:val="0"/>
              <w:marRight w:val="0"/>
              <w:marTop w:val="0"/>
              <w:marBottom w:val="0"/>
              <w:divBdr>
                <w:top w:val="none" w:sz="0" w:space="0" w:color="auto"/>
                <w:left w:val="none" w:sz="0" w:space="0" w:color="auto"/>
                <w:bottom w:val="none" w:sz="0" w:space="0" w:color="auto"/>
                <w:right w:val="none" w:sz="0" w:space="0" w:color="auto"/>
              </w:divBdr>
            </w:div>
          </w:divsChild>
        </w:div>
        <w:div w:id="1549301648">
          <w:marLeft w:val="0"/>
          <w:marRight w:val="0"/>
          <w:marTop w:val="193"/>
          <w:marBottom w:val="193"/>
          <w:divBdr>
            <w:top w:val="none" w:sz="0" w:space="0" w:color="auto"/>
            <w:left w:val="none" w:sz="0" w:space="0" w:color="auto"/>
            <w:bottom w:val="none" w:sz="0" w:space="0" w:color="auto"/>
            <w:right w:val="none" w:sz="0" w:space="0" w:color="auto"/>
          </w:divBdr>
        </w:div>
      </w:divsChild>
    </w:div>
    <w:div w:id="1785077041">
      <w:marLeft w:val="0"/>
      <w:marRight w:val="0"/>
      <w:marTop w:val="0"/>
      <w:marBottom w:val="0"/>
      <w:divBdr>
        <w:top w:val="none" w:sz="0" w:space="0" w:color="auto"/>
        <w:left w:val="none" w:sz="0" w:space="0" w:color="auto"/>
        <w:bottom w:val="none" w:sz="0" w:space="0" w:color="auto"/>
        <w:right w:val="none" w:sz="0" w:space="0" w:color="auto"/>
      </w:divBdr>
      <w:divsChild>
        <w:div w:id="1669209535">
          <w:marLeft w:val="0"/>
          <w:marRight w:val="0"/>
          <w:marTop w:val="0"/>
          <w:marBottom w:val="0"/>
          <w:divBdr>
            <w:top w:val="none" w:sz="0" w:space="0" w:color="auto"/>
            <w:left w:val="none" w:sz="0" w:space="0" w:color="auto"/>
            <w:bottom w:val="none" w:sz="0" w:space="0" w:color="auto"/>
            <w:right w:val="none" w:sz="0" w:space="0" w:color="auto"/>
          </w:divBdr>
          <w:divsChild>
            <w:div w:id="911231656">
              <w:marLeft w:val="0"/>
              <w:marRight w:val="0"/>
              <w:marTop w:val="0"/>
              <w:marBottom w:val="0"/>
              <w:divBdr>
                <w:top w:val="none" w:sz="0" w:space="0" w:color="auto"/>
                <w:left w:val="none" w:sz="0" w:space="0" w:color="auto"/>
                <w:bottom w:val="none" w:sz="0" w:space="0" w:color="auto"/>
                <w:right w:val="none" w:sz="0" w:space="0" w:color="auto"/>
              </w:divBdr>
            </w:div>
            <w:div w:id="650869558">
              <w:marLeft w:val="0"/>
              <w:marRight w:val="0"/>
              <w:marTop w:val="0"/>
              <w:marBottom w:val="0"/>
              <w:divBdr>
                <w:top w:val="none" w:sz="0" w:space="0" w:color="auto"/>
                <w:left w:val="none" w:sz="0" w:space="0" w:color="auto"/>
                <w:bottom w:val="none" w:sz="0" w:space="0" w:color="auto"/>
                <w:right w:val="none" w:sz="0" w:space="0" w:color="auto"/>
              </w:divBdr>
            </w:div>
          </w:divsChild>
        </w:div>
        <w:div w:id="1789466743">
          <w:marLeft w:val="0"/>
          <w:marRight w:val="0"/>
          <w:marTop w:val="100"/>
          <w:marBottom w:val="0"/>
          <w:divBdr>
            <w:top w:val="none" w:sz="0" w:space="0" w:color="auto"/>
            <w:left w:val="none" w:sz="0" w:space="0" w:color="auto"/>
            <w:bottom w:val="none" w:sz="0" w:space="0" w:color="auto"/>
            <w:right w:val="none" w:sz="0" w:space="0" w:color="auto"/>
          </w:divBdr>
          <w:divsChild>
            <w:div w:id="688992108">
              <w:marLeft w:val="0"/>
              <w:marRight w:val="0"/>
              <w:marTop w:val="0"/>
              <w:marBottom w:val="340"/>
              <w:divBdr>
                <w:top w:val="none" w:sz="0" w:space="0" w:color="auto"/>
                <w:left w:val="none" w:sz="0" w:space="0" w:color="auto"/>
                <w:bottom w:val="none" w:sz="0" w:space="0" w:color="auto"/>
                <w:right w:val="none" w:sz="0" w:space="0" w:color="auto"/>
              </w:divBdr>
            </w:div>
          </w:divsChild>
        </w:div>
        <w:div w:id="1623997489">
          <w:marLeft w:val="0"/>
          <w:marRight w:val="0"/>
          <w:marTop w:val="510"/>
          <w:marBottom w:val="0"/>
          <w:divBdr>
            <w:top w:val="none" w:sz="0" w:space="0" w:color="auto"/>
            <w:left w:val="none" w:sz="0" w:space="0" w:color="auto"/>
            <w:bottom w:val="none" w:sz="0" w:space="0" w:color="auto"/>
            <w:right w:val="none" w:sz="0" w:space="0" w:color="auto"/>
          </w:divBdr>
          <w:divsChild>
            <w:div w:id="532614650">
              <w:marLeft w:val="0"/>
              <w:marRight w:val="0"/>
              <w:marTop w:val="0"/>
              <w:marBottom w:val="0"/>
              <w:divBdr>
                <w:top w:val="none" w:sz="0" w:space="0" w:color="auto"/>
                <w:left w:val="none" w:sz="0" w:space="0" w:color="auto"/>
                <w:bottom w:val="none" w:sz="0" w:space="0" w:color="auto"/>
                <w:right w:val="none" w:sz="0" w:space="0" w:color="auto"/>
              </w:divBdr>
              <w:divsChild>
                <w:div w:id="598179594">
                  <w:marLeft w:val="0"/>
                  <w:marRight w:val="0"/>
                  <w:marTop w:val="0"/>
                  <w:marBottom w:val="91"/>
                  <w:divBdr>
                    <w:top w:val="none" w:sz="0" w:space="0" w:color="auto"/>
                    <w:left w:val="none" w:sz="0" w:space="0" w:color="auto"/>
                    <w:bottom w:val="none" w:sz="0" w:space="0" w:color="auto"/>
                    <w:right w:val="none" w:sz="0" w:space="0" w:color="auto"/>
                  </w:divBdr>
                </w:div>
                <w:div w:id="1561400362">
                  <w:marLeft w:val="0"/>
                  <w:marRight w:val="0"/>
                  <w:marTop w:val="0"/>
                  <w:marBottom w:val="0"/>
                  <w:divBdr>
                    <w:top w:val="none" w:sz="0" w:space="0" w:color="auto"/>
                    <w:left w:val="none" w:sz="0" w:space="0" w:color="auto"/>
                    <w:bottom w:val="none" w:sz="0" w:space="0" w:color="auto"/>
                    <w:right w:val="none" w:sz="0" w:space="0" w:color="auto"/>
                  </w:divBdr>
                </w:div>
              </w:divsChild>
            </w:div>
            <w:div w:id="1349216834">
              <w:marLeft w:val="0"/>
              <w:marRight w:val="0"/>
              <w:marTop w:val="0"/>
              <w:marBottom w:val="0"/>
              <w:divBdr>
                <w:top w:val="none" w:sz="0" w:space="0" w:color="auto"/>
                <w:left w:val="none" w:sz="0" w:space="0" w:color="auto"/>
                <w:bottom w:val="none" w:sz="0" w:space="0" w:color="auto"/>
                <w:right w:val="none" w:sz="0" w:space="0" w:color="auto"/>
              </w:divBdr>
              <w:divsChild>
                <w:div w:id="1310861845">
                  <w:marLeft w:val="0"/>
                  <w:marRight w:val="0"/>
                  <w:marTop w:val="0"/>
                  <w:marBottom w:val="91"/>
                  <w:divBdr>
                    <w:top w:val="none" w:sz="0" w:space="0" w:color="auto"/>
                    <w:left w:val="none" w:sz="0" w:space="0" w:color="auto"/>
                    <w:bottom w:val="none" w:sz="0" w:space="0" w:color="auto"/>
                    <w:right w:val="none" w:sz="0" w:space="0" w:color="auto"/>
                  </w:divBdr>
                </w:div>
                <w:div w:id="2071072731">
                  <w:marLeft w:val="0"/>
                  <w:marRight w:val="0"/>
                  <w:marTop w:val="0"/>
                  <w:marBottom w:val="0"/>
                  <w:divBdr>
                    <w:top w:val="none" w:sz="0" w:space="0" w:color="auto"/>
                    <w:left w:val="none" w:sz="0" w:space="0" w:color="auto"/>
                    <w:bottom w:val="none" w:sz="0" w:space="0" w:color="auto"/>
                    <w:right w:val="none" w:sz="0" w:space="0" w:color="auto"/>
                  </w:divBdr>
                </w:div>
              </w:divsChild>
            </w:div>
            <w:div w:id="360251916">
              <w:marLeft w:val="0"/>
              <w:marRight w:val="0"/>
              <w:marTop w:val="0"/>
              <w:marBottom w:val="0"/>
              <w:divBdr>
                <w:top w:val="none" w:sz="0" w:space="0" w:color="auto"/>
                <w:left w:val="none" w:sz="0" w:space="0" w:color="auto"/>
                <w:bottom w:val="none" w:sz="0" w:space="0" w:color="auto"/>
                <w:right w:val="none" w:sz="0" w:space="0" w:color="auto"/>
              </w:divBdr>
              <w:divsChild>
                <w:div w:id="541091080">
                  <w:marLeft w:val="0"/>
                  <w:marRight w:val="0"/>
                  <w:marTop w:val="0"/>
                  <w:marBottom w:val="91"/>
                  <w:divBdr>
                    <w:top w:val="none" w:sz="0" w:space="0" w:color="auto"/>
                    <w:left w:val="none" w:sz="0" w:space="0" w:color="auto"/>
                    <w:bottom w:val="none" w:sz="0" w:space="0" w:color="auto"/>
                    <w:right w:val="none" w:sz="0" w:space="0" w:color="auto"/>
                  </w:divBdr>
                </w:div>
                <w:div w:id="2058891528">
                  <w:marLeft w:val="0"/>
                  <w:marRight w:val="0"/>
                  <w:marTop w:val="0"/>
                  <w:marBottom w:val="0"/>
                  <w:divBdr>
                    <w:top w:val="none" w:sz="0" w:space="0" w:color="auto"/>
                    <w:left w:val="none" w:sz="0" w:space="0" w:color="auto"/>
                    <w:bottom w:val="none" w:sz="0" w:space="0" w:color="auto"/>
                    <w:right w:val="none" w:sz="0" w:space="0" w:color="auto"/>
                  </w:divBdr>
                </w:div>
              </w:divsChild>
            </w:div>
            <w:div w:id="1211574304">
              <w:marLeft w:val="0"/>
              <w:marRight w:val="0"/>
              <w:marTop w:val="0"/>
              <w:marBottom w:val="0"/>
              <w:divBdr>
                <w:top w:val="none" w:sz="0" w:space="0" w:color="auto"/>
                <w:left w:val="none" w:sz="0" w:space="0" w:color="auto"/>
                <w:bottom w:val="none" w:sz="0" w:space="0" w:color="auto"/>
                <w:right w:val="none" w:sz="0" w:space="0" w:color="auto"/>
              </w:divBdr>
              <w:divsChild>
                <w:div w:id="424619975">
                  <w:marLeft w:val="0"/>
                  <w:marRight w:val="0"/>
                  <w:marTop w:val="0"/>
                  <w:marBottom w:val="91"/>
                  <w:divBdr>
                    <w:top w:val="none" w:sz="0" w:space="0" w:color="auto"/>
                    <w:left w:val="none" w:sz="0" w:space="0" w:color="auto"/>
                    <w:bottom w:val="none" w:sz="0" w:space="0" w:color="auto"/>
                    <w:right w:val="none" w:sz="0" w:space="0" w:color="auto"/>
                  </w:divBdr>
                </w:div>
                <w:div w:id="198026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856361">
          <w:marLeft w:val="0"/>
          <w:marRight w:val="0"/>
          <w:marTop w:val="397"/>
          <w:marBottom w:val="0"/>
          <w:divBdr>
            <w:top w:val="none" w:sz="0" w:space="0" w:color="auto"/>
            <w:left w:val="none" w:sz="0" w:space="0" w:color="auto"/>
            <w:bottom w:val="none" w:sz="0" w:space="0" w:color="auto"/>
            <w:right w:val="none" w:sz="0" w:space="0" w:color="auto"/>
          </w:divBdr>
        </w:div>
      </w:divsChild>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5569</Words>
  <Characters>31633</Characters>
  <Application>Microsoft Office Word</Application>
  <DocSecurity>4</DocSecurity>
  <Lines>659</Lines>
  <Paragraphs>400</Paragraphs>
  <ScaleCrop>false</ScaleCrop>
  <Company/>
  <LinksUpToDate>false</LinksUpToDate>
  <CharactersWithSpaces>36802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complementario · La PUCV como caso de proyección · v1.1</dc:title>
  <dc:subject/>
  <dc:creator>Asus</dc:creator>
  <cp:keywords/>
  <dc:description/>
  <cp:lastModifiedBy>Asus</cp:lastModifiedBy>
  <cp:revision>2</cp:revision>
  <dcterms:created xsi:type="dcterms:W3CDTF">2026-09-08T22:36:00Z</dcterms:created>
  <dcterms:modified xsi:type="dcterms:W3CDTF">2026-09-08T22:36:00Z</dcterms:modified>
</cp:coreProperties>
</file>