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PONTIFICIA UNIVERSIDAD CATÓLICA DE VALPARAÍSO</w:t>
      </w:r>
    </w:p>
    <w:p>
      <w:pPr>
        <w:pBdr>
          <w:bottom w:val="single" w:color="1F3864" w:sz="10" w:space="2"/>
        </w:pBdr>
        <w:spacing w:after="160"/>
      </w:pPr>
      <w:r>
        <w:rPr>
          <w:sz w:val="20"/>
          <w:szCs w:val="20"/>
        </w:rPr>
        <w:t xml:space="preserve">Escuela de Derecho · Programa DIAT · Educación Continua</w:t>
      </w:r>
    </w:p>
    <w:p>
      <w:pPr>
        <w:spacing w:after="40" w:before="80"/>
      </w:pPr>
      <w:r>
        <w:rPr>
          <w:b/>
          <w:bCs/>
          <w:sz w:val="30"/>
          <w:szCs w:val="30"/>
        </w:rPr>
        <w:t xml:space="preserve">PROGRAMA DE EDUCACIÓN CONTINUA</w:t>
      </w:r>
    </w:p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Abogado Aumentado · Constructor · Arquitecto</w:t>
      </w:r>
    </w:p>
    <w:p>
      <w:pPr>
        <w:spacing w:after="60" w:line="276"/>
      </w:pPr>
      <w:r>
        <w:rPr>
          <w:i/>
          <w:iCs/>
          <w:sz w:val="18"/>
          <w:szCs w:val="18"/>
        </w:rPr>
        <w:t xml:space="preserve">Trayecto modular en Inteligencia Artificial y Derecho para egresados y abogados en ejercicio · Tres niveles</w:t>
      </w:r>
    </w:p>
    <w:p>
      <w:pPr>
        <w:spacing w:after="200" w:line="276"/>
      </w:pPr>
      <w:r>
        <w:rPr>
          <w:i/>
          <w:iCs/>
          <w:color w:val="595959"/>
          <w:sz w:val="16"/>
          <w:szCs w:val="16"/>
        </w:rPr>
        <w:t xml:space="preserve">Borrador para revisión y lanzamiento. Material de diseño, no diseño definitivo cerrado.</w:t>
      </w:r>
    </w:p>
    <w:p>
      <w:pPr>
        <w:pStyle w:val="Heading1"/>
        <w:pBdr>
          <w:bottom w:val="single" w:color="1F3864" w:sz="6" w:space="2"/>
        </w:pBdr>
        <w:spacing w:after="120" w:before="280"/>
      </w:pPr>
      <w:r>
        <w:rPr>
          <w:color w:val="000000"/>
        </w:rPr>
        <w:t xml:space="preserve">I. Identificación del programa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Abogado Aumentado · Constructor · Arquitecto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Programa de educación continua, modular y acumulativo (tres niveles certificables por separado)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Unidad responsable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Escuela de Derecho PUCV · línea DIAT (Derecho, IA y Tecnología)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Presencial o blended según nivel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Duración total del trayecto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162 a 212 horas (suma de los tres niveles)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Público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Egresados de Derecho, abogados jóvenes y en ejercicio, equipos de legal operations, gerencias legales y sector público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Borrador para piloto del Nivel 1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6" w:space="2"/>
        </w:pBdr>
        <w:spacing w:after="120" w:before="280"/>
      </w:pPr>
      <w:r>
        <w:rPr>
          <w:color w:val="000000"/>
        </w:rPr>
        <w:t xml:space="preserve">II. Propuesta de valor y sello distintivo</w:t>
      </w:r>
    </w:p>
    <w:p>
      <w:pPr>
        <w:spacing w:after="120" w:line="276"/>
      </w:pPr>
      <w:r>
        <w:t xml:space="preserve">El mercado legal chileno presenta una paradoja: el país es pionero en inteligencia artificial en general, pero su sector jurídico es el único de la región cuya adopción no supera el 30%. La brecha no se explica por falta de acceso a herramientas, sino por un error de método —discutir qué software comprar sin haber rediseñado procesos ni definido indicadores—. A esto se suman dos aceleradores regulatorios ineludibles: la plena vigencia de la Ley N° 21.719 y la tramitación del proyecto de ley de inteligencia artificial. El resultado es una demanda real, urgente y todavía insatisfecha.</w:t>
      </w:r>
    </w:p>
    <w:p>
      <w:pPr>
        <w:spacing w:after="120" w:line="276"/>
      </w:pPr>
      <w:r>
        <w:t xml:space="preserve">Este programa no enseña a usar una herramienta determinada. Forma una manera de trabajar que sobrevive al cambio de plataformas. Cinco diferenciadores, ninguno presente en conjunto en la oferta nacional o regional: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Construir, no solo usar. </w:t>
      </w:r>
      <w:r>
        <w:t xml:space="preserve">Los participantes aprenden a crear sus propias herramientas mediante métodos declarativos accesibles, sin programación formal. Es el diferenciador de empleabilidad.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El método de la Constitución. </w:t>
      </w:r>
      <w:r>
        <w:t xml:space="preserve">Redactar la constitución de un agente jurídico —reglas inquebrantables, preferencias y su fundamento— es teoría de la normatividad aplicada. Es el diferenciador intelectual, sostenido por la tradición teórica de la Escuela.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Anclaje en derecho chileno y regulación vigente. </w:t>
      </w:r>
      <w:r>
        <w:t xml:space="preserve">Todo orbita la Ley N° 21.719 y el proyecto de ley de IA; el marco europeo se usa como contraste, no como modelo a importar.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Verificación como competencia troncal. </w:t>
      </w:r>
      <w:r>
        <w:t xml:space="preserve">La disciplina de trazabilidad se practica en cada actividad. El egresado se distingue por responder por el resultado, no por producirlo.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Proceso antes que herramienta. </w:t>
      </w:r>
      <w:r>
        <w:t xml:space="preserve">Se enseña a diagnosticar flujos y definir indicadores antes de tocar software, inoculando contra el error que el propio mercado comete.</w:t>
      </w:r>
    </w:p>
    <w:p>
      <w:pPr>
        <w:spacing w:after="120"/>
      </w:pPr>
    </w:p>
    <w:p>
      <w:pPr>
        <w:pStyle w:val="Heading1"/>
        <w:pBdr>
          <w:bottom w:val="single" w:color="1F3864" w:sz="6" w:space="2"/>
        </w:pBdr>
        <w:spacing w:after="120" w:before="280"/>
      </w:pPr>
      <w:r>
        <w:rPr>
          <w:color w:val="000000"/>
        </w:rPr>
        <w:t xml:space="preserve">III. Trayecto formativo y lógica de niveles</w:t>
      </w:r>
    </w:p>
    <w:p>
      <w:pPr>
        <w:spacing w:after="120" w:line="276"/>
      </w:pPr>
      <w:r>
        <w:t xml:space="preserve">Modular y acumulativo. Cada nivel se certifica por separado —empleabilidad inmediata y validación temprana de demanda—, pero conforma un trayecto coherente que escala desde el uso responsable y el cumplimiento hacia la construcción y, finalmente, la gobernanza. La entrada es deliberadamente pragmática: lo urgente y rentable primero, lo diferenciador y duradero después.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11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Promesa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Horas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N1 · Abogado Aumentado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Usar IA con criterio y cumplir la Ley N° 21.719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24–32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Egresados y abogados sin base técnica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N2 · Abogado Constructor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Rediseñar flujos y construir herramientas propias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48–60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Quienes aprobaron N1; legal ops; boutiques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N3 · Arquitecto Jurídico-Algorítmico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Diseñar, auditar y gobernar sistemas agentivos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90–120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Líderes de innovación, socios, gerencias, sector público</w:t>
            </w:r>
          </w:p>
        </w:tc>
      </w:tr>
    </w:tbl>
    <w:p>
      <w:pPr>
        <w:spacing w:after="120"/>
      </w:pPr>
    </w:p>
    <w:p>
      <w:pPr>
        <w:pageBreakBefore/>
        <w:spacing w:after="0"/>
      </w:pPr>
    </w:p>
    <w:p>
      <w:pPr>
        <w:pStyle w:val="Heading1"/>
        <w:pBdr>
          <w:bottom w:val="single" w:color="1F3864" w:sz="6" w:space="2"/>
        </w:pBdr>
        <w:spacing w:after="120" w:before="280"/>
      </w:pPr>
      <w:r>
        <w:rPr>
          <w:color w:val="000000"/>
        </w:rPr>
        <w:t xml:space="preserve">IV. Nivel 1 — Abogado Aumentado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N1 · Intensivo · 24–32 horas · Mínimo no negociable: 24 horas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Que el participante integre IA generativa en tareas reales con disciplina de verificación, y entienda sus obligaciones bajo la Ley N° 21.719, en menos de un mes.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Formato sugerido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Intensivo: 4 semanas o dos fines de semana de bloque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Requisito de ingreso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Título o egreso de Derecho (o estudiantes avanzados). Sin requisito técnico.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Certificación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Certificado “Abogado Aumentado”</w:t>
            </w:r>
          </w:p>
        </w:tc>
      </w:tr>
    </w:tbl>
    <w:p>
      <w:pPr>
        <w:pStyle w:val="Heading2"/>
        <w:spacing w:after="80" w:before="180"/>
      </w:pPr>
      <w:r>
        <w:rPr>
          <w:color w:val="1F3864"/>
        </w:rPr>
        <w:t xml:space="preserve">Resultados de aprendizaje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Construye instrucciones jurídicas como especificación rigurosa, exigiendo trazabilidad.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Detecta y mitiga alucinaciones y riesgos de confidencialidad.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Diagnostica un flujo de trabajo y propone un punto de automatización con indicador.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Explica las obligaciones básicas de la Ley N° 21.719 al usar IA con datos personales.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Entrega un artefacto mínimo funcional (un flujo asistido documentado).</w:t>
      </w:r>
    </w:p>
    <w:p>
      <w:pPr>
        <w:pStyle w:val="Heading2"/>
        <w:spacing w:after="80" w:before="180"/>
      </w:pPr>
      <w:r>
        <w:rPr>
          <w:color w:val="1F3864"/>
        </w:rPr>
        <w:t xml:space="preserve">Contenidos NO negociables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Disciplina de verificación: </w:t>
      </w:r>
      <w:r>
        <w:t xml:space="preserve">el prompt como especificación, exigencia de citas y trazabilidad, contraste de fuentes. Sin esto, el curso forma usuarios peligrosos.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Confidencialidad y datos personales (Ley N° 21.719): </w:t>
      </w:r>
      <w:r>
        <w:t xml:space="preserve">qué nunca se ingresa a un modelo público, retención cero de datos, responsabilidad proactiva, rol del DPO.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Diagnóstico de proceso antes que herramienta: </w:t>
      </w:r>
      <w:r>
        <w:t xml:space="preserve">mapear una tarea, identificar el cuello de botella, definir un indicador. Inocula contra la trampa de comprar software primero.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Proyecto final: </w:t>
      </w:r>
      <w:r>
        <w:t xml:space="preserve">un artefacto desplegable mínimo, por ejemplo un flujo de revisión documental asistida con verificación incorporada.</w:t>
      </w:r>
    </w:p>
    <w:p>
      <w:pPr>
        <w:pStyle w:val="Heading2"/>
        <w:spacing w:after="80" w:before="180"/>
      </w:pPr>
      <w:r>
        <w:rPr>
          <w:color w:val="1F3864"/>
        </w:rPr>
        <w:t xml:space="preserve">Contenidos negociables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Qué modelos o herramientas se demuestran (rotables; al menos uno entrenado en derecho local como contraste con uno generalista).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Profundidad de la automatización documental: de demostración a taller, según horas.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Casos sectoriales (corporativo, litigio, público) según la composición del grupo.</w:t>
      </w:r>
    </w:p>
    <w:p>
      <w:pPr>
        <w:spacing w:after="100" w:line="276"/>
      </w:pPr>
      <w:r>
        <w:rPr>
          <w:b/>
          <w:bCs/>
        </w:rPr>
        <w:t xml:space="preserve">Evaluación. </w:t>
      </w:r>
      <w:r>
        <w:t xml:space="preserve">Controles breves por módulo (25%), taller práctico continuo (25%) y proyecto final con rúbrica de innovación, viabilidad, rigor ético y calidad (50%).</w:t>
      </w:r>
    </w:p>
    <w:p>
      <w:pPr>
        <w:pageBreakBefore/>
        <w:spacing w:after="0"/>
      </w:pPr>
    </w:p>
    <w:p>
      <w:pPr>
        <w:pStyle w:val="Heading1"/>
        <w:pBdr>
          <w:bottom w:val="single" w:color="1F3864" w:sz="6" w:space="2"/>
        </w:pBdr>
        <w:spacing w:after="120" w:before="280"/>
      </w:pPr>
      <w:r>
        <w:rPr>
          <w:color w:val="000000"/>
        </w:rPr>
        <w:t xml:space="preserve">V. Nivel 2 — Abogado Constructor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N2 · Blended · 48–60 horas · Mínimo no negociable: 48 horas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Que el participante rediseñe un flujo real de su trabajo y construya una herramienta propia mediante el paradigma declarativo (definición de una habilidad o agente jurídico en lenguaje estructurado), sin ingeniería de software.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Formato sugerido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8 a 10 semanas, blended (online + laboratorios)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Requisito de ingreso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Haber aprobado N1, o acreditar uso habitual de IA más un diagnóstico de admisión aprobado.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Certificación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Certificado “Abogado Constructor”</w:t>
            </w:r>
          </w:p>
        </w:tc>
      </w:tr>
    </w:tbl>
    <w:p>
      <w:pPr>
        <w:pStyle w:val="Heading2"/>
        <w:spacing w:after="80" w:before="180"/>
      </w:pPr>
      <w:r>
        <w:rPr>
          <w:color w:val="1F3864"/>
        </w:rPr>
        <w:t xml:space="preserve">Resultados de aprendizaje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Diseña la constitución de un agente jurídico: identidad, reglas duras vs. preferencias, algoritmo de pasos y árbol de decisiones ante anomalías.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Implementa recuperación de conocimiento jurídico (organización y consulta semántica de un corpus propio).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Aplica legal design para rediseñar un servicio.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Gestiona el proyecto con indicadores y mide su impacto.</w:t>
      </w:r>
    </w:p>
    <w:p>
      <w:pPr>
        <w:pStyle w:val="Heading2"/>
        <w:spacing w:after="80" w:before="180"/>
      </w:pPr>
      <w:r>
        <w:rPr>
          <w:color w:val="1F3864"/>
        </w:rPr>
        <w:t xml:space="preserve">Contenidos NO negociables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El método de la Constitución: </w:t>
      </w:r>
      <w:r>
        <w:t xml:space="preserve">separación rotunda de reglas inquebrantables y pautas adaptables —mezclarlas degrada el sistema—, y la redacción del porqué. Es el corazón del sello PUCV.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Diseño declarativo de una habilidad o agente: </w:t>
      </w:r>
      <w:r>
        <w:t xml:space="preserve">estructura modular, metadatos, disparadores, fuentes de verdad y plantillas de salida. Es la competencia de empleabilidad.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Puertas de confirmación humana y trazabilidad: </w:t>
      </w:r>
      <w:r>
        <w:t xml:space="preserve">ninguna acción vinculante sin validación; manejo seguro de datos (cuarentena, nunca eliminación de evidencia).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Proyecto: </w:t>
      </w:r>
      <w:r>
        <w:t xml:space="preserve">un agente o habilidad que resuelve una tarea repetitiva real, con su constitución documentada y pruebas de estrés con casos extremos.</w:t>
      </w:r>
    </w:p>
    <w:p>
      <w:pPr>
        <w:pStyle w:val="Heading2"/>
        <w:spacing w:after="80" w:before="180"/>
      </w:pPr>
      <w:r>
        <w:rPr>
          <w:color w:val="1F3864"/>
        </w:rPr>
        <w:t xml:space="preserve">Contenidos negociables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Profundidad de la capa de recuperación (de no-code a nociones de bases vectoriales y embeddings).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Nociones de versionado y despliegue (para trabajar con equipos técnicos) vs. enfoque puramente declarativo.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Plataforma concreta de demostración (rotable).</w:t>
      </w:r>
    </w:p>
    <w:p>
      <w:pPr>
        <w:spacing w:after="100" w:line="276"/>
      </w:pPr>
      <w:r>
        <w:rPr>
          <w:b/>
          <w:bCs/>
        </w:rPr>
        <w:t xml:space="preserve">Evaluación. </w:t>
      </w:r>
      <w:r>
        <w:t xml:space="preserve">Laboratorios por módulo (40%), examen teórico-práctico intermedio sobre diseño de constituciones (20%) y proyecto final con demo funcional y pruebas de estrés (40%).</w:t>
      </w:r>
    </w:p>
    <w:p>
      <w:pPr>
        <w:pageBreakBefore/>
        <w:spacing w:after="0"/>
      </w:pPr>
    </w:p>
    <w:p>
      <w:pPr>
        <w:pStyle w:val="Heading1"/>
        <w:pBdr>
          <w:bottom w:val="single" w:color="1F3864" w:sz="6" w:space="2"/>
        </w:pBdr>
        <w:spacing w:after="120" w:before="280"/>
      </w:pPr>
      <w:r>
        <w:rPr>
          <w:color w:val="000000"/>
        </w:rPr>
        <w:t xml:space="preserve">VI. Nivel 3 — Arquitecto Jurídico-Algorítmico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N3 · Diplomado · 90–120 horas · Mínimo no negociable: 90 horas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Formar a quien diseña, audita y gobierna ecosistemas de agentes, y lidera la adopción institucional conforme al marco regulatorio chileno emergente.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Formato sugerido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Diplomado de 4 a 5 meses, blended, con proyecto integrador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Requisito de ingreso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Haber aprobado N2, o acreditar experiencia equivalente.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Certificación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Diploma “Arquitecto Jurídico-Algorítmico”</w:t>
            </w:r>
          </w:p>
        </w:tc>
      </w:tr>
    </w:tbl>
    <w:p>
      <w:pPr>
        <w:pStyle w:val="Heading2"/>
        <w:spacing w:after="80" w:before="180"/>
      </w:pPr>
      <w:r>
        <w:rPr>
          <w:color w:val="1F3864"/>
        </w:rPr>
        <w:t xml:space="preserve">Resultados de aprendizaje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Diseña gobernanza de habilidades y aseguramiento de calidad: estandarización, auditoría periódica y control de versiones de la lógica instalada.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Realiza una evaluación de impacto algorítmico conforme al proyecto de ley de IA para un sistema de alto riesgo.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Audita sesgos y explicabilidad.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Diseña la política interna de uso de IA de una firma u organismo.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Construye el caso de negocio (retorno, recuperación de capital) con datos propios y honestidad metodológica.</w:t>
      </w:r>
    </w:p>
    <w:p>
      <w:pPr>
        <w:pStyle w:val="Heading2"/>
        <w:spacing w:after="80" w:before="180"/>
      </w:pPr>
      <w:r>
        <w:rPr>
          <w:color w:val="1F3864"/>
        </w:rPr>
        <w:t xml:space="preserve">Contenidos NO negociables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Gobernanza algorítmica y aseguramiento de calidad: </w:t>
      </w:r>
      <w:r>
        <w:t xml:space="preserve">por qué el uso descontrolado de agentes genera carga de verificación paralizante, y cómo se contrarresta con estandarización, auditoría y trazabilidad.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Evaluación de impacto algorítmico y régimen de alto riesgo: </w:t>
      </w:r>
      <w:r>
        <w:t xml:space="preserve">proyecto de ley de IA chileno contrastado con el marco europeo; supervisión humana significativa y auditoría de sesgos.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Régimen sancionatorio y responsabilidad en cadena de la Ley N° 21.719: </w:t>
      </w:r>
      <w:r>
        <w:t xml:space="preserve">relación responsable-mandatario y cláusulas con proveedores tecnológicos.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Proyecto integrador: </w:t>
      </w:r>
      <w:r>
        <w:t xml:space="preserve">diseño completo de un sistema agentivo gobernado, con su constitución, su evaluación de impacto y su plan de despliegue auditable.</w:t>
      </w:r>
    </w:p>
    <w:p>
      <w:pPr>
        <w:pStyle w:val="Heading2"/>
        <w:spacing w:after="80" w:before="180"/>
      </w:pPr>
      <w:r>
        <w:rPr>
          <w:color w:val="1F3864"/>
        </w:rPr>
        <w:t xml:space="preserve">Contenidos negociables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Profundidad técnica de orquestación (de declarativo avanzado a nociones de los paradigmas de construcción de agentes).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Foco sectorial del proyecto (firma privada, gerencia in-house, órgano público).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Módulo optativo de emprendimiento LegalTech, con vínculo al ecosistema regional.</w:t>
      </w:r>
    </w:p>
    <w:p>
      <w:pPr>
        <w:spacing w:after="100" w:line="276"/>
      </w:pPr>
      <w:r>
        <w:rPr>
          <w:b/>
          <w:bCs/>
        </w:rPr>
        <w:t xml:space="preserve">Evaluación. </w:t>
      </w:r>
      <w:r>
        <w:t xml:space="preserve">Más del 50% en el proyecto integrador, evaluado por visión de negocio, complejidad técnica, rigor jurídico, gobernanza incorporada y honestidad del caso financiero.</w:t>
      </w:r>
    </w:p>
    <w:p>
      <w:pPr>
        <w:pageBreakBefore/>
        <w:spacing w:after="0"/>
      </w:pPr>
    </w:p>
    <w:p>
      <w:pPr>
        <w:pStyle w:val="Heading1"/>
        <w:pBdr>
          <w:bottom w:val="single" w:color="1F3864" w:sz="6" w:space="2"/>
        </w:pBdr>
        <w:spacing w:after="120" w:before="280"/>
      </w:pPr>
      <w:r>
        <w:rPr>
          <w:color w:val="000000"/>
        </w:rPr>
        <w:t xml:space="preserve">VII. Matriz transversal: negociable vs. no negociable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Dimensión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No negociable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Negociable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Horas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Mínimos por nivel: 24 / 48 / 90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Rango superior y distribución (intensivo vs. blended)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Disciplina de trazabilidad en todos los niveles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Profundidad técnica del mecanismo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Cumplimiento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Ley N° 21.719 presente desde N1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Profundidad del régimen sancionatorio (sube por nivel)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Construcción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Al menos un artefacto desplegado por nivel, desde N1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Sofisticación del artefacto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Método Constitución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Núcleo de N2 y N3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Extensión teórica, mayor si lo dictan teóricos de la casa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Herramientas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Demostración con ≥1 herramienta local y ≥1 generalista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Cuáles (rotables semestralmente)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Ética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Transversal, no módulo aislado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Casos específicos según el grupo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6" w:space="2"/>
        </w:pBdr>
        <w:spacing w:after="120" w:before="280"/>
      </w:pPr>
      <w:r>
        <w:rPr>
          <w:color w:val="000000"/>
        </w:rPr>
        <w:t xml:space="preserve">VIII. Metodología y lógica formativa</w:t>
      </w:r>
    </w:p>
    <w:p>
      <w:pPr>
        <w:spacing w:after="120" w:line="276"/>
      </w:pPr>
      <w:r>
        <w:t xml:space="preserve">Alineamiento constructivo en los tres niveles: cada resultado de aprendizaje cuenta con una actividad que lo entrena y una evaluación que lo mide. Cuatro principios rectores: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Construir antes que describir. </w:t>
      </w:r>
      <w:r>
        <w:t xml:space="preserve">Cada nivel termina con un artefacto entregado y defendido, no con un informe sobre artefactos.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Andamiaje en espiral. </w:t>
      </w:r>
      <w:r>
        <w:t xml:space="preserve">El proyecto se construye por capas a lo largo del nivel; no aparece al cierre.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Puente teoría–práctica. </w:t>
      </w:r>
      <w:r>
        <w:t xml:space="preserve">La constitución del agente materializa la teoría de la normatividad.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Verificación y ética incrustadas. </w:t>
      </w:r>
      <w:r>
        <w:t xml:space="preserve">La trazabilidad y el cuestionamiento del sesgo se practican en cada laboratorio; el resultado de la IA nunca es asesoría jurídica definitiva.</w:t>
      </w:r>
    </w:p>
    <w:p>
      <w:pPr>
        <w:spacing w:after="120"/>
      </w:pPr>
    </w:p>
    <w:p>
      <w:pPr>
        <w:pStyle w:val="Heading1"/>
        <w:pBdr>
          <w:bottom w:val="single" w:color="1F3864" w:sz="6" w:space="2"/>
        </w:pBdr>
        <w:spacing w:after="120" w:before="280"/>
      </w:pPr>
      <w:r>
        <w:rPr>
          <w:color w:val="000000"/>
        </w:rPr>
        <w:t xml:space="preserve">IX. Equipo docente e infraestructura</w:t>
      </w:r>
    </w:p>
    <w:p>
      <w:pPr>
        <w:spacing w:after="120" w:line="276"/>
      </w:pPr>
      <w:r>
        <w:t xml:space="preserve">Co-docencia, que es además parte del diferenciador: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Un jurista con dominio de derecho digital, regulación de datos e 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Un académico con formación en teoría del derecho, a cargo del método de la Constitución —componente que ninguna otra escuela puede replicar sin esta fortaleza instalada—.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Apoyo técnico para los laboratorios de construcción declarativa y recuperación de conocimiento.</w:t>
      </w:r>
    </w:p>
    <w:p>
      <w:pPr>
        <w:spacing w:after="120" w:line="276"/>
      </w:pPr>
      <w:r>
        <w:t xml:space="preserve">Infraestructura mínima: sala con computadores e internet; entorno con ejecución de código y creación de archivos; licencias educativas de al menos un modelo; corpus jurídico simulado para laboratorios. Advertencia operativa permanente: jamás se ingresan datos reales confidenciales a modelos públicos.</w:t>
      </w:r>
    </w:p>
    <w:p>
      <w:pPr>
        <w:spacing w:after="120"/>
      </w:pPr>
    </w:p>
    <w:p>
      <w:pPr>
        <w:pStyle w:val="Heading1"/>
        <w:pBdr>
          <w:bottom w:val="single" w:color="1F3864" w:sz="6" w:space="2"/>
        </w:pBdr>
        <w:spacing w:after="120" w:before="280"/>
      </w:pPr>
      <w:r>
        <w:rPr>
          <w:color w:val="000000"/>
        </w:rPr>
        <w:t xml:space="preserve">X. Certificación y articulación entre niveles</w:t>
      </w:r>
    </w:p>
    <w:p>
      <w:pPr>
        <w:spacing w:after="120" w:line="276"/>
      </w:pPr>
      <w:r>
        <w:t xml:space="preserve">Cada nivel otorga certificación propia y puede cursarse de forma independiente, lo que permite caja temprana y validación de demanda. Los tres niveles se articulan en un trayecto acumulativo: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N1 → certificado “Abogado Aumentado”.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N2 → certificado “Abogado Constructor” (requiere N1 o equivalente acreditado).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N3 → diploma “Arquitecto Jurídico-Algorítmico” (requiere N2 o experiencia equivalente).</w:t>
      </w:r>
    </w:p>
    <w:p>
      <w:pPr>
        <w:spacing w:after="120" w:line="276"/>
      </w:pPr>
      <w:r>
        <w:t xml:space="preserve">La aprobación de los tres puede reconocerse como un diploma de trayecto completo, según el reglamento de educación continua de la Escuela.</w:t>
      </w:r>
    </w:p>
    <w:p>
      <w:pPr>
        <w:spacing w:after="120"/>
      </w:pPr>
    </w:p>
    <w:p>
      <w:pPr>
        <w:pageBreakBefore/>
        <w:spacing w:after="0"/>
      </w:pPr>
    </w:p>
    <w:p>
      <w:pPr>
        <w:pStyle w:val="Heading1"/>
        <w:pBdr>
          <w:bottom w:val="single" w:color="1F3864" w:sz="6" w:space="2"/>
        </w:pBdr>
        <w:spacing w:after="120" w:before="280"/>
      </w:pPr>
      <w:r>
        <w:rPr>
          <w:color w:val="000000"/>
        </w:rPr>
        <w:t xml:space="preserve">XI. Guía de implementación por fases</w:t>
      </w:r>
    </w:p>
    <w:p>
      <w:pPr>
        <w:pStyle w:val="Heading2"/>
        <w:spacing w:after="80" w:before="180"/>
      </w:pPr>
      <w:r>
        <w:rPr>
          <w:color w:val="1F3864"/>
        </w:rPr>
        <w:t xml:space="preserve">Fase 0 — Antes de lanzar (4 a 6 semanas)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Validar demanda con un sondeo breve a egresados recientes y a cinco u ocho estudios o gerencias de la red PUCV. Pregunta concreta: ¿pagarían por N1 si certifica cumplimiento de la Ley N° 21.719?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Definir el equipo docente mínimo, incluyendo un teórico de la casa para el método de la Constitución. Co-docencia real, no invitados sueltos.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Activar infraestructura: licencias educativas, entorno de ejecución de código, repositorio de materiales. Verificar antes la opción de retención cero de datos para talleres con datos simulados.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Construir internamente el primer artefacto patrón (una habilidad declarativa con su constitución) que sirva de plantilla pedagógica en N1 y N2.</w:t>
      </w:r>
    </w:p>
    <w:p>
      <w:pPr>
        <w:pStyle w:val="Heading2"/>
        <w:spacing w:after="80" w:before="180"/>
      </w:pPr>
      <w:r>
        <w:rPr>
          <w:color w:val="1F3864"/>
        </w:rPr>
        <w:t xml:space="preserve">Fase 1 — Piloto (lanzar N1 primero)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Dictar N1 con grupo reducido (15 a 25). Menor costo, valida demanda rápido, prepara al equipo y prueba la infraestructura.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Medir lo correcto: utilidad y colocación reportadas a 60 días, no satisfacción superficial.</w:t>
      </w:r>
    </w:p>
    <w:p>
      <w:pPr>
        <w:pStyle w:val="Heading2"/>
        <w:spacing w:after="80" w:before="180"/>
      </w:pPr>
      <w:r>
        <w:rPr>
          <w:color w:val="1F3864"/>
        </w:rPr>
        <w:t xml:space="preserve">Fase 2 — Consolidación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Con el feedback del piloto, abrir N2, estructurado para que cada participante salga con una herramienta que pase pruebas de estrés.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Formalizar el núcleo actualizable: comité que rota las herramientas demostradas cada semestre sin tocar el núcleo de métodos.</w:t>
      </w:r>
    </w:p>
    <w:p>
      <w:pPr>
        <w:pStyle w:val="Heading2"/>
        <w:spacing w:after="80" w:before="180"/>
      </w:pPr>
      <w:r>
        <w:rPr>
          <w:color w:val="1F3864"/>
        </w:rPr>
        <w:t xml:space="preserve">Fase 3 — Escalamiento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Lanzar N3 como diplomado, idealmente en convenio con una unidad de la universidad para la capa técnica y la acreditación.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Activar vínculos de ecosistema (asociaciones y casos locales) como material y posibles prácticas.</w:t>
      </w:r>
    </w:p>
    <w:p>
      <w:pPr>
        <w:spacing w:after="120"/>
      </w:pPr>
    </w:p>
    <w:p>
      <w:pPr>
        <w:pStyle w:val="Heading1"/>
        <w:pBdr>
          <w:bottom w:val="single" w:color="1F3864" w:sz="6" w:space="2"/>
        </w:pBdr>
        <w:spacing w:after="120" w:before="280"/>
      </w:pPr>
      <w:r>
        <w:rPr>
          <w:color w:val="000000"/>
        </w:rPr>
        <w:t xml:space="preserve">XII. Consideraciones de costos y sostenibilidad</w:t>
      </w:r>
    </w:p>
    <w:p>
      <w:pPr>
        <w:spacing w:after="120" w:line="276"/>
      </w:pPr>
      <w:r>
        <w:t xml:space="preserve">Cifras de orden de magnitud, a validar con la Dirección de Administración y Finanzas de la Escuela. Un programa pleno (tres niveles operando) puede arrancar en torno a USD 150.000–200.000 anuales: honorarios de dos a tres docentes a tiempo parcial, licencias e infraestructura del orden de USD 30.000 y difusión cercana a USD 20.000. El piloto del Nivel 1 cuesta una fracción de eso: equipo interno motivado, licencias educativas y difusión acotada.</w:t>
      </w:r>
    </w:p>
    <w:p>
      <w:pPr>
        <w:spacing w:after="100" w:line="276"/>
      </w:pPr>
      <w:r>
        <w:rPr>
          <w:b/>
          <w:bCs/>
        </w:rPr>
        <w:t xml:space="preserve">Recomendación. </w:t>
      </w:r>
      <w:r>
        <w:t xml:space="preserve">No comprometer el presupuesto mayor hasta que el piloto del Nivel 1 valide demanda. Es la misma disciplina de retorno visible que el programa enseña.</w:t>
      </w:r>
    </w:p>
    <w:p>
      <w:pPr>
        <w:spacing w:after="120"/>
      </w:pPr>
    </w:p>
    <w:p>
      <w:pPr>
        <w:pStyle w:val="Heading1"/>
        <w:pBdr>
          <w:bottom w:val="single" w:color="1F3864" w:sz="6" w:space="2"/>
        </w:pBdr>
        <w:spacing w:after="120" w:before="280"/>
      </w:pPr>
      <w:r>
        <w:rPr>
          <w:color w:val="000000"/>
        </w:rPr>
        <w:t xml:space="preserve">XIII. Riesgos y verificación pendiente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Cifras de proveedor. </w:t>
      </w:r>
      <w:r>
        <w:t xml:space="preserve">Los retornos y reducciones de productividad más altos del material disponible provienen de proveedores y no son independientes; deben presentarse como tendencia de la industria, no como dato establecido.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Estado regulatorio. </w:t>
      </w:r>
      <w:r>
        <w:t xml:space="preserve">Conviene confirmar a la fecha de dictación el estado de tramitación del proyecto de ley de IA y los plazos de la Ley N° 21.719. El programa no depende de ninguna herramienta concreta, sino de métodos que sobreviven al cambio.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Secuencia. </w:t>
      </w:r>
      <w:r>
        <w:t xml:space="preserve">El error caro sería lanzar el diplomado completo antes de validar demanda. Primero el piloto N1; N2 y N3 después, alimentados por el feedback.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Sostenibilidad del sello. </w:t>
      </w:r>
      <w:r>
        <w:t xml:space="preserve">El método de la Constitución y la co-docencia teórica son el diferenciador difícil de copiar, pero exigen tiempo de los teóricos de la casa. Sin ese compromiso, el programa cae al promedio de la oferta.</w:t>
      </w:r>
    </w:p>
    <w:p>
      <w:pPr>
        <w:spacing w:after="160"/>
      </w:pPr>
    </w:p>
    <w:p>
      <w:pPr>
        <w:pBdr>
          <w:top w:val="single" w:color="BFBFBF" w:sz="4" w:space="4"/>
        </w:pBdr>
        <w:spacing w:before="120"/>
      </w:pPr>
      <w:r>
        <w:rPr>
          <w:i/>
          <w:iCs/>
          <w:color w:val="595959"/>
          <w:sz w:val="16"/>
          <w:szCs w:val="16"/>
        </w:rPr>
        <w:t xml:space="preserve">Nota de versión: documento de trabajo para revisión interna y lanzamiento. Horas, certificaciones, articulación y cifras deben ajustarse a las normas de educación continua de la Escuela de Derecho PUCV. Diseñado para discutirse, recortarse y validarse, no para aprobarse tal cual.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Programa de educación continua · Abogado Aumentado / Constructor / Arquitecto ·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spacing w:after="0"/>
    </w:pPr>
    <w:r>
      <w:rPr>
        <w:color w:val="808080"/>
        <w:sz w:val="16"/>
        <w:szCs w:val="16"/>
      </w:rPr>
      <w:t xml:space="preserve">PUCV · Escuela de Derecho · DIAT · Educación Continua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2026-06-23T23:00:16.482Z</dcterms:created>
  <dcterms:modified xsi:type="dcterms:W3CDTF">2026-06-23T23:00:16.495Z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