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0"/>
          <w:szCs w:val="20"/>
        </w:rPr>
        <w:t xml:space="preserve">PONTIFICIA UNIVERSIDAD CATÓLICA DE VALPARAÍSO</w:t>
      </w:r>
    </w:p>
    <w:p>
      <w:pPr>
        <w:pBdr>
          <w:bottom w:val="single" w:color="1F3864" w:sz="10" w:space="2"/>
        </w:pBdr>
        <w:spacing w:after="160"/>
      </w:pPr>
      <w:r>
        <w:rPr>
          <w:sz w:val="20"/>
          <w:szCs w:val="20"/>
        </w:rPr>
        <w:t xml:space="preserve">Escuela de Derecho · Programa DIAT (Derecho, IA y Tecnología)</w:t>
      </w:r>
    </w:p>
    <w:p>
      <w:pPr>
        <w:spacing w:after="40" w:before="80"/>
      </w:pPr>
      <w:r>
        <w:rPr>
          <w:b/>
          <w:bCs/>
          <w:sz w:val="30"/>
          <w:szCs w:val="30"/>
        </w:rPr>
        <w:t xml:space="preserve">PROGRAMA DE ASIGNATURA</w:t>
      </w:r>
    </w:p>
    <w:p>
      <w:pPr>
        <w:spacing w:after="60"/>
      </w:pPr>
      <w:r>
        <w:rPr>
          <w:b/>
          <w:bCs/>
          <w:color w:val="1F3864"/>
          <w:sz w:val="26"/>
          <w:szCs w:val="26"/>
        </w:rPr>
        <w:t xml:space="preserve">Inteligencia Artificial y Derecho: construir, verificar, gobernar</w:t>
      </w:r>
    </w:p>
    <w:p>
      <w:pPr>
        <w:spacing w:after="200" w:line="276"/>
      </w:pPr>
      <w:r>
        <w:rPr>
          <w:i/>
          <w:iCs/>
          <w:sz w:val="18"/>
          <w:szCs w:val="18"/>
        </w:rPr>
        <w:t xml:space="preserve">Asignatura optativa de pregrado · Borrador para revisión y aprobación académica</w:t>
      </w:r>
    </w:p>
    <w:p>
      <w:pPr>
        <w:pStyle w:val="Heading1"/>
        <w:pBdr>
          <w:bottom w:val="single" w:color="1F3864" w:sz="6" w:space="2"/>
        </w:pBdr>
        <w:spacing w:after="120" w:before="280"/>
      </w:pPr>
      <w:r>
        <w:rPr>
          <w:color w:val="000000"/>
        </w:rPr>
        <w:t xml:space="preserve">I. Identificación de la asignatura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Nombre</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Inteligencia Artificial y Derecho: construir, verificar, gobernar</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Código</w:t>
            </w:r>
          </w:p>
        </w:tc>
        <w:tc>
          <w:tcPr>
            <w:tcW w:type="dxa" w:w="64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[A definir por la Escuela]</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Carácter</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Optativa de profundización</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Carrera / Unidad</w:t>
            </w:r>
          </w:p>
        </w:tc>
        <w:tc>
          <w:tcPr>
            <w:tcW w:type="dxa" w:w="64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Derecho · Escuela de Derecho PUCV (línea DIAT)</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Nivel sugerido</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Ciclo intermedio o superior (idealmente posterior a Teoría del Ordenamiento Jurídico)</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Modalidad</w:t>
            </w:r>
          </w:p>
        </w:tc>
        <w:tc>
          <w:tcPr>
            <w:tcW w:type="dxa" w:w="64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Presencial, con laboratorio integrado en aula</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Régimen</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Semestral · 16 semanas · una sesión semanal de 3 horas pedagógicas</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Horas presenciales</w:t>
            </w:r>
          </w:p>
        </w:tc>
        <w:tc>
          <w:tcPr>
            <w:tcW w:type="dxa" w:w="64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48 horas pedagógicas (teoría + laboratorio)</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Trabajo autónomo estimado</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4 a 5 horas semanales</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Créditos SCT-Chile</w:t>
            </w:r>
          </w:p>
        </w:tc>
        <w:tc>
          <w:tcPr>
            <w:tcW w:type="dxa" w:w="64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Estimado 5 SCT (a ajustar según reglamento de la Escuela)</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Prerrequisitos</w:t>
            </w:r>
          </w:p>
        </w:tc>
        <w:tc>
          <w:tcPr>
            <w:tcW w:type="dxa" w:w="64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Sin prerrequisito técnico. Recomendable madurez jurídica para el componente teórico-normativo</w:t>
            </w:r>
          </w:p>
        </w:tc>
      </w:tr>
      <w:tr>
        <w:tc>
          <w:tcPr>
            <w:tcW w:type="dxa" w:w="26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pPr>
            <w:r>
              <w:rPr>
                <w:b/>
                <w:bCs/>
                <w:sz w:val="20"/>
                <w:szCs w:val="20"/>
              </w:rPr>
              <w:t xml:space="preserve">Cupo sugerido</w:t>
            </w:r>
          </w:p>
        </w:tc>
        <w:tc>
          <w:tcPr>
            <w:tcW w:type="dxa" w:w="64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20 a 30 estudiantes (la modalidad de laboratorio lo aconseja)</w:t>
            </w:r>
          </w:p>
        </w:tc>
      </w:tr>
    </w:tbl>
    <w:p>
      <w:pPr>
        <w:spacing w:after="120"/>
      </w:pPr>
    </w:p>
    <w:p>
      <w:pPr>
        <w:pStyle w:val="Heading1"/>
        <w:pBdr>
          <w:bottom w:val="single" w:color="1F3864" w:sz="6" w:space="2"/>
        </w:pBdr>
        <w:spacing w:after="120" w:before="280"/>
      </w:pPr>
      <w:r>
        <w:rPr>
          <w:color w:val="000000"/>
        </w:rPr>
        <w:t xml:space="preserve">II. Descripción y fundamentación</w:t>
      </w:r>
    </w:p>
    <w:p>
      <w:pPr>
        <w:spacing w:after="120" w:line="276"/>
      </w:pPr>
      <w:r>
        <w:t xml:space="preserve">La irrupción de la inteligencia artificial generativa está reconfigurando el ejercicio profesional del derecho con una velocidad que la formación tradicional no ha alcanzado a procesar. El mercado legal chileno enfrenta, además, dos aceleradores regulatorios concretos: la plena vigencia de la Ley N° 21.719 sobre protección de datos personales y la tramitación prioritaria del proyecto de ley que regula los sistemas de inteligencia artificial. En ese contexto, la competencia escasa ya no es producir texto jurídico —tarea que los modelos ejecutan con rapidez—, sino especificar con rigor, verificar con criterio y responder por decisiones jurídicas que cada vez más involucran sistemas automatizados.</w:t>
      </w:r>
    </w:p>
    <w:p>
      <w:pPr>
        <w:spacing w:after="120" w:line="276"/>
      </w:pPr>
      <w:r>
        <w:t xml:space="preserve">Esta asignatura no enseña a usar una herramienta determinada. Forma una manera de trabajar: diagnosticar procesos antes que adquirir software, operar la IA con disciplina de trazabilidad, construir herramientas propias mediante métodos accesibles y razonar sobre su gobernanza conforme al marco jurídico nacional. Su sello distintivo es el puente entre la tradición teórica de la Escuela y la práctica emergente: redactar la “constitución” de un agente jurídico —distinguir reglas inquebrantables de preferencias y justificar el porqué de cada una— es, en rigor, teoría de la normatividad aplicada.</w:t>
      </w:r>
    </w:p>
    <w:p>
      <w:pPr>
        <w:pStyle w:val="Heading1"/>
        <w:pBdr>
          <w:bottom w:val="single" w:color="1F3864" w:sz="6" w:space="2"/>
        </w:pBdr>
        <w:spacing w:after="120" w:before="280"/>
      </w:pPr>
      <w:r>
        <w:rPr>
          <w:color w:val="000000"/>
        </w:rPr>
        <w:t xml:space="preserve">III. Aporte al perfil de egreso</w:t>
      </w:r>
    </w:p>
    <w:p>
      <w:pPr>
        <w:spacing w:after="120" w:line="276"/>
      </w:pPr>
      <w:r>
        <w:t xml:space="preserve">La asignatura contribuye al perfil de egreso de la carrera fortaleciendo, en clave tecnológica, capacidades que la formación jurídica ya valora:</w:t>
      </w:r>
    </w:p>
    <w:p>
      <w:pPr>
        <w:pStyle w:val="ListParagraph"/>
        <w:numPr>
          <w:ilvl w:val="0"/>
          <w:numId w:val="2"/>
        </w:numPr>
        <w:spacing w:after="60" w:line="268"/>
      </w:pPr>
      <w:r>
        <w:t xml:space="preserve">Razonamiento y argumentación jurídica, aplicados a la especificación rigurosa de tareas y a la construcción de reglas para sistemas automatizados.</w:t>
      </w:r>
    </w:p>
    <w:p>
      <w:pPr>
        <w:pStyle w:val="ListParagraph"/>
        <w:numPr>
          <w:ilvl w:val="0"/>
          <w:numId w:val="2"/>
        </w:numPr>
        <w:spacing w:after="60" w:line="268"/>
      </w:pPr>
      <w:r>
        <w:t xml:space="preserve">Conducta ética y responsabilidad profesional, mediante la disciplina de verificación y el resguardo de la confidencialidad y los datos personales.</w:t>
      </w:r>
    </w:p>
    <w:p>
      <w:pPr>
        <w:pStyle w:val="ListParagraph"/>
        <w:numPr>
          <w:ilvl w:val="0"/>
          <w:numId w:val="2"/>
        </w:numPr>
        <w:spacing w:after="60" w:line="268"/>
      </w:pPr>
      <w:r>
        <w:t xml:space="preserve">Comprensión y aplicación del ordenamiento jurídico vigente, con foco en la normativa nacional de datos e inteligencia artificial.</w:t>
      </w:r>
    </w:p>
    <w:p>
      <w:pPr>
        <w:pStyle w:val="ListParagraph"/>
        <w:numPr>
          <w:ilvl w:val="0"/>
          <w:numId w:val="2"/>
        </w:numPr>
        <w:spacing w:after="60" w:line="268"/>
      </w:pPr>
      <w:r>
        <w:t xml:space="preserve">Pensamiento crítico y capacidad de adaptación frente a un entorno tecnológico y normativo en transformación acelerada.</w:t>
      </w:r>
    </w:p>
    <w:p>
      <w:pPr>
        <w:spacing w:after="120"/>
      </w:pPr>
    </w:p>
    <w:p>
      <w:pPr>
        <w:pStyle w:val="Heading1"/>
        <w:pBdr>
          <w:bottom w:val="single" w:color="1F3864" w:sz="6" w:space="2"/>
        </w:pBdr>
        <w:spacing w:after="120" w:before="280"/>
      </w:pPr>
      <w:r>
        <w:rPr>
          <w:color w:val="000000"/>
        </w:rPr>
        <w:t xml:space="preserve">IV. Resultados de aprendizaje</w:t>
      </w:r>
    </w:p>
    <w:p>
      <w:pPr>
        <w:pStyle w:val="Heading2"/>
        <w:spacing w:after="80" w:before="180"/>
      </w:pPr>
      <w:r>
        <w:rPr>
          <w:color w:val="1F3864"/>
        </w:rPr>
        <w:t xml:space="preserve">Resultado general</w:t>
      </w:r>
    </w:p>
    <w:p>
      <w:pPr>
        <w:spacing w:after="120" w:line="276"/>
      </w:pPr>
      <w:r>
        <w:t xml:space="preserve">Al finalizar la asignatura, el estudiante comprende críticamente la inteligencia artificial como fenómeno jurídico-tecnológico, la opera con rigor de verificación, construye un artefacto legal básico y razona sobre su gobernanza conforme al marco chileno emergente.</w:t>
      </w:r>
    </w:p>
    <w:p>
      <w:pPr>
        <w:pStyle w:val="Heading2"/>
        <w:spacing w:after="80" w:before="180"/>
      </w:pPr>
      <w:r>
        <w:rPr>
          <w:color w:val="1F3864"/>
        </w:rPr>
        <w:t xml:space="preserve">Resultados específicos</w:t>
      </w:r>
    </w:p>
    <w:p>
      <w:pPr>
        <w:pStyle w:val="ListParagraph"/>
        <w:numPr>
          <w:ilvl w:val="0"/>
          <w:numId w:val="2"/>
        </w:numPr>
        <w:spacing w:after="60" w:line="268"/>
      </w:pPr>
      <w:r>
        <w:t xml:space="preserve">RA1. Explica el funcionamiento y los límites de los modelos generativos, identificando riesgos de alucinación y sesgo, sin recurrir a lenguaje promocional.</w:t>
      </w:r>
    </w:p>
    <w:p>
      <w:pPr>
        <w:pStyle w:val="ListParagraph"/>
        <w:numPr>
          <w:ilvl w:val="0"/>
          <w:numId w:val="2"/>
        </w:numPr>
        <w:spacing w:after="60" w:line="268"/>
      </w:pPr>
      <w:r>
        <w:t xml:space="preserve">RA2. Opera herramientas de IA en tareas jurídicas aplicando disciplina de trazabilidad, exigencia de citas y contraste de fuentes.</w:t>
      </w:r>
    </w:p>
    <w:p>
      <w:pPr>
        <w:pStyle w:val="ListParagraph"/>
        <w:numPr>
          <w:ilvl w:val="0"/>
          <w:numId w:val="2"/>
        </w:numPr>
        <w:spacing w:after="60" w:line="268"/>
      </w:pPr>
      <w:r>
        <w:t xml:space="preserve">RA3. Identifica las obligaciones derivadas de la Ley N° 21.719 y la lógica de niveles de riesgo del proyecto de ley de inteligencia artificial.</w:t>
      </w:r>
    </w:p>
    <w:p>
      <w:pPr>
        <w:pStyle w:val="ListParagraph"/>
        <w:numPr>
          <w:ilvl w:val="0"/>
          <w:numId w:val="2"/>
        </w:numPr>
        <w:spacing w:after="60" w:line="268"/>
      </w:pPr>
      <w:r>
        <w:t xml:space="preserve">RA4. Diseña la constitución de un agente jurídico simple —identidad, reglas duras, preferencias y lógica de decisión— aplicando categorías de teoría normativa.</w:t>
      </w:r>
    </w:p>
    <w:p>
      <w:pPr>
        <w:pStyle w:val="ListParagraph"/>
        <w:numPr>
          <w:ilvl w:val="0"/>
          <w:numId w:val="2"/>
        </w:numPr>
        <w:spacing w:after="60" w:line="268"/>
      </w:pPr>
      <w:r>
        <w:t xml:space="preserve">RA5. Construye, somete a prueba y defiende un prototipo legal-IA básico con mecanismos de verificación incorporados.</w:t>
      </w:r>
    </w:p>
    <w:p>
      <w:pPr>
        <w:spacing w:after="120"/>
      </w:pPr>
    </w:p>
    <w:p>
      <w:pPr>
        <w:pStyle w:val="Heading1"/>
        <w:pBdr>
          <w:bottom w:val="single" w:color="1F3864" w:sz="6" w:space="2"/>
        </w:pBdr>
        <w:spacing w:after="120" w:before="280"/>
      </w:pPr>
      <w:r>
        <w:rPr>
          <w:color w:val="000000"/>
        </w:rPr>
        <w:t xml:space="preserve">V. Lógica instruccional y metodología</w:t>
      </w:r>
    </w:p>
    <w:p>
      <w:pPr>
        <w:spacing w:after="120" w:line="276"/>
      </w:pPr>
      <w:r>
        <w:t xml:space="preserve">El diseño aplica alineamiento constructivo: cada resultado de aprendizaje cuenta con una actividad que lo entrena y una evaluación que lo mide; no hay contenido que no se practique ni evidencia que no se evalúe. Cuatro principios rectores, que constituyen el sello del curso:</w:t>
      </w:r>
    </w:p>
    <w:p>
      <w:pPr>
        <w:pStyle w:val="ListParagraph"/>
        <w:numPr>
          <w:ilvl w:val="0"/>
          <w:numId w:val="2"/>
        </w:numPr>
        <w:spacing w:after="60" w:line="268"/>
      </w:pPr>
      <w:r>
        <w:rPr>
          <w:b/>
          <w:bCs/>
        </w:rPr>
        <w:t xml:space="preserve">Construir antes que describir. </w:t>
      </w:r>
      <w:r>
        <w:t xml:space="preserve">Todo estudiante termina el semestre con un artefacto entregado y defendido, no con un ensayo sobre artefactos. La teoría se introduce al servicio de una construcción concreta.</w:t>
      </w:r>
    </w:p>
    <w:p>
      <w:pPr>
        <w:pStyle w:val="ListParagraph"/>
        <w:numPr>
          <w:ilvl w:val="0"/>
          <w:numId w:val="2"/>
        </w:numPr>
        <w:spacing w:after="60" w:line="268"/>
      </w:pPr>
      <w:r>
        <w:rPr>
          <w:b/>
          <w:bCs/>
        </w:rPr>
        <w:t xml:space="preserve">Andamiaje en espiral. </w:t>
      </w:r>
      <w:r>
        <w:t xml:space="preserve">Cada concepto recorre tres pasos en sesiones sucesivas —presentación, práctica guiada y aplicación autónoma—. El prototipo final no aparece al cierre: se construye por capas desde la cuarta semana.</w:t>
      </w:r>
    </w:p>
    <w:p>
      <w:pPr>
        <w:pStyle w:val="ListParagraph"/>
        <w:numPr>
          <w:ilvl w:val="0"/>
          <w:numId w:val="2"/>
        </w:numPr>
        <w:spacing w:after="60" w:line="268"/>
      </w:pPr>
      <w:r>
        <w:rPr>
          <w:b/>
          <w:bCs/>
        </w:rPr>
        <w:t xml:space="preserve">Puente teoría–práctica. </w:t>
      </w:r>
      <w:r>
        <w:t xml:space="preserve">La redacción de la constitución de un agente materializa la teoría de la normatividad: distinguir reglas inquebrantables de preferencias y justificar su fundamento es el trabajo conceptual propio de la Escuela.</w:t>
      </w:r>
    </w:p>
    <w:p>
      <w:pPr>
        <w:pStyle w:val="ListParagraph"/>
        <w:numPr>
          <w:ilvl w:val="0"/>
          <w:numId w:val="2"/>
        </w:numPr>
        <w:spacing w:after="60" w:line="268"/>
      </w:pPr>
      <w:r>
        <w:rPr>
          <w:b/>
          <w:bCs/>
        </w:rPr>
        <w:t xml:space="preserve">Verificación y ética incrustadas. </w:t>
      </w:r>
      <w:r>
        <w:t xml:space="preserve">No existe “una clase de ética”: la exigencia de trazabilidad y el cuestionamiento del sesgo se practican en cada laboratorio. Que el resultado de la IA nunca constituye asesoría jurídica definitiva es regla permanente del taller.</w:t>
      </w:r>
    </w:p>
    <w:p>
      <w:pPr>
        <w:spacing w:after="120"/>
      </w:pPr>
    </w:p>
    <w:p>
      <w:pPr>
        <w:pStyle w:val="Heading1"/>
        <w:pBdr>
          <w:bottom w:val="single" w:color="1F3864" w:sz="6" w:space="2"/>
        </w:pBdr>
        <w:spacing w:after="120" w:before="280"/>
      </w:pPr>
      <w:r>
        <w:rPr>
          <w:color w:val="000000"/>
        </w:rPr>
        <w:t xml:space="preserve">VI. Unidades de aprendizaje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526"/>
        <w:gridCol w:w="1400"/>
      </w:tblGrid>
      <w:tr>
        <w:trPr>
          <w:tblHeader/>
        </w:trPr>
        <w:tc>
          <w:tcPr>
            <w:tcW w:type="dxa" w:w="11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Unidad</w:t>
            </w:r>
          </w:p>
        </w:tc>
        <w:tc>
          <w:tcPr>
            <w:tcW w:type="dxa" w:w="6526"/>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Resultado y contenidos</w:t>
            </w:r>
          </w:p>
        </w:tc>
        <w:tc>
          <w:tcPr>
            <w:tcW w:type="dxa" w:w="14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Hrs. pres.</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U1. Fundamentos críticos (sem. 1–2)</w:t>
            </w:r>
          </w:p>
        </w:tc>
        <w:tc>
          <w:tcPr>
            <w:tcW w:type="dxa" w:w="6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RA1. Historia de la IA; IA estrecha vs. generativa; qué es y cómo falla un modelo de lenguaje; alucinación y sesgo.</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6</w:t>
            </w:r>
          </w:p>
        </w:tc>
      </w:tr>
      <w:tr>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U2. Operación rigurosa (sem. 3–4)</w:t>
            </w:r>
          </w:p>
        </w:tc>
        <w:tc>
          <w:tcPr>
            <w:tcW w:type="dxa" w:w="6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RA2. El prompt como especificación; metadatos exigidos; citas obligatorias; contraste de fuentes; puertas de confirmación humana.</w:t>
            </w:r>
          </w:p>
        </w:tc>
        <w:tc>
          <w:tcPr>
            <w:tcW w:type="dxa" w:w="1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6</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U3. Marco jurídico chileno (sem. 5–6)</w:t>
            </w:r>
          </w:p>
        </w:tc>
        <w:tc>
          <w:tcPr>
            <w:tcW w:type="dxa" w:w="6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RA3. Ley N° 21.719: responsabilidad proactiva, datos sensibles, rol del DPO, qué nunca ingresar a un modelo. Sesgo, equidad y explicabilidad.</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6</w:t>
            </w:r>
          </w:p>
        </w:tc>
      </w:tr>
      <w:tr>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U4. Construcción (sem. 7–11)</w:t>
            </w:r>
          </w:p>
        </w:tc>
        <w:tc>
          <w:tcPr>
            <w:tcW w:type="dxa" w:w="6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RA4. Método de la Constitución (identidad, reglas duras vs. preferencias, algoritmo de pasos); diseño declarativo de una habilidad; gestión y recuperación de conocimiento jurídico; legal design.</w:t>
            </w:r>
          </w:p>
        </w:tc>
        <w:tc>
          <w:tcPr>
            <w:tcW w:type="dxa" w:w="14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15</w:t>
            </w:r>
          </w:p>
        </w:tc>
      </w:tr>
      <w:tr>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U5. Gobernanza, robustez y cierre (sem. 12–16)</w:t>
            </w:r>
          </w:p>
        </w:tc>
        <w:tc>
          <w:tcPr>
            <w:tcW w:type="dxa" w:w="6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RA5. Niveles de riesgo del proyecto de ley de IA y evaluación de impacto; pruebas de estrés con casos extremos; mejora por pares; integración y defensa.</w:t>
            </w:r>
          </w:p>
        </w:tc>
        <w:tc>
          <w:tcPr>
            <w:tcW w:type="dxa" w:w="1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15</w:t>
            </w:r>
          </w:p>
        </w:tc>
      </w:tr>
    </w:tbl>
    <w:p>
      <w:pPr>
        <w:spacing w:after="120"/>
      </w:pPr>
    </w:p>
    <w:p>
      <w:pPr>
        <w:pageBreakBefore/>
        <w:spacing w:after="0"/>
      </w:pPr>
    </w:p>
    <w:p>
      <w:pPr>
        <w:pStyle w:val="Heading1"/>
        <w:pBdr>
          <w:bottom w:val="single" w:color="1F3864" w:sz="6" w:space="2"/>
        </w:pBdr>
        <w:spacing w:after="120" w:before="280"/>
      </w:pPr>
      <w:r>
        <w:rPr>
          <w:color w:val="000000"/>
        </w:rPr>
        <w:t xml:space="preserve">VII. Calendarización (16 semanas)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26"/>
        <w:gridCol w:w="2900"/>
        <w:gridCol w:w="1900"/>
      </w:tblGrid>
      <w:tr>
        <w:trPr>
          <w:tblHeader/>
        </w:trPr>
        <w:tc>
          <w:tcPr>
            <w:tcW w:type="dxa" w:w="7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Sem.</w:t>
            </w:r>
          </w:p>
        </w:tc>
        <w:tc>
          <w:tcPr>
            <w:tcW w:type="dxa" w:w="3526"/>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Tema y contenido</w:t>
            </w:r>
          </w:p>
        </w:tc>
        <w:tc>
          <w:tcPr>
            <w:tcW w:type="dxa" w:w="29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Actividad / laboratorio</w:t>
            </w:r>
          </w:p>
        </w:tc>
        <w:tc>
          <w:tcPr>
            <w:tcW w:type="dxa" w:w="19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Capa del proyecto</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1</w:t>
            </w:r>
          </w:p>
        </w:tc>
        <w:tc>
          <w:tcPr>
            <w:tcW w:type="dxa" w:w="3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IA en sociedad y derecho; IA estrecha vs. generativa</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Debate: ¿puede una IA ejercer la abogacía?</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w:t>
            </w:r>
          </w:p>
        </w:tc>
      </w:tr>
      <w:tr>
        <w:tc>
          <w:tcPr>
            <w:tcW w:type="dxa" w:w="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2</w:t>
            </w:r>
          </w:p>
        </w:tc>
        <w:tc>
          <w:tcPr>
            <w:tcW w:type="dxa" w:w="3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Cómo funcionan y cómo fallan los modelos; alucinación y sesgo</w:t>
            </w:r>
          </w:p>
        </w:tc>
        <w:tc>
          <w:tcPr>
            <w:tcW w:type="dxa" w:w="2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Caza de alucinaciones en outputs reales</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Definir el problema a resolver</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3</w:t>
            </w:r>
          </w:p>
        </w:tc>
        <w:tc>
          <w:tcPr>
            <w:tcW w:type="dxa" w:w="3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El prompt como especificación rigurosa</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Resumir un fallo exigiendo trazabilidad</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Especificar requisitos</w:t>
            </w:r>
          </w:p>
        </w:tc>
      </w:tr>
      <w:tr>
        <w:tc>
          <w:tcPr>
            <w:tcW w:type="dxa" w:w="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4</w:t>
            </w:r>
          </w:p>
        </w:tc>
        <w:tc>
          <w:tcPr>
            <w:tcW w:type="dxa" w:w="3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Verificación como disciplina; contraste de fuentes</w:t>
            </w:r>
          </w:p>
        </w:tc>
        <w:tc>
          <w:tcPr>
            <w:tcW w:type="dxa" w:w="2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Auditar un output ajeno y documentar errores</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Diseñar el control de verificación</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5</w:t>
            </w:r>
          </w:p>
        </w:tc>
        <w:tc>
          <w:tcPr>
            <w:tcW w:type="dxa" w:w="3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Datos personales y Ley N° 21.719</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Clasificar datos de un expediente; caso de brecha</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Política de datos del artefacto</w:t>
            </w:r>
          </w:p>
        </w:tc>
      </w:tr>
      <w:tr>
        <w:tc>
          <w:tcPr>
            <w:tcW w:type="dxa" w:w="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6</w:t>
            </w:r>
          </w:p>
        </w:tc>
        <w:tc>
          <w:tcPr>
            <w:tcW w:type="dxa" w:w="3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Sesgo, equidad y explicabilidad</w:t>
            </w:r>
          </w:p>
        </w:tc>
        <w:tc>
          <w:tcPr>
            <w:tcW w:type="dxa" w:w="2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Debate estructurado sobre prevención del sesgo</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7</w:t>
            </w:r>
          </w:p>
        </w:tc>
        <w:tc>
          <w:tcPr>
            <w:tcW w:type="dxa" w:w="3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Método de la Constitución (I): reglas duras vs. preferencias</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Redactar las reglas inquebrantables de un agente</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Constitución: reglas</w:t>
            </w:r>
          </w:p>
        </w:tc>
      </w:tr>
      <w:tr>
        <w:tc>
          <w:tcPr>
            <w:tcW w:type="dxa" w:w="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8</w:t>
            </w:r>
          </w:p>
        </w:tc>
        <w:tc>
          <w:tcPr>
            <w:tcW w:type="dxa" w:w="3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Método de la Constitución (II): el porqué y la lógica de decisión</w:t>
            </w:r>
          </w:p>
        </w:tc>
        <w:tc>
          <w:tcPr>
            <w:tcW w:type="dxa" w:w="2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Completar la constitución con su árbol de decisión</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Constitución: razonamiento</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9</w:t>
            </w:r>
          </w:p>
        </w:tc>
        <w:tc>
          <w:tcPr>
            <w:tcW w:type="dxa" w:w="3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Construcción declarativa de una habilidad</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Montar la primera versión del artefacto</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Prototipo v1</w:t>
            </w:r>
          </w:p>
        </w:tc>
      </w:tr>
      <w:tr>
        <w:tc>
          <w:tcPr>
            <w:tcW w:type="dxa" w:w="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10</w:t>
            </w:r>
          </w:p>
        </w:tc>
        <w:tc>
          <w:tcPr>
            <w:tcW w:type="dxa" w:w="3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Gestión y recuperación de conocimiento jurídico</w:t>
            </w:r>
          </w:p>
        </w:tc>
        <w:tc>
          <w:tcPr>
            <w:tcW w:type="dxa" w:w="2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Indexar y consultar un corpus dado</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Conectar fuente al artefacto</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11</w:t>
            </w:r>
          </w:p>
        </w:tc>
        <w:tc>
          <w:tcPr>
            <w:tcW w:type="dxa" w:w="3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Legal design y mentalidad de producto</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Rediseñar un servicio o formulario real</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Mejorar la experiencia de uso</w:t>
            </w:r>
          </w:p>
        </w:tc>
      </w:tr>
      <w:tr>
        <w:tc>
          <w:tcPr>
            <w:tcW w:type="dxa" w:w="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12</w:t>
            </w:r>
          </w:p>
        </w:tc>
        <w:tc>
          <w:tcPr>
            <w:tcW w:type="dxa" w:w="3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Gobernanza y niveles de riesgo (proyecto de ley de IA)</w:t>
            </w:r>
          </w:p>
        </w:tc>
        <w:tc>
          <w:tcPr>
            <w:tcW w:type="dxa" w:w="2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Clasificar sistemas; esbozar evaluación de impacto</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Análisis de gobernanza</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13</w:t>
            </w:r>
          </w:p>
        </w:tc>
        <w:tc>
          <w:tcPr>
            <w:tcW w:type="dxa" w:w="3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Robustez: pruebas de estrés</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Estresar el prototipo con casos extremos</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Prototipo v2</w:t>
            </w:r>
          </w:p>
        </w:tc>
      </w:tr>
      <w:tr>
        <w:tc>
          <w:tcPr>
            <w:tcW w:type="dxa" w:w="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14</w:t>
            </w:r>
          </w:p>
        </w:tc>
        <w:tc>
          <w:tcPr>
            <w:tcW w:type="dxa" w:w="3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Mejora por pares</w:t>
            </w:r>
          </w:p>
        </w:tc>
        <w:tc>
          <w:tcPr>
            <w:tcW w:type="dxa" w:w="2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Revisión cruzada estructurada</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Versión final</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15</w:t>
            </w:r>
          </w:p>
        </w:tc>
        <w:tc>
          <w:tcPr>
            <w:tcW w:type="dxa" w:w="35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Síntesis integradora</w:t>
            </w:r>
          </w:p>
        </w:tc>
        <w:tc>
          <w:tcPr>
            <w:tcW w:type="dxa" w:w="2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Prueba integradora de conceptos</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Documentación final</w:t>
            </w:r>
          </w:p>
        </w:tc>
      </w:tr>
      <w:tr>
        <w:tc>
          <w:tcPr>
            <w:tcW w:type="dxa" w:w="7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16</w:t>
            </w:r>
          </w:p>
        </w:tc>
        <w:tc>
          <w:tcPr>
            <w:tcW w:type="dxa" w:w="35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Defensa ante jurado simulado</w:t>
            </w:r>
          </w:p>
        </w:tc>
        <w:tc>
          <w:tcPr>
            <w:tcW w:type="dxa" w:w="2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Exposición y defensa del artefacto</w:t>
            </w:r>
          </w:p>
        </w:tc>
        <w:tc>
          <w:tcPr>
            <w:tcW w:type="dxa" w:w="19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Entrega y defensa</w:t>
            </w:r>
          </w:p>
        </w:tc>
      </w:tr>
    </w:tbl>
    <w:p>
      <w:pPr>
        <w:spacing w:after="120"/>
      </w:pPr>
    </w:p>
    <w:p>
      <w:pPr>
        <w:pStyle w:val="Heading1"/>
        <w:pBdr>
          <w:bottom w:val="single" w:color="1F3864" w:sz="6" w:space="2"/>
        </w:pBdr>
        <w:spacing w:after="120" w:before="280"/>
      </w:pPr>
      <w:r>
        <w:rPr>
          <w:color w:val="000000"/>
        </w:rPr>
        <w:t xml:space="preserve">VIII. Sistema de evaluación</w:t>
      </w:r>
    </w:p>
    <w:p>
      <w:pPr>
        <w:spacing w:after="120" w:line="276"/>
      </w:pPr>
      <w:r>
        <w:t xml:space="preserve">La evaluación es auténtica y alineada con los resultados de aprendizaje: privilegia la construcción y la verificación por sobre la reproducción memorística. Escala 1,0 a 7,0; aprobación con nota 4,0. Exigencia y asistencia mínima según el reglamento de la Escuela.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4926"/>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Componente</w:t>
            </w:r>
          </w:p>
        </w:tc>
        <w:tc>
          <w:tcPr>
            <w:tcW w:type="dxa" w:w="1100"/>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Pond.</w:t>
            </w:r>
          </w:p>
        </w:tc>
        <w:tc>
          <w:tcPr>
            <w:tcW w:type="dxa" w:w="4926"/>
            <w:tcBorders>
              <w:top w:val="single" w:color="BFBFBF" w:sz="1"/>
              <w:left w:val="single" w:color="BFBFBF" w:sz="1"/>
              <w:bottom w:val="single" w:color="BFBFBF" w:sz="1"/>
              <w:right w:val="single" w:color="BFBFBF" w:sz="1"/>
            </w:tcBorders>
            <w:shd w:fill="D9E2F3" w:val="clear"/>
            <w:tcMar>
              <w:top w:type="dxa" w:w="70"/>
              <w:left w:type="dxa" w:w="110"/>
              <w:bottom w:type="dxa" w:w="70"/>
              <w:right w:type="dxa" w:w="110"/>
            </w:tcMar>
            <w:vAlign w:val="center"/>
          </w:tcPr>
          <w:p>
            <w:pPr>
              <w:spacing w:after="0" w:line="264"/>
              <w:jc w:val="left"/>
            </w:pPr>
            <w:r>
              <w:rPr>
                <w:b/>
                <w:bCs/>
                <w:sz w:val="20"/>
                <w:szCs w:val="20"/>
              </w:rPr>
              <w:t xml:space="preserve">Evidencia e instrumento</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Laboratorios y avances del proyecto</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40%</w:t>
            </w:r>
          </w:p>
        </w:tc>
        <w:tc>
          <w:tcPr>
            <w:tcW w:type="dxa" w:w="49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Entregas por capa evaluadas con rúbrica; recompensa el proceso de construcción, no solo el resultado (RA2, RA4, RA5).</w:t>
            </w:r>
          </w:p>
        </w:tc>
      </w:tr>
      <w:tr>
        <w:tc>
          <w:tcPr>
            <w:tcW w:type="dxa" w:w="30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jc w:val="left"/>
            </w:pPr>
            <w:r>
              <w:rPr>
                <w:sz w:val="20"/>
                <w:szCs w:val="20"/>
              </w:rPr>
              <w:t xml:space="preserve">Prueba integradora de conceptos</w:t>
            </w:r>
          </w:p>
        </w:tc>
        <w:tc>
          <w:tcPr>
            <w:tcW w:type="dxa" w:w="1100"/>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30%</w:t>
            </w:r>
          </w:p>
        </w:tc>
        <w:tc>
          <w:tcPr>
            <w:tcW w:type="dxa" w:w="4926"/>
            <w:tcBorders>
              <w:top w:val="single" w:color="BFBFBF" w:sz="1"/>
              <w:left w:val="single" w:color="BFBFBF" w:sz="1"/>
              <w:bottom w:val="single" w:color="BFBFBF" w:sz="1"/>
              <w:right w:val="single" w:color="BFBFBF" w:sz="1"/>
            </w:tcBorders>
            <w:shd w:fill="F2F5FA" w:val="clear"/>
            <w:tcMar>
              <w:top w:type="dxa" w:w="70"/>
              <w:left w:type="dxa" w:w="110"/>
              <w:bottom w:type="dxa" w:w="70"/>
              <w:right w:type="dxa" w:w="110"/>
            </w:tcMar>
            <w:vAlign w:val="center"/>
          </w:tcPr>
          <w:p>
            <w:pPr>
              <w:spacing w:after="0" w:line="264"/>
            </w:pPr>
            <w:r>
              <w:rPr>
                <w:sz w:val="20"/>
                <w:szCs w:val="20"/>
              </w:rPr>
              <w:t xml:space="preserve">Análisis de caso sobre límites de los modelos, marco regulatorio y lógica de la Constitución; no memorización (RA1, RA3, RA4).</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jc w:val="left"/>
            </w:pPr>
            <w:r>
              <w:rPr>
                <w:sz w:val="20"/>
                <w:szCs w:val="20"/>
              </w:rPr>
              <w:t xml:space="preserve">Proyecto final y defensa</w:t>
            </w:r>
          </w:p>
        </w:tc>
        <w:tc>
          <w:tcPr>
            <w:tcW w:type="dxa" w:w="1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30%</w:t>
            </w:r>
          </w:p>
        </w:tc>
        <w:tc>
          <w:tcPr>
            <w:tcW w:type="dxa" w:w="4926"/>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vAlign w:val="center"/>
          </w:tcPr>
          <w:p>
            <w:pPr>
              <w:spacing w:after="0" w:line="264"/>
            </w:pPr>
            <w:r>
              <w:rPr>
                <w:sz w:val="20"/>
                <w:szCs w:val="20"/>
              </w:rPr>
              <w:t xml:space="preserve">Rúbrica: originalidad, funcionamiento, verificación incorporada, fundamentación jurídica y robustez ante casos extremos (RA5).</w:t>
            </w:r>
          </w:p>
        </w:tc>
      </w:tr>
    </w:tbl>
    <w:p>
      <w:pPr>
        <w:spacing w:after="120"/>
      </w:pPr>
    </w:p>
    <w:p>
      <w:pPr>
        <w:pStyle w:val="Heading1"/>
        <w:pBdr>
          <w:bottom w:val="single" w:color="1F3864" w:sz="6" w:space="2"/>
        </w:pBdr>
        <w:spacing w:after="120" w:before="280"/>
      </w:pPr>
      <w:r>
        <w:rPr>
          <w:color w:val="000000"/>
        </w:rPr>
        <w:t xml:space="preserve">IX. Recursos e infraestructura</w:t>
      </w:r>
    </w:p>
    <w:p>
      <w:pPr>
        <w:pStyle w:val="ListParagraph"/>
        <w:numPr>
          <w:ilvl w:val="0"/>
          <w:numId w:val="2"/>
        </w:numPr>
        <w:spacing w:after="60" w:line="268"/>
      </w:pPr>
      <w:r>
        <w:t xml:space="preserve">Sala con computadores e internet; entorno con ejecución de código y creación de archivos para los laboratorios de construcción.</w:t>
      </w:r>
    </w:p>
    <w:p>
      <w:pPr>
        <w:pStyle w:val="ListParagraph"/>
        <w:numPr>
          <w:ilvl w:val="0"/>
          <w:numId w:val="2"/>
        </w:numPr>
        <w:spacing w:after="60" w:line="268"/>
      </w:pPr>
      <w:r>
        <w:t xml:space="preserve">Licencias educativas de al menos un modelo de lenguaje; puede usarse versión gratuita en clase para demostraciones que no involucren datos sensibles.</w:t>
      </w:r>
    </w:p>
    <w:p>
      <w:pPr>
        <w:pStyle w:val="ListParagraph"/>
        <w:numPr>
          <w:ilvl w:val="0"/>
          <w:numId w:val="2"/>
        </w:numPr>
        <w:spacing w:after="60" w:line="268"/>
      </w:pPr>
      <w:r>
        <w:t xml:space="preserve">Corpus jurídico simulado (sentencias y contratos de prueba) para los laboratorios de recuperación de conocimiento.</w:t>
      </w:r>
    </w:p>
    <w:p>
      <w:pPr>
        <w:pStyle w:val="ListParagraph"/>
        <w:numPr>
          <w:ilvl w:val="0"/>
          <w:numId w:val="2"/>
        </w:numPr>
        <w:spacing w:after="60" w:line="268"/>
      </w:pPr>
      <w:r>
        <w:rPr>
          <w:b/>
          <w:bCs/>
        </w:rPr>
        <w:t xml:space="preserve">Advertencia operativa permanente: </w:t>
      </w:r>
      <w:r>
        <w:t xml:space="preserve">jamás se ingresan datos reales confidenciales a modelos públicos; se trabaja siempre con casos simulados y se verifica todo resultado.</w:t>
      </w:r>
    </w:p>
    <w:p>
      <w:pPr>
        <w:spacing w:after="120"/>
      </w:pPr>
    </w:p>
    <w:p>
      <w:pPr>
        <w:pStyle w:val="Heading1"/>
        <w:pBdr>
          <w:bottom w:val="single" w:color="1F3864" w:sz="6" w:space="2"/>
        </w:pBdr>
        <w:spacing w:after="120" w:before="280"/>
      </w:pPr>
      <w:r>
        <w:rPr>
          <w:color w:val="000000"/>
        </w:rPr>
        <w:t xml:space="preserve">X. Perfil del equipo docente</w:t>
      </w:r>
    </w:p>
    <w:p>
      <w:pPr>
        <w:spacing w:after="120" w:line="276"/>
      </w:pPr>
      <w:r>
        <w:t xml:space="preserve">Se recomienda co-docencia, que es además parte del diferenciador del curso:</w:t>
      </w:r>
    </w:p>
    <w:p>
      <w:pPr>
        <w:pStyle w:val="ListParagraph"/>
        <w:numPr>
          <w:ilvl w:val="0"/>
          <w:numId w:val="2"/>
        </w:numPr>
        <w:spacing w:after="60" w:line="268"/>
      </w:pPr>
      <w:r>
        <w:t xml:space="preserve">Un jurista con dominio de derecho digital, regulación de datos e IA (conducción general y marco normativo).</w:t>
      </w:r>
    </w:p>
    <w:p>
      <w:pPr>
        <w:pStyle w:val="ListParagraph"/>
        <w:numPr>
          <w:ilvl w:val="0"/>
          <w:numId w:val="2"/>
        </w:numPr>
        <w:spacing w:after="60" w:line="268"/>
      </w:pPr>
      <w:r>
        <w:t xml:space="preserve">Un académico con formación en teoría del derecho, a cargo del puente normativo y del método de la Constitución —componente que ninguna otra escuela puede replicar sin esta fortaleza instalada—.</w:t>
      </w:r>
    </w:p>
    <w:p>
      <w:pPr>
        <w:pStyle w:val="ListParagraph"/>
        <w:numPr>
          <w:ilvl w:val="0"/>
          <w:numId w:val="2"/>
        </w:numPr>
        <w:spacing w:after="60" w:line="268"/>
      </w:pPr>
      <w:r>
        <w:t xml:space="preserve">Apoyo técnico para los laboratorios de construcción declarativa y recuperación de conocimiento.</w:t>
      </w:r>
    </w:p>
    <w:p>
      <w:pPr>
        <w:spacing w:after="120"/>
      </w:pPr>
    </w:p>
    <w:p>
      <w:pPr>
        <w:pStyle w:val="Heading1"/>
        <w:pBdr>
          <w:bottom w:val="single" w:color="1F3864" w:sz="6" w:space="2"/>
        </w:pBdr>
        <w:spacing w:after="120" w:before="280"/>
      </w:pPr>
      <w:r>
        <w:rPr>
          <w:color w:val="000000"/>
        </w:rPr>
        <w:t xml:space="preserve">XI. Bibliografía y fuentes</w:t>
      </w:r>
    </w:p>
    <w:p>
      <w:pPr>
        <w:pStyle w:val="Heading2"/>
        <w:spacing w:after="80" w:before="180"/>
      </w:pPr>
      <w:r>
        <w:rPr>
          <w:color w:val="1F3864"/>
        </w:rPr>
        <w:t xml:space="preserve">Fuentes normativas (primarias, verificables)</w:t>
      </w:r>
    </w:p>
    <w:p>
      <w:pPr>
        <w:pStyle w:val="ListParagraph"/>
        <w:numPr>
          <w:ilvl w:val="0"/>
          <w:numId w:val="2"/>
        </w:numPr>
        <w:spacing w:after="60" w:line="268"/>
      </w:pPr>
      <w:r>
        <w:t xml:space="preserve">Ley N° 21.719, que regula la protección y el tratamiento de los datos personales y crea la Agencia de Protección de Datos Personales (Chile).</w:t>
      </w:r>
    </w:p>
    <w:p>
      <w:pPr>
        <w:pStyle w:val="ListParagraph"/>
        <w:numPr>
          <w:ilvl w:val="0"/>
          <w:numId w:val="2"/>
        </w:numPr>
        <w:spacing w:after="60" w:line="268"/>
      </w:pPr>
      <w:r>
        <w:t xml:space="preserve">Proyecto de ley que regula los sistemas de inteligencia artificial, Boletín N° 16.821-19 (Chile), en tramitación.</w:t>
      </w:r>
    </w:p>
    <w:p>
      <w:pPr>
        <w:pStyle w:val="ListParagraph"/>
        <w:numPr>
          <w:ilvl w:val="0"/>
          <w:numId w:val="2"/>
        </w:numPr>
        <w:spacing w:after="60" w:line="268"/>
      </w:pPr>
      <w:r>
        <w:t xml:space="preserve">Ley N° 19.628, sobre protección de la vida privada (antecedente histórico).</w:t>
      </w:r>
    </w:p>
    <w:p>
      <w:pPr>
        <w:pStyle w:val="ListParagraph"/>
        <w:numPr>
          <w:ilvl w:val="0"/>
          <w:numId w:val="2"/>
        </w:numPr>
        <w:spacing w:after="60" w:line="268"/>
      </w:pPr>
      <w:r>
        <w:t xml:space="preserve">Reglamento (UE) 2024/1689, Reglamento de Inteligencia Artificial (AI Act), como referencia comparada.</w:t>
      </w:r>
    </w:p>
    <w:p>
      <w:pPr>
        <w:pStyle w:val="ListParagraph"/>
        <w:numPr>
          <w:ilvl w:val="0"/>
          <w:numId w:val="2"/>
        </w:numPr>
        <w:spacing w:after="60" w:line="268"/>
      </w:pPr>
      <w:r>
        <w:t xml:space="preserve">Recomendación de la OCDE sobre Inteligencia Artificial; Recomendación de la UNESCO sobre la ética de la inteligencia artificial (2021).</w:t>
      </w:r>
    </w:p>
    <w:p>
      <w:pPr>
        <w:pStyle w:val="Heading2"/>
        <w:spacing w:after="80" w:before="180"/>
      </w:pPr>
      <w:r>
        <w:rPr>
          <w:color w:val="1F3864"/>
        </w:rPr>
        <w:t xml:space="preserve">Doctrina y recursos (núcleo actualizable — a curar por la cátedra)</w:t>
      </w:r>
    </w:p>
    <w:p>
      <w:pPr>
        <w:spacing w:after="80" w:line="276"/>
      </w:pPr>
      <w:r>
        <w:t xml:space="preserve">Para evitar referencias no verificadas, la bibliografía doctrinal específica debe ser finalizada y actualizada anualmente por el equipo docente. Se sugiere incorporar, por categorías:</w:t>
      </w:r>
    </w:p>
    <w:p>
      <w:pPr>
        <w:pStyle w:val="ListParagraph"/>
        <w:numPr>
          <w:ilvl w:val="0"/>
          <w:numId w:val="2"/>
        </w:numPr>
        <w:spacing w:after="60" w:line="268"/>
      </w:pPr>
      <w:r>
        <w:t xml:space="preserve">Literatura nacional y comparada sobre derecho e inteligencia artificial, seleccionada por la cátedra según edición vigente.</w:t>
      </w:r>
    </w:p>
    <w:p>
      <w:pPr>
        <w:pStyle w:val="ListParagraph"/>
        <w:numPr>
          <w:ilvl w:val="0"/>
          <w:numId w:val="2"/>
        </w:numPr>
        <w:spacing w:after="60" w:line="268"/>
      </w:pPr>
      <w:r>
        <w:t xml:space="preserve">Informes sobre adopción de IA legal y el ecosistema chileno (p. ej. la Asociación de Legaltech de Chile, ALTECH, y estudios sobre gerencias legales en la región).</w:t>
      </w:r>
    </w:p>
    <w:p>
      <w:pPr>
        <w:pStyle w:val="ListParagraph"/>
        <w:numPr>
          <w:ilvl w:val="0"/>
          <w:numId w:val="2"/>
        </w:numPr>
        <w:spacing w:after="60" w:line="268"/>
      </w:pPr>
      <w:r>
        <w:t xml:space="preserve">Documentación técnica vigente de las herramientas demostradas durante el semestre (material rotable, sujeto a revisión semestral).</w:t>
      </w:r>
    </w:p>
    <w:p>
      <w:pPr>
        <w:spacing w:after="160"/>
      </w:pPr>
    </w:p>
    <w:p>
      <w:pPr>
        <w:pBdr>
          <w:top w:val="single" w:color="BFBFBF" w:sz="4" w:space="4"/>
        </w:pBdr>
        <w:spacing w:before="120"/>
      </w:pPr>
      <w:r>
        <w:rPr>
          <w:i/>
          <w:iCs/>
          <w:color w:val="595959"/>
          <w:sz w:val="16"/>
          <w:szCs w:val="16"/>
        </w:rPr>
        <w:t xml:space="preserve">Nota de versión: documento de trabajo para revisión interna y aprobación académica. Los campos de código, créditos SCT y referencias doctrinales deben ajustarse a las normas y el formato oficial de la Escuela de Derecho PUCV antes de su tramitación. El estado de tramitación del proyecto de ley de IA conviene verificarse a la fecha de dictación.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Programa de asignatura · IA y Derecho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0"/>
    </w:pPr>
    <w:r>
      <w:rPr>
        <w:color w:val="808080"/>
        <w:sz w:val="16"/>
        <w:szCs w:val="16"/>
      </w:rPr>
      <w:t xml:space="preserve">PUCV · Escuela de Derecho · DIAT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2026-06-23T22:33:59.934Z</dcterms:created>
  <dcterms:modified xsi:type="dcterms:W3CDTF">2026-06-23T22:33:59.934Z</dcterms:modified>
</cp:coreProperties>
</file>

<file path=docProps/custom.xml><?xml version="1.0" encoding="utf-8"?>
<Properties xmlns="http://schemas.openxmlformats.org/officeDocument/2006/custom-properties" xmlns:vt="http://schemas.openxmlformats.org/officeDocument/2006/docPropsVTypes"/>
</file>