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Default="00183AAF" w:rsidP="00C374EB">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 xml:space="preserve">DCPI </w:t>
      </w:r>
      <w:r w:rsidR="002349A1">
        <w:rPr>
          <w:rFonts w:ascii="Times New Roman" w:eastAsia="PMingLiU" w:hAnsi="Times New Roman"/>
          <w:b w:val="0"/>
          <w:kern w:val="0"/>
          <w:szCs w:val="28"/>
          <w:lang w:eastAsia="zh-TW"/>
        </w:rPr>
        <w:t>800</w:t>
      </w:r>
      <w:r w:rsidR="00EA6709" w:rsidRPr="00A64F2D">
        <w:rPr>
          <w:rFonts w:ascii="Times New Roman" w:eastAsia="PMingLiU" w:hAnsi="Times New Roman"/>
          <w:b w:val="0"/>
          <w:kern w:val="0"/>
          <w:szCs w:val="28"/>
          <w:lang w:eastAsia="zh-TW"/>
        </w:rPr>
        <w:t>/201</w:t>
      </w:r>
      <w:r w:rsidR="002349A1">
        <w:rPr>
          <w:rFonts w:ascii="Times New Roman" w:eastAsia="PMingLiU" w:hAnsi="Times New Roman"/>
          <w:b w:val="0"/>
          <w:kern w:val="0"/>
          <w:szCs w:val="28"/>
          <w:lang w:eastAsia="zh-TW"/>
        </w:rPr>
        <w:t>9</w:t>
      </w:r>
    </w:p>
    <w:p w:rsidR="0038513F" w:rsidRPr="005D7638" w:rsidRDefault="00A55A81" w:rsidP="00C374EB">
      <w:pPr>
        <w:spacing w:line="360" w:lineRule="auto"/>
        <w:jc w:val="right"/>
        <w:rPr>
          <w:lang w:val="en-GB" w:eastAsia="zh-TW"/>
        </w:rPr>
      </w:pPr>
      <w:sdt>
        <w:sdtPr>
          <w:rPr>
            <w:rStyle w:val="PlaceholderText"/>
            <w:rFonts w:eastAsia="PMingLiU"/>
            <w:color w:val="auto"/>
            <w:lang w:eastAsia="zh-TW"/>
          </w:rPr>
          <w:alias w:val="neutral citation number"/>
          <w:tag w:val="neutral citation number"/>
          <w:id w:val="210003420"/>
          <w:placeholder>
            <w:docPart w:val="6C74C9B796ED49CB977567D01536FF94"/>
          </w:placeholder>
          <w:text/>
        </w:sdtPr>
        <w:sdtEndPr>
          <w:rPr>
            <w:rStyle w:val="PlaceholderText"/>
          </w:rPr>
        </w:sdtEndPr>
        <w:sdtContent>
          <w:r w:rsidR="00B42681" w:rsidRPr="005D7638">
            <w:rPr>
              <w:rStyle w:val="PlaceholderText"/>
              <w:rFonts w:eastAsia="PMingLiU"/>
              <w:color w:val="auto"/>
              <w:lang w:eastAsia="zh-TW"/>
            </w:rPr>
            <w:t>[202</w:t>
          </w:r>
          <w:r w:rsidR="005D7638" w:rsidRPr="005D7638">
            <w:rPr>
              <w:rStyle w:val="PlaceholderText"/>
              <w:rFonts w:eastAsia="PMingLiU"/>
              <w:color w:val="auto"/>
              <w:lang w:eastAsia="zh-TW"/>
            </w:rPr>
            <w:t>2</w:t>
          </w:r>
          <w:r w:rsidR="00460919">
            <w:rPr>
              <w:rStyle w:val="PlaceholderText"/>
              <w:rFonts w:eastAsia="PMingLiU"/>
              <w:color w:val="auto"/>
              <w:lang w:eastAsia="zh-TW"/>
            </w:rPr>
            <w:t>] HKDC 1284</w:t>
          </w:r>
        </w:sdtContent>
      </w:sdt>
    </w:p>
    <w:p w:rsidR="00EF528F" w:rsidRPr="00A64F2D" w:rsidRDefault="00EF528F" w:rsidP="00C374EB">
      <w:pPr>
        <w:spacing w:line="360" w:lineRule="auto"/>
        <w:rPr>
          <w:rFonts w:eastAsia="PMingLiU"/>
          <w:szCs w:val="28"/>
          <w:lang w:val="en-GB" w:eastAsia="zh-TW"/>
        </w:rPr>
      </w:pPr>
    </w:p>
    <w:p w:rsidR="00183AAF" w:rsidRPr="00A64F2D" w:rsidRDefault="00183AAF" w:rsidP="00C374EB">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A64F2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C374EB">
      <w:pPr>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p>
    <w:p w:rsidR="006E39C1" w:rsidRPr="006E39C1" w:rsidRDefault="006E39C1" w:rsidP="00C374EB">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5D7638" w:rsidRDefault="006E39C1" w:rsidP="00C374EB">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5D7638">
        <w:rPr>
          <w:rFonts w:ascii="Times New Roman" w:hAnsi="Times New Roman"/>
          <w:b w:val="0"/>
          <w:kern w:val="0"/>
          <w:szCs w:val="28"/>
          <w:lang w:val="en-US"/>
        </w:rPr>
        <w:t xml:space="preserve">ACTION NO </w:t>
      </w:r>
      <w:r w:rsidR="002349A1">
        <w:rPr>
          <w:rFonts w:ascii="Times New Roman" w:hAnsi="Times New Roman"/>
          <w:b w:val="0"/>
          <w:kern w:val="0"/>
          <w:szCs w:val="28"/>
          <w:lang w:val="en-US"/>
        </w:rPr>
        <w:t>800</w:t>
      </w:r>
      <w:r w:rsidRPr="005D7638">
        <w:rPr>
          <w:rFonts w:ascii="Times New Roman" w:hAnsi="Times New Roman"/>
          <w:b w:val="0"/>
          <w:kern w:val="0"/>
          <w:szCs w:val="28"/>
          <w:lang w:val="en-US"/>
        </w:rPr>
        <w:t xml:space="preserve"> OF 201</w:t>
      </w:r>
      <w:r w:rsidR="002349A1">
        <w:rPr>
          <w:rFonts w:ascii="Times New Roman" w:hAnsi="Times New Roman"/>
          <w:b w:val="0"/>
          <w:kern w:val="0"/>
          <w:szCs w:val="28"/>
          <w:lang w:val="en-US"/>
        </w:rPr>
        <w:t>9</w:t>
      </w:r>
    </w:p>
    <w:p w:rsidR="00FB72FF" w:rsidRPr="006E39C1" w:rsidRDefault="00FB72FF" w:rsidP="00C374EB">
      <w:pPr>
        <w:spacing w:line="360" w:lineRule="auto"/>
        <w:rPr>
          <w:szCs w:val="28"/>
          <w:lang w:val="en-GB" w:eastAsia="zh-TW"/>
        </w:rPr>
      </w:pPr>
    </w:p>
    <w:p w:rsidR="00FB72FF" w:rsidRPr="00A64F2D" w:rsidRDefault="00FB72FF" w:rsidP="00C374E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C374EB">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2349A1">
        <w:rPr>
          <w:bCs/>
          <w:szCs w:val="28"/>
          <w:lang w:val="en-GB"/>
        </w:rPr>
        <w:t>WONG SIU CHI</w:t>
      </w:r>
      <w:bookmarkStart w:id="0" w:name="_GoBack"/>
      <w:bookmarkEnd w:id="0"/>
      <w:r w:rsidR="005D7638">
        <w:rPr>
          <w:rFonts w:eastAsia="PMingLiU"/>
          <w:lang w:eastAsia="zh-TW"/>
        </w:rPr>
        <w:tab/>
      </w:r>
      <w:r w:rsidRPr="006E39C1">
        <w:rPr>
          <w:bCs/>
          <w:szCs w:val="28"/>
          <w:lang w:val="en-GB"/>
        </w:rPr>
        <w:t>Plaintiff</w:t>
      </w:r>
    </w:p>
    <w:p w:rsidR="006E39C1" w:rsidRPr="006E39C1" w:rsidRDefault="006E39C1" w:rsidP="00BF273C">
      <w:pPr>
        <w:tabs>
          <w:tab w:val="clear" w:pos="1440"/>
          <w:tab w:val="clear" w:pos="4320"/>
          <w:tab w:val="clear" w:pos="9072"/>
          <w:tab w:val="center" w:pos="4230"/>
        </w:tabs>
        <w:spacing w:before="200" w:after="200" w:line="360" w:lineRule="auto"/>
        <w:jc w:val="center"/>
        <w:rPr>
          <w:bCs/>
          <w:szCs w:val="28"/>
          <w:lang w:val="en-GB"/>
        </w:rPr>
      </w:pPr>
      <w:r w:rsidRPr="006E39C1">
        <w:rPr>
          <w:bCs/>
          <w:szCs w:val="28"/>
          <w:lang w:val="en-GB"/>
        </w:rPr>
        <w:t>and</w:t>
      </w:r>
    </w:p>
    <w:p w:rsidR="006E39C1"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2349A1">
        <w:rPr>
          <w:bCs/>
          <w:szCs w:val="28"/>
          <w:lang w:val="en-GB"/>
        </w:rPr>
        <w:t>TAM KUT YU</w:t>
      </w:r>
      <w:r w:rsidRPr="005D7638">
        <w:rPr>
          <w:bCs/>
          <w:szCs w:val="28"/>
          <w:lang w:val="en-GB"/>
        </w:rPr>
        <w:tab/>
        <w:t>Defendant</w:t>
      </w:r>
    </w:p>
    <w:p w:rsidR="00FF16F7" w:rsidRPr="005D7638" w:rsidRDefault="00FF16F7" w:rsidP="00BF273C">
      <w:pPr>
        <w:tabs>
          <w:tab w:val="clear" w:pos="1440"/>
          <w:tab w:val="clear" w:pos="4320"/>
          <w:tab w:val="clear" w:pos="9072"/>
          <w:tab w:val="center" w:pos="4140"/>
          <w:tab w:val="right" w:pos="8280"/>
        </w:tabs>
        <w:rPr>
          <w:bCs/>
          <w:szCs w:val="28"/>
          <w:lang w:val="en-GB"/>
        </w:rPr>
      </w:pPr>
    </w:p>
    <w:p w:rsidR="00FB72FF" w:rsidRPr="00A64F2D" w:rsidRDefault="00FB72FF" w:rsidP="00C374E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5D7638" w:rsidRPr="00CF5870" w:rsidRDefault="005D7638" w:rsidP="00C374EB">
      <w:pPr>
        <w:spacing w:line="360" w:lineRule="auto"/>
        <w:jc w:val="both"/>
        <w:rPr>
          <w:rFonts w:eastAsia="PMingLiU"/>
        </w:rPr>
      </w:pPr>
    </w:p>
    <w:p w:rsidR="005D7638" w:rsidRPr="00CF5870" w:rsidRDefault="00C82786" w:rsidP="00C374EB">
      <w:pPr>
        <w:spacing w:line="360" w:lineRule="auto"/>
        <w:jc w:val="both"/>
        <w:rPr>
          <w:rFonts w:eastAsia="PMingLiU"/>
        </w:rPr>
      </w:pPr>
      <w:r>
        <w:rPr>
          <w:rFonts w:eastAsia="PMingLiU"/>
        </w:rPr>
        <w:t>Before</w:t>
      </w:r>
      <w:r w:rsidR="005D7638" w:rsidRPr="00CF5870">
        <w:rPr>
          <w:rFonts w:eastAsia="PMingLiU"/>
        </w:rPr>
        <w:t>:</w:t>
      </w:r>
      <w:r w:rsidR="005D7638">
        <w:rPr>
          <w:rFonts w:eastAsia="PMingLiU"/>
        </w:rPr>
        <w:t xml:space="preserve">  </w:t>
      </w:r>
      <w:r w:rsidR="005D7638">
        <w:rPr>
          <w:rFonts w:eastAsia="PMingLiU" w:hint="eastAsia"/>
          <w:lang w:eastAsia="zh-TW"/>
        </w:rPr>
        <w:t>M</w:t>
      </w:r>
      <w:r w:rsidR="005D7638">
        <w:rPr>
          <w:rFonts w:eastAsia="PMingLiU"/>
          <w:lang w:eastAsia="zh-TW"/>
        </w:rPr>
        <w:t>aste</w:t>
      </w:r>
      <w:r w:rsidR="005D7638">
        <w:rPr>
          <w:rFonts w:eastAsia="PMingLiU" w:hint="eastAsia"/>
          <w:lang w:eastAsia="zh-TW"/>
        </w:rPr>
        <w:t>r</w:t>
      </w:r>
      <w:r w:rsidR="005D7638">
        <w:rPr>
          <w:rFonts w:eastAsia="PMingLiU"/>
          <w:lang w:eastAsia="zh-TW"/>
        </w:rPr>
        <w:t xml:space="preserve"> </w:t>
      </w:r>
      <w:r w:rsidR="002349A1">
        <w:rPr>
          <w:rFonts w:eastAsia="PMingLiU"/>
          <w:lang w:eastAsia="zh-TW"/>
        </w:rPr>
        <w:t xml:space="preserve">Eleanor Yeung </w:t>
      </w:r>
      <w:r w:rsidR="005D7638">
        <w:rPr>
          <w:rFonts w:eastAsia="PMingLiU"/>
        </w:rPr>
        <w:t>in Court</w:t>
      </w:r>
    </w:p>
    <w:p w:rsidR="005D7638" w:rsidRDefault="005D7638" w:rsidP="00C374EB">
      <w:pPr>
        <w:spacing w:line="360" w:lineRule="auto"/>
        <w:jc w:val="both"/>
        <w:rPr>
          <w:rFonts w:eastAsia="PMingLiU"/>
        </w:rPr>
      </w:pPr>
      <w:r w:rsidRPr="00CF5870">
        <w:rPr>
          <w:rFonts w:eastAsia="PMingLiU"/>
        </w:rPr>
        <w:t>Date</w:t>
      </w:r>
      <w:r w:rsidRPr="00CF5870">
        <w:rPr>
          <w:rFonts w:eastAsia="PMingLiU" w:hint="eastAsia"/>
        </w:rPr>
        <w:t xml:space="preserve"> of </w:t>
      </w:r>
      <w:r>
        <w:rPr>
          <w:rFonts w:eastAsia="PMingLiU"/>
        </w:rPr>
        <w:t>Hearing</w:t>
      </w:r>
      <w:r w:rsidRPr="00CF5870">
        <w:rPr>
          <w:rFonts w:eastAsia="PMingLiU"/>
        </w:rPr>
        <w:t xml:space="preserve">: </w:t>
      </w:r>
      <w:r>
        <w:rPr>
          <w:rFonts w:eastAsia="PMingLiU"/>
        </w:rPr>
        <w:t xml:space="preserve"> 2</w:t>
      </w:r>
      <w:r w:rsidR="002349A1">
        <w:rPr>
          <w:rFonts w:eastAsia="PMingLiU"/>
        </w:rPr>
        <w:t xml:space="preserve"> November </w:t>
      </w:r>
      <w:r>
        <w:rPr>
          <w:rFonts w:eastAsia="PMingLiU"/>
        </w:rPr>
        <w:t xml:space="preserve">2022 </w:t>
      </w:r>
    </w:p>
    <w:p w:rsidR="005D7638" w:rsidRPr="00CF5870" w:rsidRDefault="005D7638" w:rsidP="002349A1">
      <w:pPr>
        <w:tabs>
          <w:tab w:val="clear" w:pos="1440"/>
          <w:tab w:val="clear" w:pos="4320"/>
          <w:tab w:val="left" w:pos="5040"/>
        </w:tabs>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w:t>
      </w:r>
      <w:r w:rsidR="002349A1">
        <w:rPr>
          <w:rFonts w:eastAsia="PMingLiU"/>
        </w:rPr>
        <w:t>Assessment of Damages</w:t>
      </w:r>
      <w:r w:rsidRPr="00CF5870">
        <w:rPr>
          <w:rFonts w:eastAsia="PMingLiU"/>
        </w:rPr>
        <w:t>:</w:t>
      </w:r>
      <w:r>
        <w:rPr>
          <w:rFonts w:eastAsia="PMingLiU"/>
        </w:rPr>
        <w:t xml:space="preserve"> </w:t>
      </w:r>
      <w:r w:rsidR="00BE50BF">
        <w:rPr>
          <w:rFonts w:eastAsia="PMingLiU"/>
        </w:rPr>
        <w:t xml:space="preserve"> </w:t>
      </w:r>
      <w:r w:rsidR="0035109D">
        <w:rPr>
          <w:rFonts w:eastAsia="PMingLiU"/>
        </w:rPr>
        <w:t xml:space="preserve">30 December </w:t>
      </w:r>
      <w:r>
        <w:rPr>
          <w:rFonts w:eastAsia="PMingLiU"/>
        </w:rPr>
        <w:t>2022</w:t>
      </w:r>
    </w:p>
    <w:p w:rsidR="006E39C1" w:rsidRPr="006E39C1" w:rsidRDefault="006E39C1" w:rsidP="00C374EB">
      <w:pPr>
        <w:tabs>
          <w:tab w:val="clear" w:pos="1440"/>
          <w:tab w:val="clear" w:pos="4320"/>
          <w:tab w:val="clear" w:pos="9072"/>
          <w:tab w:val="left" w:pos="2160"/>
        </w:tabs>
        <w:spacing w:line="360" w:lineRule="auto"/>
        <w:ind w:left="2160" w:hanging="2160"/>
        <w:jc w:val="both"/>
        <w:rPr>
          <w:bCs/>
          <w:szCs w:val="28"/>
        </w:rPr>
      </w:pPr>
    </w:p>
    <w:p w:rsidR="006E39C1" w:rsidRPr="006E39C1" w:rsidRDefault="005D7638" w:rsidP="00C374EB">
      <w:pPr>
        <w:tabs>
          <w:tab w:val="clear" w:pos="1440"/>
          <w:tab w:val="clear" w:pos="4320"/>
          <w:tab w:val="clear" w:pos="9072"/>
        </w:tabs>
        <w:spacing w:line="360" w:lineRule="auto"/>
        <w:jc w:val="center"/>
        <w:rPr>
          <w:bCs/>
          <w:szCs w:val="28"/>
          <w:lang w:val="en-GB"/>
        </w:rPr>
      </w:pPr>
      <w:r>
        <w:rPr>
          <w:bCs/>
          <w:szCs w:val="28"/>
          <w:lang w:val="en-GB"/>
        </w:rPr>
        <w:t>----------------</w:t>
      </w:r>
      <w:r w:rsidR="006E39C1" w:rsidRPr="006E39C1">
        <w:rPr>
          <w:bCs/>
          <w:szCs w:val="28"/>
          <w:lang w:val="en-GB"/>
        </w:rPr>
        <w:t>-------------------------</w:t>
      </w:r>
    </w:p>
    <w:p w:rsidR="005D7638" w:rsidRDefault="005D7638" w:rsidP="00C374EB">
      <w:pPr>
        <w:tabs>
          <w:tab w:val="clear" w:pos="1440"/>
          <w:tab w:val="clear" w:pos="4320"/>
          <w:tab w:val="clear" w:pos="9072"/>
        </w:tabs>
        <w:spacing w:line="360" w:lineRule="auto"/>
        <w:jc w:val="center"/>
        <w:rPr>
          <w:rFonts w:eastAsia="PMingLiU"/>
          <w:bCs/>
          <w:lang w:val="en-GB"/>
        </w:rPr>
      </w:pPr>
      <w:r>
        <w:rPr>
          <w:rFonts w:eastAsia="PMingLiU"/>
          <w:bCs/>
          <w:lang w:val="en-GB"/>
        </w:rPr>
        <w:t>ASSESSMENT OF DAMAGES</w:t>
      </w:r>
    </w:p>
    <w:p w:rsidR="005D7638" w:rsidRPr="006E39C1" w:rsidRDefault="005D7638" w:rsidP="00C374EB">
      <w:pPr>
        <w:tabs>
          <w:tab w:val="clear" w:pos="1440"/>
          <w:tab w:val="clear" w:pos="4320"/>
          <w:tab w:val="clear" w:pos="9072"/>
        </w:tabs>
        <w:spacing w:line="360" w:lineRule="auto"/>
        <w:jc w:val="center"/>
        <w:rPr>
          <w:bCs/>
          <w:szCs w:val="28"/>
          <w:lang w:val="en-GB"/>
        </w:rPr>
      </w:pPr>
      <w:r>
        <w:rPr>
          <w:bCs/>
          <w:szCs w:val="28"/>
          <w:lang w:val="en-GB"/>
        </w:rPr>
        <w:t>----------------</w:t>
      </w:r>
      <w:r w:rsidRPr="006E39C1">
        <w:rPr>
          <w:bCs/>
          <w:szCs w:val="28"/>
          <w:lang w:val="en-GB"/>
        </w:rPr>
        <w:t>-------------------------</w:t>
      </w:r>
    </w:p>
    <w:p w:rsidR="002349A1" w:rsidRPr="00A50F93" w:rsidRDefault="002349A1" w:rsidP="0019154F">
      <w:pPr>
        <w:tabs>
          <w:tab w:val="left" w:pos="567"/>
        </w:tabs>
        <w:spacing w:line="360" w:lineRule="auto"/>
        <w:ind w:left="567" w:hanging="567"/>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This is an assessment of damages arising out of a personal injury action. </w:t>
      </w:r>
      <w:r>
        <w:rPr>
          <w:szCs w:val="28"/>
        </w:rPr>
        <w:t xml:space="preserve"> </w:t>
      </w:r>
      <w:r w:rsidRPr="002349A1">
        <w:rPr>
          <w:szCs w:val="28"/>
        </w:rPr>
        <w:t xml:space="preserve">The plaintiff appeared at the assessment hearing in person. </w:t>
      </w:r>
      <w:r>
        <w:rPr>
          <w:szCs w:val="28"/>
        </w:rPr>
        <w:t xml:space="preserve"> </w:t>
      </w:r>
      <w:r w:rsidRPr="002349A1">
        <w:rPr>
          <w:szCs w:val="28"/>
        </w:rPr>
        <w:t>The defendant, who failed to appear in any of the prior court hearings or file any documents in the action, also appeared at the hearing in person.</w:t>
      </w:r>
    </w:p>
    <w:p w:rsidR="002349A1" w:rsidRPr="002349A1" w:rsidRDefault="002349A1" w:rsidP="0019154F">
      <w:pPr>
        <w:spacing w:line="360" w:lineRule="auto"/>
        <w:jc w:val="both"/>
        <w:rPr>
          <w:i/>
          <w:szCs w:val="28"/>
        </w:rPr>
      </w:pPr>
    </w:p>
    <w:p w:rsidR="002349A1" w:rsidRDefault="002349A1" w:rsidP="0019154F">
      <w:pPr>
        <w:pStyle w:val="ListParagraph"/>
        <w:keepNext/>
        <w:keepLines/>
        <w:widowControl w:val="0"/>
        <w:spacing w:line="360" w:lineRule="auto"/>
        <w:ind w:left="0"/>
        <w:jc w:val="both"/>
        <w:rPr>
          <w:i/>
          <w:szCs w:val="28"/>
        </w:rPr>
      </w:pPr>
      <w:r w:rsidRPr="002349A1">
        <w:rPr>
          <w:i/>
          <w:szCs w:val="28"/>
        </w:rPr>
        <w:t>Background</w:t>
      </w:r>
    </w:p>
    <w:p w:rsidR="002349A1" w:rsidRPr="002349A1" w:rsidRDefault="002349A1" w:rsidP="0019154F">
      <w:pPr>
        <w:pStyle w:val="ListParagraph"/>
        <w:keepNext/>
        <w:keepLines/>
        <w:widowControl w:val="0"/>
        <w:spacing w:line="360" w:lineRule="auto"/>
        <w:ind w:left="0"/>
        <w:jc w:val="both"/>
        <w:rPr>
          <w:i/>
          <w:szCs w:val="28"/>
        </w:rPr>
      </w:pPr>
    </w:p>
    <w:p w:rsidR="002349A1" w:rsidRPr="002349A1" w:rsidRDefault="002349A1" w:rsidP="0019154F">
      <w:pPr>
        <w:pStyle w:val="ListParagraph"/>
        <w:keepNext/>
        <w:keepLines/>
        <w:widowControl w:val="0"/>
        <w:numPr>
          <w:ilvl w:val="0"/>
          <w:numId w:val="11"/>
        </w:numPr>
        <w:spacing w:line="360" w:lineRule="auto"/>
        <w:ind w:left="0" w:firstLine="0"/>
        <w:jc w:val="both"/>
        <w:rPr>
          <w:szCs w:val="28"/>
        </w:rPr>
      </w:pPr>
      <w:r w:rsidRPr="002349A1">
        <w:rPr>
          <w:szCs w:val="28"/>
        </w:rPr>
        <w:t xml:space="preserve">On 19 March 2016, the defendant pushed the plaintiff from a staircase. </w:t>
      </w:r>
      <w:r>
        <w:rPr>
          <w:szCs w:val="28"/>
        </w:rPr>
        <w:t xml:space="preserve"> </w:t>
      </w:r>
      <w:r w:rsidRPr="002349A1">
        <w:rPr>
          <w:szCs w:val="28"/>
        </w:rPr>
        <w:t>As a result, the plaintiff fell off the staircase and sustained injuries over her back, sacrum and coccyx.</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On 5 March 2019, the plaintiff commenced these proceedings against the defendant for damages for personal injury, loss and damages sustained and caused by and arising out of the incident.</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The defendant had failed to give notice of intention to defend. Interlocutory judgment was entered against the defendants on 18 November 2020. </w:t>
      </w:r>
      <w:r>
        <w:rPr>
          <w:szCs w:val="28"/>
        </w:rPr>
        <w:t xml:space="preserve"> </w:t>
      </w:r>
      <w:r w:rsidRPr="002349A1">
        <w:rPr>
          <w:szCs w:val="28"/>
        </w:rPr>
        <w:t>The defendant was adjudged to pay the plaintiff damages to be assessed and costs.</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The plaintiff filed her statement of damages on 10 November 2021 (“SOD”). </w:t>
      </w:r>
      <w:r>
        <w:rPr>
          <w:szCs w:val="28"/>
        </w:rPr>
        <w:t xml:space="preserve"> </w:t>
      </w:r>
      <w:r w:rsidRPr="002349A1">
        <w:rPr>
          <w:szCs w:val="28"/>
        </w:rPr>
        <w:t xml:space="preserve">In the SOD, the plaintiff claims HK$1,020,832.08 plus interest. </w:t>
      </w:r>
      <w:r>
        <w:rPr>
          <w:szCs w:val="28"/>
        </w:rPr>
        <w:t xml:space="preserve"> </w:t>
      </w:r>
      <w:r w:rsidRPr="002349A1">
        <w:rPr>
          <w:szCs w:val="28"/>
        </w:rPr>
        <w:t xml:space="preserve">The defendant did not file any answer to the SOD. </w:t>
      </w:r>
    </w:p>
    <w:p w:rsidR="002349A1" w:rsidRPr="002349A1" w:rsidRDefault="002349A1" w:rsidP="0019154F">
      <w:pPr>
        <w:spacing w:line="360" w:lineRule="auto"/>
        <w:jc w:val="both"/>
        <w:rPr>
          <w:szCs w:val="28"/>
        </w:rPr>
      </w:pPr>
    </w:p>
    <w:p w:rsidR="002349A1" w:rsidRDefault="002349A1" w:rsidP="0019154F">
      <w:pPr>
        <w:pStyle w:val="ListParagraph"/>
        <w:numPr>
          <w:ilvl w:val="0"/>
          <w:numId w:val="11"/>
        </w:numPr>
        <w:spacing w:line="360" w:lineRule="auto"/>
        <w:ind w:left="0" w:firstLine="0"/>
        <w:jc w:val="both"/>
        <w:rPr>
          <w:szCs w:val="28"/>
        </w:rPr>
      </w:pPr>
      <w:r w:rsidRPr="002349A1">
        <w:rPr>
          <w:szCs w:val="28"/>
        </w:rPr>
        <w:t>The defendant had failed to comply with the directions given by the court, and therefore were debarred from adducing documentary evidence, expert medical evidence or calling any witness to give evidence at the assessment hearing.</w:t>
      </w:r>
    </w:p>
    <w:p w:rsidR="008B20A2" w:rsidRPr="002349A1" w:rsidRDefault="008B20A2" w:rsidP="0019154F">
      <w:pPr>
        <w:pStyle w:val="ListParagraph"/>
        <w:spacing w:line="360" w:lineRule="auto"/>
        <w:ind w:left="0"/>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The plaintiff has produced 2 medical reports dated 5</w:t>
      </w:r>
      <w:r w:rsidR="00590048">
        <w:rPr>
          <w:rFonts w:ascii="PMingLiU" w:eastAsiaTheme="minorEastAsia" w:hAnsi="PMingLiU"/>
          <w:szCs w:val="28"/>
        </w:rPr>
        <w:t xml:space="preserve"> </w:t>
      </w:r>
      <w:r w:rsidRPr="002349A1">
        <w:rPr>
          <w:szCs w:val="28"/>
        </w:rPr>
        <w:t xml:space="preserve">December 2017 and 10 August 2017 respectively; a radiological/ultrasound report dated 11 January 2018; and 2 physiotherapy </w:t>
      </w:r>
      <w:r w:rsidRPr="002349A1">
        <w:rPr>
          <w:szCs w:val="28"/>
        </w:rPr>
        <w:lastRenderedPageBreak/>
        <w:t xml:space="preserve">reports dated 1 August 2017 and 12 July 2019. </w:t>
      </w:r>
      <w:r w:rsidR="008B20A2">
        <w:rPr>
          <w:szCs w:val="28"/>
        </w:rPr>
        <w:t xml:space="preserve"> </w:t>
      </w:r>
      <w:r w:rsidRPr="002349A1">
        <w:rPr>
          <w:szCs w:val="28"/>
        </w:rPr>
        <w:t>She has elected not to adduce any expert evidence as to quantum.</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The plaintiff has also filed her witness statement dated 10</w:t>
      </w:r>
      <w:r w:rsidR="00C95A3A">
        <w:rPr>
          <w:szCs w:val="28"/>
        </w:rPr>
        <w:t> </w:t>
      </w:r>
      <w:r w:rsidRPr="002349A1">
        <w:rPr>
          <w:szCs w:val="28"/>
        </w:rPr>
        <w:t xml:space="preserve">November 2021 that was ordered to stand as evidence-in-chief at the assessment hearing. </w:t>
      </w:r>
    </w:p>
    <w:p w:rsidR="002349A1" w:rsidRPr="002349A1" w:rsidRDefault="002349A1" w:rsidP="0019154F">
      <w:pPr>
        <w:spacing w:line="360" w:lineRule="auto"/>
        <w:jc w:val="both"/>
        <w:rPr>
          <w:szCs w:val="28"/>
        </w:rPr>
      </w:pPr>
    </w:p>
    <w:p w:rsidR="002349A1" w:rsidRDefault="002349A1" w:rsidP="0019154F">
      <w:pPr>
        <w:pStyle w:val="ListParagraph"/>
        <w:spacing w:line="360" w:lineRule="auto"/>
        <w:ind w:left="0"/>
        <w:jc w:val="both"/>
        <w:rPr>
          <w:i/>
          <w:szCs w:val="28"/>
        </w:rPr>
      </w:pPr>
      <w:r w:rsidRPr="002349A1">
        <w:rPr>
          <w:i/>
          <w:szCs w:val="28"/>
        </w:rPr>
        <w:t>The plaintiff’s claim</w:t>
      </w:r>
    </w:p>
    <w:p w:rsidR="008B20A2" w:rsidRPr="002349A1" w:rsidRDefault="008B20A2" w:rsidP="0019154F">
      <w:pPr>
        <w:pStyle w:val="ListParagraph"/>
        <w:spacing w:line="360" w:lineRule="auto"/>
        <w:ind w:left="0"/>
        <w:jc w:val="both"/>
        <w:rPr>
          <w:i/>
          <w:szCs w:val="28"/>
        </w:rPr>
      </w:pPr>
    </w:p>
    <w:p w:rsidR="002349A1" w:rsidRDefault="002349A1" w:rsidP="0019154F">
      <w:pPr>
        <w:pStyle w:val="ListParagraph"/>
        <w:numPr>
          <w:ilvl w:val="0"/>
          <w:numId w:val="11"/>
        </w:numPr>
        <w:spacing w:line="360" w:lineRule="auto"/>
        <w:ind w:left="0" w:firstLine="0"/>
        <w:jc w:val="both"/>
        <w:rPr>
          <w:szCs w:val="28"/>
        </w:rPr>
      </w:pPr>
      <w:r w:rsidRPr="002349A1">
        <w:rPr>
          <w:szCs w:val="28"/>
        </w:rPr>
        <w:t>In the SOD, the plaintiff claims the following heads of damages against the defendant:-</w:t>
      </w:r>
    </w:p>
    <w:p w:rsidR="008B20A2" w:rsidRPr="002349A1" w:rsidRDefault="008B20A2" w:rsidP="0019154F">
      <w:pPr>
        <w:pStyle w:val="ListParagraph"/>
        <w:spacing w:line="360" w:lineRule="auto"/>
        <w:ind w:left="0"/>
        <w:jc w:val="both"/>
        <w:rPr>
          <w:szCs w:val="28"/>
        </w:rPr>
      </w:pPr>
    </w:p>
    <w:p w:rsidR="002349A1" w:rsidRPr="002349A1" w:rsidRDefault="002349A1" w:rsidP="0019154F">
      <w:pPr>
        <w:pStyle w:val="ListParagraph"/>
        <w:numPr>
          <w:ilvl w:val="0"/>
          <w:numId w:val="12"/>
        </w:numPr>
        <w:spacing w:line="360" w:lineRule="auto"/>
        <w:ind w:left="2160" w:hanging="720"/>
        <w:jc w:val="both"/>
        <w:rPr>
          <w:szCs w:val="28"/>
        </w:rPr>
      </w:pPr>
      <w:r w:rsidRPr="002349A1">
        <w:rPr>
          <w:szCs w:val="28"/>
        </w:rPr>
        <w:t>general damages for pain, suffering and loss of amenities (“PSLA”) in the sum of HK$500,000;</w:t>
      </w:r>
    </w:p>
    <w:p w:rsidR="002349A1" w:rsidRPr="002349A1" w:rsidRDefault="002349A1" w:rsidP="0019154F">
      <w:pPr>
        <w:spacing w:line="360" w:lineRule="auto"/>
        <w:ind w:left="2160" w:hanging="720"/>
        <w:jc w:val="both"/>
        <w:rPr>
          <w:szCs w:val="28"/>
        </w:rPr>
      </w:pPr>
    </w:p>
    <w:p w:rsidR="002349A1" w:rsidRPr="002349A1" w:rsidRDefault="002349A1" w:rsidP="0019154F">
      <w:pPr>
        <w:pStyle w:val="ListParagraph"/>
        <w:numPr>
          <w:ilvl w:val="0"/>
          <w:numId w:val="12"/>
        </w:numPr>
        <w:spacing w:line="360" w:lineRule="auto"/>
        <w:ind w:left="2160" w:hanging="720"/>
        <w:jc w:val="both"/>
        <w:rPr>
          <w:szCs w:val="28"/>
        </w:rPr>
      </w:pPr>
      <w:r w:rsidRPr="002349A1">
        <w:rPr>
          <w:szCs w:val="28"/>
        </w:rPr>
        <w:t>loss of earnings and MPF in the sum of $407,073;</w:t>
      </w:r>
    </w:p>
    <w:p w:rsidR="002349A1" w:rsidRPr="002349A1" w:rsidRDefault="002349A1" w:rsidP="0019154F">
      <w:pPr>
        <w:spacing w:line="360" w:lineRule="auto"/>
        <w:ind w:left="2160" w:hanging="720"/>
        <w:jc w:val="both"/>
        <w:rPr>
          <w:szCs w:val="28"/>
        </w:rPr>
      </w:pPr>
    </w:p>
    <w:p w:rsidR="002349A1" w:rsidRPr="002349A1" w:rsidRDefault="002349A1" w:rsidP="0019154F">
      <w:pPr>
        <w:pStyle w:val="ListParagraph"/>
        <w:numPr>
          <w:ilvl w:val="0"/>
          <w:numId w:val="12"/>
        </w:numPr>
        <w:spacing w:line="360" w:lineRule="auto"/>
        <w:ind w:left="2160" w:hanging="720"/>
        <w:jc w:val="both"/>
        <w:rPr>
          <w:szCs w:val="28"/>
        </w:rPr>
      </w:pPr>
      <w:r w:rsidRPr="002349A1">
        <w:rPr>
          <w:szCs w:val="28"/>
        </w:rPr>
        <w:t>special damages in the sum of $113,759.</w:t>
      </w:r>
    </w:p>
    <w:p w:rsidR="002349A1" w:rsidRPr="002349A1" w:rsidRDefault="002349A1" w:rsidP="0019154F">
      <w:pPr>
        <w:spacing w:line="360" w:lineRule="auto"/>
        <w:jc w:val="both"/>
        <w:rPr>
          <w:szCs w:val="28"/>
        </w:rPr>
      </w:pPr>
    </w:p>
    <w:p w:rsidR="002349A1" w:rsidRDefault="002349A1" w:rsidP="0019154F">
      <w:pPr>
        <w:pStyle w:val="ListParagraph"/>
        <w:spacing w:line="360" w:lineRule="auto"/>
        <w:ind w:left="0"/>
        <w:jc w:val="both"/>
        <w:rPr>
          <w:i/>
          <w:szCs w:val="28"/>
        </w:rPr>
      </w:pPr>
      <w:r w:rsidRPr="002349A1">
        <w:rPr>
          <w:i/>
          <w:szCs w:val="28"/>
        </w:rPr>
        <w:t>The plaintiff’s medical treatments</w:t>
      </w:r>
    </w:p>
    <w:p w:rsidR="008B20A2" w:rsidRPr="002349A1" w:rsidRDefault="008B20A2" w:rsidP="0019154F">
      <w:pPr>
        <w:pStyle w:val="ListParagraph"/>
        <w:spacing w:line="360" w:lineRule="auto"/>
        <w:ind w:left="0"/>
        <w:jc w:val="both"/>
        <w:rPr>
          <w:i/>
          <w:szCs w:val="28"/>
        </w:rPr>
      </w:pPr>
    </w:p>
    <w:p w:rsidR="008B20A2" w:rsidRPr="008B20A2" w:rsidRDefault="002349A1" w:rsidP="0019154F">
      <w:pPr>
        <w:pStyle w:val="ListParagraph"/>
        <w:numPr>
          <w:ilvl w:val="0"/>
          <w:numId w:val="11"/>
        </w:numPr>
        <w:spacing w:line="360" w:lineRule="auto"/>
        <w:ind w:left="0" w:firstLine="0"/>
        <w:jc w:val="both"/>
        <w:rPr>
          <w:szCs w:val="28"/>
        </w:rPr>
      </w:pPr>
      <w:r w:rsidRPr="002349A1">
        <w:rPr>
          <w:szCs w:val="28"/>
        </w:rPr>
        <w:t xml:space="preserve">Following the Accident, </w:t>
      </w:r>
      <w:r w:rsidRPr="002349A1">
        <w:rPr>
          <w:szCs w:val="28"/>
          <w:lang w:eastAsia="zh-HK"/>
        </w:rPr>
        <w:t>the</w:t>
      </w:r>
      <w:r w:rsidRPr="002349A1">
        <w:rPr>
          <w:szCs w:val="28"/>
        </w:rPr>
        <w:t xml:space="preserve"> plaintiff was </w:t>
      </w:r>
      <w:r w:rsidRPr="002349A1">
        <w:rPr>
          <w:szCs w:val="28"/>
          <w:lang w:eastAsia="zh-HK"/>
        </w:rPr>
        <w:t xml:space="preserve">admitted to the Accident &amp; Emergency Department of Caritas Medical Centre (“CMC”). </w:t>
      </w:r>
      <w:r w:rsidR="008B20A2">
        <w:rPr>
          <w:szCs w:val="28"/>
          <w:lang w:eastAsia="zh-HK"/>
        </w:rPr>
        <w:t xml:space="preserve"> </w:t>
      </w:r>
      <w:r w:rsidRPr="002349A1">
        <w:rPr>
          <w:szCs w:val="28"/>
          <w:lang w:eastAsia="zh-HK"/>
        </w:rPr>
        <w:t xml:space="preserve">Physical examination showed tenderness and bruising over the plaintiff’s left lower lateral ribs. </w:t>
      </w:r>
      <w:r w:rsidR="008B20A2">
        <w:rPr>
          <w:szCs w:val="28"/>
          <w:lang w:eastAsia="zh-HK"/>
        </w:rPr>
        <w:t xml:space="preserve"> </w:t>
      </w:r>
      <w:r w:rsidRPr="002349A1">
        <w:rPr>
          <w:szCs w:val="28"/>
          <w:lang w:eastAsia="zh-HK"/>
        </w:rPr>
        <w:t>There were bruises over her left knee as well as tenderness over her sacrum and coccyx.</w:t>
      </w:r>
      <w:r w:rsidR="008B20A2">
        <w:rPr>
          <w:szCs w:val="28"/>
          <w:lang w:eastAsia="zh-HK"/>
        </w:rPr>
        <w:t xml:space="preserve"> </w:t>
      </w:r>
      <w:r w:rsidRPr="002349A1">
        <w:rPr>
          <w:szCs w:val="28"/>
          <w:lang w:eastAsia="zh-HK"/>
        </w:rPr>
        <w:t xml:space="preserve"> X-ray examination of the said areas did not reveal any obvious fracture. </w:t>
      </w:r>
      <w:r w:rsidR="008B20A2">
        <w:rPr>
          <w:szCs w:val="28"/>
          <w:lang w:eastAsia="zh-HK"/>
        </w:rPr>
        <w:t xml:space="preserve"> </w:t>
      </w:r>
      <w:r w:rsidRPr="002349A1">
        <w:rPr>
          <w:szCs w:val="28"/>
          <w:lang w:eastAsia="zh-HK"/>
        </w:rPr>
        <w:t xml:space="preserve">The plaintiff was also diagnosed to suffer from multiple soft tissue injuries. </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The plaintiff was then referred for physiotherapy at the CMC which she attended for the period from 11 August 2016 to 3 November 2016 for a total of 13 sessions.</w:t>
      </w:r>
      <w:r w:rsidR="008B20A2">
        <w:rPr>
          <w:szCs w:val="28"/>
        </w:rPr>
        <w:t xml:space="preserve"> </w:t>
      </w:r>
      <w:r w:rsidRPr="002349A1">
        <w:rPr>
          <w:szCs w:val="28"/>
        </w:rPr>
        <w:t xml:space="preserve"> Treatment in the form of interferential therapy, back mobilization and stabilization exercise were provided to her.</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The plaintiff began attending other clinics, including the Healthy Chiropractic &amp; Reflexology Clinic (“HCRC”), for the period from 12 September 2017 to 17 January 2018 for a total of 15 sessions. </w:t>
      </w:r>
      <w:r w:rsidR="008B20A2">
        <w:rPr>
          <w:szCs w:val="28"/>
        </w:rPr>
        <w:t xml:space="preserve"> </w:t>
      </w:r>
      <w:r w:rsidRPr="002349A1">
        <w:rPr>
          <w:szCs w:val="28"/>
        </w:rPr>
        <w:t>The plaintiff also attended the Mun Sing Chinese Medicine Company with Chinese Medical Clinic (“MSCMC”) for treatment for the period from 17 April 2016 to 3 June 2016; the re:Health Medical Centre (“RMC”) for the period from 18 November 2016 to 19 May 2017; the HCRC for the period from 19 September 2017 to 17 January 2018; and the New York Medical Group – iRad Medical Diagnostic Centre (“IMDC”) for the period from 29 January 2018 to 7 December 2018.</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On 11 January 2018, the plaintiff obtained a sacro-coccygeal spine examination in the Hong Kong X-ray Ultrasound Medical Lab Centre. </w:t>
      </w:r>
      <w:r w:rsidR="008B20A2">
        <w:rPr>
          <w:szCs w:val="28"/>
        </w:rPr>
        <w:t xml:space="preserve"> </w:t>
      </w:r>
      <w:r w:rsidRPr="002349A1">
        <w:rPr>
          <w:szCs w:val="28"/>
        </w:rPr>
        <w:t>The said examination revealed that (a) intercoccygeal subluxation seen between the 1</w:t>
      </w:r>
      <w:r w:rsidRPr="002349A1">
        <w:rPr>
          <w:szCs w:val="28"/>
          <w:vertAlign w:val="superscript"/>
        </w:rPr>
        <w:t>st</w:t>
      </w:r>
      <w:r w:rsidRPr="002349A1">
        <w:rPr>
          <w:szCs w:val="28"/>
        </w:rPr>
        <w:t xml:space="preserve"> and 2</w:t>
      </w:r>
      <w:r w:rsidRPr="002349A1">
        <w:rPr>
          <w:szCs w:val="28"/>
          <w:vertAlign w:val="superscript"/>
        </w:rPr>
        <w:t>nd</w:t>
      </w:r>
      <w:r w:rsidRPr="002349A1">
        <w:rPr>
          <w:szCs w:val="28"/>
        </w:rPr>
        <w:t xml:space="preserve"> coccygeal segments may be developmental or a result of the incident; and (b) sacrum and the coccygeal segments appear intact with no definite facture. </w:t>
      </w:r>
    </w:p>
    <w:p w:rsidR="002349A1" w:rsidRPr="002349A1" w:rsidRDefault="002349A1" w:rsidP="0019154F">
      <w:pPr>
        <w:spacing w:line="360" w:lineRule="auto"/>
        <w:jc w:val="both"/>
        <w:rPr>
          <w:szCs w:val="28"/>
        </w:rPr>
      </w:pPr>
    </w:p>
    <w:p w:rsidR="002349A1" w:rsidRDefault="002349A1" w:rsidP="0019154F">
      <w:pPr>
        <w:pStyle w:val="ListParagraph"/>
        <w:keepNext/>
        <w:keepLines/>
        <w:widowControl w:val="0"/>
        <w:spacing w:line="360" w:lineRule="auto"/>
        <w:ind w:left="0"/>
        <w:jc w:val="both"/>
        <w:rPr>
          <w:i/>
          <w:iCs/>
          <w:szCs w:val="28"/>
        </w:rPr>
      </w:pPr>
      <w:r w:rsidRPr="002349A1">
        <w:rPr>
          <w:i/>
          <w:iCs/>
          <w:szCs w:val="28"/>
        </w:rPr>
        <w:lastRenderedPageBreak/>
        <w:t>The plaintiff’s evidence</w:t>
      </w:r>
    </w:p>
    <w:p w:rsidR="008B20A2" w:rsidRPr="002349A1" w:rsidRDefault="008B20A2" w:rsidP="0019154F">
      <w:pPr>
        <w:pStyle w:val="ListParagraph"/>
        <w:keepNext/>
        <w:keepLines/>
        <w:widowControl w:val="0"/>
        <w:spacing w:line="360" w:lineRule="auto"/>
        <w:ind w:left="0"/>
        <w:jc w:val="both"/>
        <w:rPr>
          <w:i/>
          <w:iCs/>
          <w:szCs w:val="28"/>
        </w:rPr>
      </w:pPr>
    </w:p>
    <w:p w:rsidR="002349A1" w:rsidRPr="002349A1" w:rsidRDefault="002349A1" w:rsidP="0019154F">
      <w:pPr>
        <w:pStyle w:val="ListParagraph"/>
        <w:keepNext/>
        <w:keepLines/>
        <w:widowControl w:val="0"/>
        <w:numPr>
          <w:ilvl w:val="0"/>
          <w:numId w:val="11"/>
        </w:numPr>
        <w:spacing w:line="360" w:lineRule="auto"/>
        <w:ind w:left="0" w:firstLine="0"/>
        <w:jc w:val="both"/>
        <w:rPr>
          <w:szCs w:val="28"/>
        </w:rPr>
      </w:pPr>
      <w:r w:rsidRPr="002349A1">
        <w:rPr>
          <w:szCs w:val="28"/>
        </w:rPr>
        <w:t xml:space="preserve">The </w:t>
      </w:r>
      <w:r w:rsidR="008B20A2">
        <w:rPr>
          <w:szCs w:val="28"/>
        </w:rPr>
        <w:t>p</w:t>
      </w:r>
      <w:r w:rsidRPr="002349A1">
        <w:rPr>
          <w:szCs w:val="28"/>
        </w:rPr>
        <w:t xml:space="preserve">laintiff herself was the only person who testified at the hearing. </w:t>
      </w:r>
      <w:r w:rsidR="008B20A2">
        <w:rPr>
          <w:szCs w:val="28"/>
        </w:rPr>
        <w:t xml:space="preserve"> </w:t>
      </w:r>
      <w:r w:rsidRPr="002349A1">
        <w:rPr>
          <w:szCs w:val="28"/>
        </w:rPr>
        <w:t>She adopted her witness statement dated 10 November 2021 as evidence-in-chief.</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The gist of the plaintiff’s evidence is that she was 51 years old at the time of the incident. </w:t>
      </w:r>
      <w:r w:rsidR="008B20A2">
        <w:rPr>
          <w:szCs w:val="28"/>
        </w:rPr>
        <w:t xml:space="preserve"> </w:t>
      </w:r>
      <w:r w:rsidRPr="002349A1">
        <w:rPr>
          <w:szCs w:val="28"/>
        </w:rPr>
        <w:t xml:space="preserve">Ever since the incident, she has suffered from residual pain, soreness and stiffness over her lower back which is aggravated upon prolonged stillness; anxiety and emotional instability when she recalls the assaults; and easy irritability and loss of patience. </w:t>
      </w:r>
      <w:r w:rsidR="008B20A2">
        <w:rPr>
          <w:szCs w:val="28"/>
        </w:rPr>
        <w:t xml:space="preserve"> </w:t>
      </w:r>
      <w:r w:rsidRPr="002349A1">
        <w:rPr>
          <w:szCs w:val="28"/>
        </w:rPr>
        <w:t>She also experienced flashbacks and frequent nightmares and sleeplessness; signs of depression when she is alone; and psychomotor retardation and poor concentration.</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In the witness box, the plaintiff updated her evidence and testified that she had been working as a part-time station assistant and earning an average monthly earning of about $5,000 for the period from January 2022 to the date of the assessment hearing.</w:t>
      </w:r>
    </w:p>
    <w:p w:rsidR="002349A1" w:rsidRPr="002349A1" w:rsidRDefault="002349A1" w:rsidP="0019154F">
      <w:pPr>
        <w:spacing w:line="360" w:lineRule="auto"/>
        <w:jc w:val="both"/>
        <w:rPr>
          <w:szCs w:val="28"/>
        </w:rPr>
      </w:pPr>
    </w:p>
    <w:p w:rsidR="002349A1" w:rsidRDefault="002349A1" w:rsidP="0019154F">
      <w:pPr>
        <w:pStyle w:val="ListParagraph"/>
        <w:spacing w:line="360" w:lineRule="auto"/>
        <w:ind w:left="0"/>
        <w:jc w:val="both"/>
        <w:rPr>
          <w:i/>
          <w:iCs/>
          <w:szCs w:val="28"/>
        </w:rPr>
      </w:pPr>
      <w:r w:rsidRPr="002349A1">
        <w:rPr>
          <w:i/>
          <w:iCs/>
          <w:szCs w:val="28"/>
        </w:rPr>
        <w:t>Factual findings</w:t>
      </w:r>
    </w:p>
    <w:p w:rsidR="008B20A2" w:rsidRPr="002349A1" w:rsidRDefault="008B20A2" w:rsidP="0019154F">
      <w:pPr>
        <w:pStyle w:val="ListParagraph"/>
        <w:spacing w:line="360" w:lineRule="auto"/>
        <w:ind w:left="0"/>
        <w:jc w:val="both"/>
        <w:rPr>
          <w:i/>
          <w:iCs/>
          <w:szCs w:val="28"/>
        </w:rPr>
      </w:pPr>
    </w:p>
    <w:p w:rsidR="008B20A2" w:rsidRDefault="002349A1" w:rsidP="0019154F">
      <w:pPr>
        <w:pStyle w:val="ListParagraph"/>
        <w:numPr>
          <w:ilvl w:val="0"/>
          <w:numId w:val="11"/>
        </w:numPr>
        <w:spacing w:line="360" w:lineRule="auto"/>
        <w:ind w:left="0" w:firstLine="0"/>
        <w:jc w:val="both"/>
        <w:rPr>
          <w:szCs w:val="28"/>
        </w:rPr>
      </w:pPr>
      <w:r w:rsidRPr="002349A1">
        <w:rPr>
          <w:szCs w:val="28"/>
        </w:rPr>
        <w:t>The plaintiff’s evidence was subject to challenge by the defendant on two main points: If the plaintiff was injured as seriously as claimed, (1) why would she be able to walk up storeys of staircases after the incident; and (2) why would she be able to work as supermarket assistant after the incident.</w:t>
      </w:r>
    </w:p>
    <w:p w:rsidR="008B20A2" w:rsidRDefault="008B20A2" w:rsidP="0019154F">
      <w:pPr>
        <w:pStyle w:val="ListParagraph"/>
        <w:spacing w:line="360" w:lineRule="auto"/>
        <w:ind w:left="0"/>
        <w:jc w:val="both"/>
        <w:rPr>
          <w:szCs w:val="28"/>
        </w:rPr>
      </w:pPr>
    </w:p>
    <w:p w:rsidR="002349A1" w:rsidRPr="008B20A2" w:rsidRDefault="002349A1" w:rsidP="0019154F">
      <w:pPr>
        <w:pStyle w:val="ListParagraph"/>
        <w:numPr>
          <w:ilvl w:val="0"/>
          <w:numId w:val="11"/>
        </w:numPr>
        <w:spacing w:line="360" w:lineRule="auto"/>
        <w:ind w:left="0" w:firstLine="0"/>
        <w:jc w:val="both"/>
        <w:rPr>
          <w:szCs w:val="28"/>
        </w:rPr>
      </w:pPr>
      <w:r w:rsidRPr="008B20A2">
        <w:rPr>
          <w:szCs w:val="28"/>
        </w:rPr>
        <w:lastRenderedPageBreak/>
        <w:t>Since both parties were unrepresented and appeared in person at the hearing, the exchanges during cross-examination were less than well-mannered and often provoking.</w:t>
      </w:r>
      <w:r w:rsidR="008B20A2">
        <w:rPr>
          <w:szCs w:val="28"/>
        </w:rPr>
        <w:t xml:space="preserve"> </w:t>
      </w:r>
      <w:r w:rsidRPr="008B20A2">
        <w:rPr>
          <w:szCs w:val="28"/>
        </w:rPr>
        <w:t xml:space="preserve"> That said, the plaintiff was able to answer the defendant’s questions in a straightforward manner. </w:t>
      </w:r>
      <w:r w:rsidR="008B20A2">
        <w:rPr>
          <w:szCs w:val="28"/>
        </w:rPr>
        <w:t xml:space="preserve"> </w:t>
      </w:r>
      <w:r w:rsidRPr="008B20A2">
        <w:rPr>
          <w:szCs w:val="28"/>
        </w:rPr>
        <w:t>Her answers were supported by contemporaneous evidence, i</w:t>
      </w:r>
      <w:r w:rsidR="000878DD">
        <w:rPr>
          <w:szCs w:val="28"/>
        </w:rPr>
        <w:t>.</w:t>
      </w:r>
      <w:r w:rsidRPr="008B20A2">
        <w:rPr>
          <w:szCs w:val="28"/>
        </w:rPr>
        <w:t>e</w:t>
      </w:r>
      <w:r w:rsidR="000878DD">
        <w:rPr>
          <w:szCs w:val="28"/>
        </w:rPr>
        <w:t>.</w:t>
      </w:r>
      <w:r w:rsidRPr="008B20A2">
        <w:rPr>
          <w:szCs w:val="28"/>
        </w:rPr>
        <w:t xml:space="preserve"> a Whats</w:t>
      </w:r>
      <w:r w:rsidR="008928DF">
        <w:rPr>
          <w:szCs w:val="28"/>
        </w:rPr>
        <w:t>A</w:t>
      </w:r>
      <w:r w:rsidRPr="008B20A2">
        <w:rPr>
          <w:szCs w:val="28"/>
        </w:rPr>
        <w:t xml:space="preserve">pp message complaining about pain over her coccyx at 5:18 pm on 19 March 2016 [II/86], about 4 hours after the incident. </w:t>
      </w:r>
      <w:r w:rsidR="008B20A2">
        <w:rPr>
          <w:szCs w:val="28"/>
        </w:rPr>
        <w:t xml:space="preserve"> </w:t>
      </w:r>
      <w:r w:rsidRPr="008B20A2">
        <w:rPr>
          <w:szCs w:val="28"/>
        </w:rPr>
        <w:t xml:space="preserve">Her oral evidence regarding being able to work as a part-time supermarket assistant despite injuries after the incident due to: (1) understanding of her fellow colleagues and (2) being permitted to avoid carrying heavy loads at work, was mentioned in her witness statement [I/37]. </w:t>
      </w:r>
      <w:r w:rsidR="008B20A2">
        <w:rPr>
          <w:szCs w:val="28"/>
        </w:rPr>
        <w:t xml:space="preserve"> </w:t>
      </w:r>
      <w:r w:rsidRPr="008B20A2">
        <w:rPr>
          <w:szCs w:val="28"/>
        </w:rPr>
        <w:t xml:space="preserve">I find her oral evidence consistent with that spoken to in her witness statement and documentary evidence.  </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In addition, when asked by the </w:t>
      </w:r>
      <w:r w:rsidR="008B20A2">
        <w:rPr>
          <w:szCs w:val="28"/>
        </w:rPr>
        <w:t>c</w:t>
      </w:r>
      <w:r w:rsidRPr="002349A1">
        <w:rPr>
          <w:szCs w:val="28"/>
        </w:rPr>
        <w:t xml:space="preserve">ourt regarding her latest work situation and earnings, the plaintiff answered in a forthcoming manner. </w:t>
      </w:r>
      <w:r w:rsidR="008B20A2">
        <w:rPr>
          <w:szCs w:val="28"/>
        </w:rPr>
        <w:t xml:space="preserve"> </w:t>
      </w:r>
      <w:r w:rsidRPr="002349A1">
        <w:rPr>
          <w:szCs w:val="28"/>
        </w:rPr>
        <w:t>I</w:t>
      </w:r>
      <w:r w:rsidR="00AC0256">
        <w:rPr>
          <w:szCs w:val="28"/>
        </w:rPr>
        <w:t> </w:t>
      </w:r>
      <w:r w:rsidRPr="002349A1">
        <w:rPr>
          <w:szCs w:val="28"/>
        </w:rPr>
        <w:t>find her a reliable and honest witness and I accept her evidence.</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lang w:eastAsia="zh-HK"/>
        </w:rPr>
        <w:t xml:space="preserve">Considering the medical reports and the </w:t>
      </w:r>
      <w:r w:rsidRPr="002349A1">
        <w:rPr>
          <w:szCs w:val="28"/>
        </w:rPr>
        <w:t>p</w:t>
      </w:r>
      <w:r w:rsidRPr="002349A1">
        <w:rPr>
          <w:szCs w:val="28"/>
          <w:lang w:eastAsia="zh-HK"/>
        </w:rPr>
        <w:t xml:space="preserve">laintiff’s evidence together, I am satisfied that the </w:t>
      </w:r>
      <w:r w:rsidRPr="002349A1">
        <w:rPr>
          <w:szCs w:val="28"/>
        </w:rPr>
        <w:t>p</w:t>
      </w:r>
      <w:r w:rsidRPr="002349A1">
        <w:rPr>
          <w:szCs w:val="28"/>
          <w:lang w:eastAsia="zh-HK"/>
        </w:rPr>
        <w:t>laintiff ha</w:t>
      </w:r>
      <w:r w:rsidRPr="002349A1">
        <w:rPr>
          <w:szCs w:val="28"/>
        </w:rPr>
        <w:t>d</w:t>
      </w:r>
      <w:r w:rsidRPr="002349A1">
        <w:rPr>
          <w:szCs w:val="28"/>
          <w:lang w:eastAsia="zh-HK"/>
        </w:rPr>
        <w:t xml:space="preserve"> proved on balance of probabilities that her physical injuries w</w:t>
      </w:r>
      <w:r w:rsidRPr="002349A1">
        <w:rPr>
          <w:szCs w:val="28"/>
        </w:rPr>
        <w:t>ere</w:t>
      </w:r>
      <w:r w:rsidRPr="002349A1">
        <w:rPr>
          <w:szCs w:val="28"/>
          <w:lang w:eastAsia="zh-HK"/>
        </w:rPr>
        <w:t xml:space="preserve"> caused by the incident.</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Based on these factual findings, I now turn to each head of claim.</w:t>
      </w:r>
    </w:p>
    <w:p w:rsidR="002349A1" w:rsidRPr="002349A1" w:rsidRDefault="002349A1" w:rsidP="0019154F">
      <w:pPr>
        <w:spacing w:line="360" w:lineRule="auto"/>
        <w:jc w:val="both"/>
        <w:rPr>
          <w:szCs w:val="28"/>
        </w:rPr>
      </w:pPr>
    </w:p>
    <w:p w:rsidR="002349A1" w:rsidRDefault="002349A1" w:rsidP="0019154F">
      <w:pPr>
        <w:pStyle w:val="ListParagraph"/>
        <w:spacing w:line="360" w:lineRule="auto"/>
        <w:ind w:left="0"/>
        <w:jc w:val="both"/>
        <w:rPr>
          <w:i/>
          <w:szCs w:val="28"/>
        </w:rPr>
      </w:pPr>
      <w:r w:rsidRPr="008B20A2">
        <w:rPr>
          <w:i/>
          <w:szCs w:val="28"/>
        </w:rPr>
        <w:t>PSLA</w:t>
      </w:r>
    </w:p>
    <w:p w:rsidR="008B20A2" w:rsidRPr="008B20A2" w:rsidRDefault="008B20A2" w:rsidP="0019154F">
      <w:pPr>
        <w:pStyle w:val="ListParagraph"/>
        <w:spacing w:line="360" w:lineRule="auto"/>
        <w:ind w:left="0"/>
        <w:jc w:val="both"/>
        <w:rPr>
          <w:i/>
          <w:szCs w:val="28"/>
        </w:rPr>
      </w:pPr>
    </w:p>
    <w:p w:rsidR="008B20A2" w:rsidRDefault="002349A1" w:rsidP="0019154F">
      <w:pPr>
        <w:pStyle w:val="ListParagraph"/>
        <w:numPr>
          <w:ilvl w:val="0"/>
          <w:numId w:val="11"/>
        </w:numPr>
        <w:spacing w:line="360" w:lineRule="auto"/>
        <w:ind w:left="0" w:firstLine="0"/>
        <w:jc w:val="both"/>
        <w:rPr>
          <w:szCs w:val="28"/>
        </w:rPr>
      </w:pPr>
      <w:r w:rsidRPr="002349A1">
        <w:rPr>
          <w:szCs w:val="28"/>
        </w:rPr>
        <w:t>In the SOD, the plaintiff claims HK$500,000 under this head.</w:t>
      </w:r>
    </w:p>
    <w:p w:rsidR="008B20A2" w:rsidRDefault="008B20A2" w:rsidP="0019154F">
      <w:pPr>
        <w:pStyle w:val="ListParagraph"/>
        <w:spacing w:line="360" w:lineRule="auto"/>
        <w:ind w:left="0"/>
        <w:jc w:val="both"/>
        <w:rPr>
          <w:szCs w:val="28"/>
        </w:rPr>
      </w:pPr>
    </w:p>
    <w:p w:rsidR="002349A1" w:rsidRDefault="002349A1" w:rsidP="0019154F">
      <w:pPr>
        <w:pStyle w:val="ListParagraph"/>
        <w:numPr>
          <w:ilvl w:val="0"/>
          <w:numId w:val="11"/>
        </w:numPr>
        <w:spacing w:line="360" w:lineRule="auto"/>
        <w:ind w:left="0" w:firstLine="0"/>
        <w:jc w:val="both"/>
        <w:rPr>
          <w:szCs w:val="28"/>
        </w:rPr>
      </w:pPr>
      <w:r w:rsidRPr="008B20A2">
        <w:rPr>
          <w:szCs w:val="28"/>
        </w:rPr>
        <w:lastRenderedPageBreak/>
        <w:t xml:space="preserve">This </w:t>
      </w:r>
      <w:r w:rsidR="008B20A2">
        <w:rPr>
          <w:szCs w:val="28"/>
        </w:rPr>
        <w:t>c</w:t>
      </w:r>
      <w:r w:rsidRPr="008B20A2">
        <w:rPr>
          <w:szCs w:val="28"/>
        </w:rPr>
        <w:t>ourt finds the following cases, which involved either subluxation or fracture of the coccyx, are comparable to a degree to the present case:</w:t>
      </w:r>
      <w:r w:rsidR="008B20A2">
        <w:rPr>
          <w:szCs w:val="28"/>
        </w:rPr>
        <w:t>-</w:t>
      </w:r>
    </w:p>
    <w:p w:rsidR="008B20A2" w:rsidRPr="008B20A2" w:rsidRDefault="008B20A2" w:rsidP="0019154F">
      <w:pPr>
        <w:pStyle w:val="ListParagraph"/>
        <w:spacing w:line="360" w:lineRule="auto"/>
        <w:ind w:left="0"/>
        <w:jc w:val="both"/>
        <w:rPr>
          <w:szCs w:val="28"/>
        </w:rPr>
      </w:pPr>
    </w:p>
    <w:p w:rsidR="002349A1" w:rsidRPr="0019154F" w:rsidRDefault="002349A1" w:rsidP="0019154F">
      <w:pPr>
        <w:pStyle w:val="ListParagraph"/>
        <w:numPr>
          <w:ilvl w:val="0"/>
          <w:numId w:val="13"/>
        </w:numPr>
        <w:spacing w:line="360" w:lineRule="auto"/>
        <w:ind w:left="2160" w:hanging="720"/>
        <w:jc w:val="both"/>
        <w:rPr>
          <w:rFonts w:eastAsia="PMingLiU"/>
          <w:szCs w:val="28"/>
        </w:rPr>
      </w:pPr>
      <w:r w:rsidRPr="0019154F">
        <w:rPr>
          <w:rFonts w:eastAsia="PMingLiU"/>
          <w:i/>
          <w:iCs/>
          <w:szCs w:val="28"/>
        </w:rPr>
        <w:t>Lau Li Wing v Secretary for Justice</w:t>
      </w:r>
      <w:r w:rsidRPr="0019154F">
        <w:rPr>
          <w:rFonts w:eastAsia="PMingLiU"/>
          <w:szCs w:val="28"/>
        </w:rPr>
        <w:t>, HCPI 481/1996, 29 October 1999 – HK$500,000;</w:t>
      </w:r>
    </w:p>
    <w:p w:rsidR="008B20A2" w:rsidRPr="0019154F" w:rsidRDefault="008B20A2" w:rsidP="0019154F">
      <w:pPr>
        <w:pStyle w:val="ListParagraph"/>
        <w:spacing w:line="360" w:lineRule="auto"/>
        <w:ind w:left="2160"/>
        <w:jc w:val="both"/>
        <w:rPr>
          <w:rFonts w:eastAsia="PMingLiU"/>
          <w:szCs w:val="28"/>
        </w:rPr>
      </w:pPr>
    </w:p>
    <w:p w:rsidR="008B20A2" w:rsidRPr="0019154F" w:rsidRDefault="002349A1" w:rsidP="0019154F">
      <w:pPr>
        <w:pStyle w:val="ListParagraph"/>
        <w:numPr>
          <w:ilvl w:val="0"/>
          <w:numId w:val="13"/>
        </w:numPr>
        <w:spacing w:line="360" w:lineRule="auto"/>
        <w:ind w:left="2160" w:hanging="720"/>
        <w:jc w:val="both"/>
        <w:rPr>
          <w:rFonts w:eastAsia="PMingLiU"/>
          <w:szCs w:val="28"/>
        </w:rPr>
      </w:pPr>
      <w:r w:rsidRPr="0019154F">
        <w:rPr>
          <w:rFonts w:eastAsia="PMingLiU"/>
          <w:i/>
          <w:iCs/>
          <w:szCs w:val="28"/>
        </w:rPr>
        <w:t>Law Ka Fong v Best City Limited</w:t>
      </w:r>
      <w:r w:rsidRPr="0019154F">
        <w:rPr>
          <w:rFonts w:eastAsia="PMingLiU"/>
          <w:szCs w:val="28"/>
        </w:rPr>
        <w:t>,</w:t>
      </w:r>
      <w:r w:rsidRPr="0019154F">
        <w:rPr>
          <w:rFonts w:eastAsia="PMingLiU"/>
          <w:i/>
          <w:iCs/>
          <w:szCs w:val="28"/>
        </w:rPr>
        <w:t xml:space="preserve"> </w:t>
      </w:r>
      <w:r w:rsidRPr="0019154F">
        <w:rPr>
          <w:rFonts w:eastAsia="PMingLiU"/>
          <w:szCs w:val="28"/>
        </w:rPr>
        <w:t>HCPI 436/2004, 27 May 2005 – HK$300,000;</w:t>
      </w:r>
    </w:p>
    <w:p w:rsidR="008B20A2" w:rsidRPr="0019154F" w:rsidRDefault="008B20A2" w:rsidP="0019154F">
      <w:pPr>
        <w:spacing w:line="360" w:lineRule="auto"/>
        <w:jc w:val="both"/>
        <w:rPr>
          <w:rFonts w:eastAsia="PMingLiU"/>
          <w:szCs w:val="28"/>
        </w:rPr>
      </w:pPr>
    </w:p>
    <w:p w:rsidR="002349A1" w:rsidRPr="0019154F" w:rsidRDefault="002349A1" w:rsidP="0019154F">
      <w:pPr>
        <w:pStyle w:val="ListParagraph"/>
        <w:numPr>
          <w:ilvl w:val="0"/>
          <w:numId w:val="13"/>
        </w:numPr>
        <w:spacing w:line="360" w:lineRule="auto"/>
        <w:ind w:left="2160" w:hanging="720"/>
        <w:jc w:val="both"/>
        <w:rPr>
          <w:rFonts w:eastAsia="PMingLiU"/>
          <w:szCs w:val="28"/>
        </w:rPr>
      </w:pPr>
      <w:r w:rsidRPr="0019154F">
        <w:rPr>
          <w:rFonts w:eastAsia="PMingLiU"/>
          <w:i/>
          <w:iCs/>
          <w:szCs w:val="28"/>
        </w:rPr>
        <w:t>Chan Kwei Duen v East Country Company Limited</w:t>
      </w:r>
      <w:r w:rsidR="00A4352D">
        <w:rPr>
          <w:rFonts w:eastAsia="PMingLiU"/>
          <w:i/>
          <w:iCs/>
          <w:szCs w:val="28"/>
        </w:rPr>
        <w:t xml:space="preserve"> </w:t>
      </w:r>
      <w:r w:rsidR="00A4352D">
        <w:rPr>
          <w:rFonts w:eastAsiaTheme="minorEastAsia"/>
          <w:i/>
          <w:iCs/>
          <w:szCs w:val="28"/>
        </w:rPr>
        <w:t>trading as Gold River Vietnamese Food Shop</w:t>
      </w:r>
      <w:r w:rsidRPr="0019154F">
        <w:rPr>
          <w:rFonts w:eastAsia="PMingLiU"/>
          <w:szCs w:val="28"/>
        </w:rPr>
        <w:t>, DCPI 665/2005, 3 February 2006 – HK$200,000;</w:t>
      </w:r>
    </w:p>
    <w:p w:rsidR="008B20A2" w:rsidRPr="0019154F" w:rsidRDefault="008B20A2" w:rsidP="0019154F">
      <w:pPr>
        <w:spacing w:line="360" w:lineRule="auto"/>
        <w:jc w:val="both"/>
        <w:rPr>
          <w:rFonts w:eastAsia="PMingLiU"/>
          <w:szCs w:val="28"/>
        </w:rPr>
      </w:pPr>
    </w:p>
    <w:p w:rsidR="002349A1" w:rsidRPr="0019154F" w:rsidRDefault="002349A1" w:rsidP="0019154F">
      <w:pPr>
        <w:pStyle w:val="ListParagraph"/>
        <w:numPr>
          <w:ilvl w:val="0"/>
          <w:numId w:val="13"/>
        </w:numPr>
        <w:spacing w:line="360" w:lineRule="auto"/>
        <w:ind w:left="2160" w:hanging="720"/>
        <w:jc w:val="both"/>
        <w:rPr>
          <w:rFonts w:eastAsia="PMingLiU"/>
          <w:szCs w:val="28"/>
        </w:rPr>
      </w:pPr>
      <w:r w:rsidRPr="0019154F">
        <w:rPr>
          <w:rFonts w:eastAsia="PMingLiU"/>
          <w:i/>
          <w:iCs/>
          <w:szCs w:val="28"/>
        </w:rPr>
        <w:t>Leung Lee Jasmine v Go Fresh (Hong Kong) Company Limited</w:t>
      </w:r>
      <w:r w:rsidRPr="0019154F">
        <w:rPr>
          <w:rFonts w:eastAsia="PMingLiU"/>
          <w:szCs w:val="28"/>
        </w:rPr>
        <w:t>,</w:t>
      </w:r>
      <w:r w:rsidRPr="0019154F">
        <w:rPr>
          <w:rFonts w:eastAsia="PMingLiU"/>
          <w:i/>
          <w:iCs/>
          <w:szCs w:val="28"/>
        </w:rPr>
        <w:t xml:space="preserve"> </w:t>
      </w:r>
      <w:r w:rsidRPr="0019154F">
        <w:rPr>
          <w:rFonts w:eastAsia="PMingLiU"/>
          <w:szCs w:val="28"/>
        </w:rPr>
        <w:t>DCPI 2425/2014, 28 October 2016 – HK$350,000;</w:t>
      </w:r>
    </w:p>
    <w:p w:rsidR="0019154F" w:rsidRPr="0019154F" w:rsidRDefault="0019154F" w:rsidP="0019154F">
      <w:pPr>
        <w:spacing w:line="360" w:lineRule="auto"/>
        <w:jc w:val="both"/>
        <w:rPr>
          <w:rFonts w:eastAsia="PMingLiU"/>
          <w:szCs w:val="28"/>
        </w:rPr>
      </w:pPr>
    </w:p>
    <w:p w:rsidR="002349A1" w:rsidRPr="0019154F" w:rsidRDefault="002349A1" w:rsidP="0019154F">
      <w:pPr>
        <w:pStyle w:val="ListParagraph"/>
        <w:numPr>
          <w:ilvl w:val="0"/>
          <w:numId w:val="13"/>
        </w:numPr>
        <w:spacing w:line="360" w:lineRule="auto"/>
        <w:ind w:left="2160" w:hanging="720"/>
        <w:jc w:val="both"/>
        <w:rPr>
          <w:rFonts w:eastAsia="PMingLiU"/>
          <w:szCs w:val="28"/>
        </w:rPr>
      </w:pPr>
      <w:r w:rsidRPr="0019154F">
        <w:rPr>
          <w:rFonts w:eastAsia="PMingLiU"/>
          <w:i/>
          <w:iCs/>
          <w:szCs w:val="28"/>
        </w:rPr>
        <w:t xml:space="preserve">Wu Lai Shun v Chan Kwai Yu trading as </w:t>
      </w:r>
      <w:r w:rsidRPr="0019154F">
        <w:rPr>
          <w:rFonts w:eastAsia="PMingLiU"/>
          <w:i/>
          <w:iCs/>
          <w:szCs w:val="28"/>
        </w:rPr>
        <w:t>匯隆食品批發公司</w:t>
      </w:r>
      <w:r w:rsidRPr="0019154F">
        <w:rPr>
          <w:rFonts w:eastAsia="PMingLiU"/>
          <w:szCs w:val="28"/>
        </w:rPr>
        <w:t>, DCPI 3618/2019, 13 January 2022 – HK$300,000</w:t>
      </w:r>
      <w:r w:rsidR="0019154F">
        <w:rPr>
          <w:rFonts w:eastAsia="PMingLiU"/>
          <w:szCs w:val="28"/>
        </w:rPr>
        <w:t>.</w:t>
      </w:r>
    </w:p>
    <w:p w:rsidR="002349A1" w:rsidRPr="0019154F" w:rsidRDefault="002349A1" w:rsidP="0019154F">
      <w:pPr>
        <w:spacing w:line="360" w:lineRule="auto"/>
        <w:jc w:val="both"/>
        <w:rPr>
          <w:rFonts w:eastAsia="PMingLiU"/>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The PSLA awarded in those 5 cases ranged from HK$200,000 to HK$500,000.</w:t>
      </w:r>
      <w:r w:rsidR="0019154F">
        <w:rPr>
          <w:szCs w:val="28"/>
        </w:rPr>
        <w:t xml:space="preserve"> </w:t>
      </w:r>
      <w:r w:rsidRPr="002349A1">
        <w:rPr>
          <w:szCs w:val="28"/>
        </w:rPr>
        <w:t xml:space="preserve"> Having considered them, I think the PSLA in the present case is less serious than that in </w:t>
      </w:r>
      <w:r w:rsidRPr="002349A1">
        <w:rPr>
          <w:i/>
          <w:iCs/>
          <w:szCs w:val="28"/>
        </w:rPr>
        <w:t>Lau Ka Fong</w:t>
      </w:r>
      <w:r w:rsidRPr="002349A1">
        <w:rPr>
          <w:szCs w:val="28"/>
        </w:rPr>
        <w:t xml:space="preserve">, </w:t>
      </w:r>
      <w:r w:rsidRPr="002349A1">
        <w:rPr>
          <w:i/>
          <w:iCs/>
          <w:szCs w:val="28"/>
        </w:rPr>
        <w:t>Leung Lee Jasmine</w:t>
      </w:r>
      <w:r w:rsidRPr="002349A1">
        <w:rPr>
          <w:szCs w:val="28"/>
        </w:rPr>
        <w:t xml:space="preserve"> and </w:t>
      </w:r>
      <w:r w:rsidRPr="002349A1">
        <w:rPr>
          <w:rFonts w:eastAsia="Songti TC"/>
          <w:i/>
          <w:iCs/>
          <w:szCs w:val="28"/>
        </w:rPr>
        <w:t>Wu Lai Shun</w:t>
      </w:r>
      <w:r w:rsidRPr="002349A1">
        <w:rPr>
          <w:rFonts w:eastAsia="Songti TC"/>
          <w:szCs w:val="28"/>
        </w:rPr>
        <w:t>, and more comparable to</w:t>
      </w:r>
      <w:r w:rsidRPr="002349A1">
        <w:rPr>
          <w:rFonts w:eastAsia="Songti TC"/>
          <w:i/>
          <w:iCs/>
          <w:szCs w:val="28"/>
        </w:rPr>
        <w:t xml:space="preserve"> Chan Kwei Duen</w:t>
      </w:r>
      <w:r w:rsidRPr="002349A1">
        <w:rPr>
          <w:rFonts w:eastAsia="Songti TC"/>
          <w:szCs w:val="28"/>
        </w:rPr>
        <w:t>.</w:t>
      </w:r>
    </w:p>
    <w:p w:rsidR="002349A1" w:rsidRPr="002349A1" w:rsidRDefault="002349A1" w:rsidP="0019154F">
      <w:pPr>
        <w:spacing w:line="360" w:lineRule="auto"/>
        <w:jc w:val="both"/>
        <w:rPr>
          <w:szCs w:val="28"/>
        </w:rPr>
      </w:pPr>
    </w:p>
    <w:p w:rsidR="002349A1" w:rsidRPr="002349A1" w:rsidRDefault="002349A1" w:rsidP="0012016C">
      <w:pPr>
        <w:pStyle w:val="ListParagraph"/>
        <w:keepNext/>
        <w:keepLines/>
        <w:widowControl w:val="0"/>
        <w:numPr>
          <w:ilvl w:val="0"/>
          <w:numId w:val="11"/>
        </w:numPr>
        <w:spacing w:line="360" w:lineRule="auto"/>
        <w:ind w:left="0" w:firstLine="0"/>
        <w:jc w:val="both"/>
        <w:rPr>
          <w:szCs w:val="28"/>
        </w:rPr>
      </w:pPr>
      <w:r w:rsidRPr="002349A1">
        <w:rPr>
          <w:szCs w:val="28"/>
        </w:rPr>
        <w:lastRenderedPageBreak/>
        <w:t xml:space="preserve">In my judgment, given the nature of the plaintiff’s injury and the treatments underwent by her, a fair and reasonable award for PSLA should be at $250,000 after taking into account inflation. </w:t>
      </w:r>
      <w:r w:rsidR="0012016C">
        <w:rPr>
          <w:szCs w:val="28"/>
        </w:rPr>
        <w:t xml:space="preserve"> </w:t>
      </w:r>
      <w:r w:rsidRPr="002349A1">
        <w:rPr>
          <w:szCs w:val="28"/>
        </w:rPr>
        <w:t>I award such sum as damages for PSLA accordingly.</w:t>
      </w:r>
    </w:p>
    <w:p w:rsidR="002349A1" w:rsidRPr="002349A1" w:rsidRDefault="002349A1" w:rsidP="0019154F">
      <w:pPr>
        <w:spacing w:line="360" w:lineRule="auto"/>
        <w:jc w:val="both"/>
        <w:rPr>
          <w:szCs w:val="28"/>
        </w:rPr>
      </w:pPr>
    </w:p>
    <w:p w:rsidR="002349A1" w:rsidRDefault="002349A1" w:rsidP="0019154F">
      <w:pPr>
        <w:pStyle w:val="ListParagraph"/>
        <w:spacing w:line="360" w:lineRule="auto"/>
        <w:ind w:left="0"/>
        <w:jc w:val="both"/>
        <w:rPr>
          <w:i/>
          <w:szCs w:val="28"/>
        </w:rPr>
      </w:pPr>
      <w:r w:rsidRPr="002349A1">
        <w:rPr>
          <w:i/>
          <w:szCs w:val="28"/>
        </w:rPr>
        <w:t>Pre-trial loss of earnings and MPF</w:t>
      </w:r>
    </w:p>
    <w:p w:rsidR="0019154F" w:rsidRPr="002349A1" w:rsidRDefault="0019154F" w:rsidP="0019154F">
      <w:pPr>
        <w:pStyle w:val="ListParagraph"/>
        <w:spacing w:line="360" w:lineRule="auto"/>
        <w:ind w:left="0"/>
        <w:jc w:val="both"/>
        <w:rPr>
          <w:i/>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Prior to the incident, the plaintiff was a housewife and occasionally worked as a part-time supermarket assistant with an average monthly earning of about HK$5,603.98. </w:t>
      </w:r>
      <w:r w:rsidR="0019154F">
        <w:rPr>
          <w:szCs w:val="28"/>
        </w:rPr>
        <w:t xml:space="preserve"> </w:t>
      </w:r>
      <w:r w:rsidRPr="002349A1">
        <w:rPr>
          <w:szCs w:val="28"/>
        </w:rPr>
        <w:t xml:space="preserve">As a result of the incident, the plaintiff was granted sick leave intermittently for the period from 23 March 2016 to 9 January 2019 for a total of 84 days. </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The plaintiff then started to work as a station assistant intermittently from December 2016 to May 2019 with an average monthly earning of about $10,628.50.</w:t>
      </w:r>
      <w:r w:rsidR="0019154F">
        <w:rPr>
          <w:szCs w:val="28"/>
        </w:rPr>
        <w:t xml:space="preserve"> </w:t>
      </w:r>
      <w:r w:rsidRPr="002349A1">
        <w:rPr>
          <w:szCs w:val="28"/>
        </w:rPr>
        <w:t xml:space="preserve"> The plaintiff was dismissed in April/May 2019 in light of her residual injuries.</w:t>
      </w:r>
      <w:r w:rsidR="0019154F">
        <w:rPr>
          <w:szCs w:val="28"/>
        </w:rPr>
        <w:t xml:space="preserve"> </w:t>
      </w:r>
      <w:r w:rsidRPr="002349A1">
        <w:rPr>
          <w:szCs w:val="28"/>
        </w:rPr>
        <w:t xml:space="preserve"> Based on the oral evidence of the plaintiff, she remained unemployed until January 2022. </w:t>
      </w:r>
    </w:p>
    <w:p w:rsidR="002349A1" w:rsidRPr="002349A1" w:rsidRDefault="002349A1" w:rsidP="0019154F">
      <w:pPr>
        <w:spacing w:line="360" w:lineRule="auto"/>
        <w:jc w:val="both"/>
        <w:rPr>
          <w:szCs w:val="28"/>
        </w:rPr>
      </w:pPr>
    </w:p>
    <w:p w:rsidR="002349A1" w:rsidRDefault="002349A1" w:rsidP="0019154F">
      <w:pPr>
        <w:pStyle w:val="ListParagraph"/>
        <w:numPr>
          <w:ilvl w:val="0"/>
          <w:numId w:val="11"/>
        </w:numPr>
        <w:spacing w:line="360" w:lineRule="auto"/>
        <w:ind w:left="0" w:firstLine="0"/>
        <w:jc w:val="both"/>
        <w:rPr>
          <w:szCs w:val="28"/>
        </w:rPr>
      </w:pPr>
      <w:r w:rsidRPr="002349A1">
        <w:rPr>
          <w:szCs w:val="28"/>
        </w:rPr>
        <w:t>In the SOD, the plaintiff claims that:-</w:t>
      </w:r>
    </w:p>
    <w:p w:rsidR="0019154F" w:rsidRPr="002349A1" w:rsidRDefault="0019154F" w:rsidP="0019154F">
      <w:pPr>
        <w:pStyle w:val="ListParagraph"/>
        <w:spacing w:line="360" w:lineRule="auto"/>
        <w:ind w:left="0"/>
        <w:jc w:val="both"/>
        <w:rPr>
          <w:szCs w:val="28"/>
        </w:rPr>
      </w:pPr>
    </w:p>
    <w:p w:rsidR="002349A1" w:rsidRPr="0019154F" w:rsidRDefault="002349A1" w:rsidP="0019154F">
      <w:pPr>
        <w:pStyle w:val="ListParagraph"/>
        <w:numPr>
          <w:ilvl w:val="0"/>
          <w:numId w:val="14"/>
        </w:numPr>
        <w:spacing w:line="360" w:lineRule="auto"/>
        <w:ind w:left="2160" w:hanging="720"/>
        <w:jc w:val="both"/>
        <w:rPr>
          <w:szCs w:val="28"/>
        </w:rPr>
      </w:pPr>
      <w:r w:rsidRPr="002349A1">
        <w:rPr>
          <w:szCs w:val="28"/>
        </w:rPr>
        <w:t>F</w:t>
      </w:r>
      <w:r w:rsidRPr="002349A1">
        <w:rPr>
          <w:szCs w:val="28"/>
          <w:lang w:eastAsia="zh-HK"/>
        </w:rPr>
        <w:t xml:space="preserve">rom </w:t>
      </w:r>
      <w:r w:rsidRPr="002349A1">
        <w:rPr>
          <w:szCs w:val="28"/>
        </w:rPr>
        <w:t xml:space="preserve">23 March 2016 to 9 January 2019 (sick leave period), the plaintiff was unable to work and claims for pre-trial loss of earnings and loss of MPF: HK$5,603.98 x 2.8 months x 1.05 = </w:t>
      </w:r>
      <w:r w:rsidRPr="002349A1">
        <w:rPr>
          <w:bCs/>
          <w:szCs w:val="28"/>
        </w:rPr>
        <w:t>HK$16,475.70</w:t>
      </w:r>
      <w:r w:rsidRPr="002349A1">
        <w:rPr>
          <w:bCs/>
          <w:szCs w:val="28"/>
          <w:lang w:eastAsia="zh-HK"/>
        </w:rPr>
        <w:t>;</w:t>
      </w:r>
    </w:p>
    <w:p w:rsidR="0019154F" w:rsidRPr="002349A1" w:rsidRDefault="0019154F" w:rsidP="0019154F">
      <w:pPr>
        <w:pStyle w:val="ListParagraph"/>
        <w:spacing w:line="360" w:lineRule="auto"/>
        <w:ind w:left="2160"/>
        <w:jc w:val="both"/>
        <w:rPr>
          <w:szCs w:val="28"/>
        </w:rPr>
      </w:pPr>
    </w:p>
    <w:p w:rsidR="002349A1" w:rsidRPr="002349A1" w:rsidRDefault="002349A1" w:rsidP="0012016C">
      <w:pPr>
        <w:pStyle w:val="ListParagraph"/>
        <w:keepNext/>
        <w:keepLines/>
        <w:widowControl w:val="0"/>
        <w:numPr>
          <w:ilvl w:val="0"/>
          <w:numId w:val="14"/>
        </w:numPr>
        <w:spacing w:line="360" w:lineRule="auto"/>
        <w:ind w:left="2160" w:hanging="720"/>
        <w:jc w:val="both"/>
        <w:rPr>
          <w:szCs w:val="28"/>
        </w:rPr>
      </w:pPr>
      <w:r w:rsidRPr="002349A1">
        <w:rPr>
          <w:szCs w:val="28"/>
        </w:rPr>
        <w:lastRenderedPageBreak/>
        <w:t>F</w:t>
      </w:r>
      <w:r w:rsidRPr="002349A1">
        <w:rPr>
          <w:szCs w:val="28"/>
          <w:lang w:eastAsia="zh-HK"/>
        </w:rPr>
        <w:t xml:space="preserve">rom </w:t>
      </w:r>
      <w:r w:rsidRPr="002349A1">
        <w:rPr>
          <w:szCs w:val="28"/>
        </w:rPr>
        <w:t xml:space="preserve">April 2019 to the notional trial date, the plaintiff remained unemployed and claims for pre-trial loss of earnings and loss of MPF: HK$10,628.50 x 35 months x 1.05 = </w:t>
      </w:r>
      <w:r w:rsidR="000878DD">
        <w:rPr>
          <w:bCs/>
          <w:szCs w:val="28"/>
        </w:rPr>
        <w:t>HK$390,597.38</w:t>
      </w:r>
      <w:r w:rsidRPr="002349A1">
        <w:rPr>
          <w:bCs/>
          <w:szCs w:val="28"/>
        </w:rPr>
        <w:t>.</w:t>
      </w:r>
    </w:p>
    <w:p w:rsidR="002349A1" w:rsidRPr="002349A1" w:rsidRDefault="002349A1" w:rsidP="0019154F">
      <w:pPr>
        <w:spacing w:line="360" w:lineRule="auto"/>
        <w:jc w:val="both"/>
        <w:rPr>
          <w:bCs/>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Based on the oral evidence of the plaintiff, the unemployment period would be from April 2019 to January 2022 making the pre-trial loss of earnings and loss of MPF: HK$10,628.50 x 32 months x 1.05 = </w:t>
      </w:r>
      <w:r w:rsidRPr="002349A1">
        <w:rPr>
          <w:bCs/>
          <w:szCs w:val="28"/>
        </w:rPr>
        <w:t>HK$357,117.60.</w:t>
      </w:r>
    </w:p>
    <w:p w:rsidR="002349A1" w:rsidRPr="002349A1" w:rsidRDefault="002349A1" w:rsidP="0019154F">
      <w:pPr>
        <w:spacing w:line="360" w:lineRule="auto"/>
        <w:jc w:val="both"/>
        <w:rPr>
          <w:bCs/>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I accept that the total pre-trial loss of earnings and loss of MPF is in the sum of HK$373,593.30 (</w:t>
      </w:r>
      <w:r w:rsidRPr="002349A1">
        <w:rPr>
          <w:bCs/>
          <w:szCs w:val="28"/>
        </w:rPr>
        <w:t>HK$16,475.70 + HK$357,117.60</w:t>
      </w:r>
      <w:r w:rsidRPr="002349A1">
        <w:rPr>
          <w:szCs w:val="28"/>
        </w:rPr>
        <w:t>) and I award such sum accordingly.</w:t>
      </w:r>
    </w:p>
    <w:p w:rsidR="002349A1" w:rsidRPr="002349A1" w:rsidRDefault="002349A1" w:rsidP="0019154F">
      <w:pPr>
        <w:spacing w:line="360" w:lineRule="auto"/>
        <w:jc w:val="both"/>
        <w:rPr>
          <w:szCs w:val="28"/>
        </w:rPr>
      </w:pPr>
    </w:p>
    <w:p w:rsidR="002349A1" w:rsidRDefault="002349A1" w:rsidP="0019154F">
      <w:pPr>
        <w:pStyle w:val="ListParagraph"/>
        <w:spacing w:line="360" w:lineRule="auto"/>
        <w:ind w:left="0"/>
        <w:jc w:val="both"/>
        <w:rPr>
          <w:i/>
          <w:szCs w:val="28"/>
        </w:rPr>
      </w:pPr>
      <w:r w:rsidRPr="002349A1">
        <w:rPr>
          <w:i/>
          <w:szCs w:val="28"/>
        </w:rPr>
        <w:t>Special damages</w:t>
      </w:r>
    </w:p>
    <w:p w:rsidR="0019154F" w:rsidRPr="002349A1" w:rsidRDefault="0019154F" w:rsidP="0019154F">
      <w:pPr>
        <w:pStyle w:val="ListParagraph"/>
        <w:spacing w:line="360" w:lineRule="auto"/>
        <w:ind w:left="0"/>
        <w:jc w:val="both"/>
        <w:rPr>
          <w:i/>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In the SOD, the plaintiff claims HK$99,140 for medical expenses, HK$5,000 for travelling expenses, HK$5,000 for tonic food expenses and $4,619 for medical equipment. </w:t>
      </w:r>
    </w:p>
    <w:p w:rsidR="002349A1" w:rsidRPr="002349A1" w:rsidRDefault="002349A1" w:rsidP="0019154F">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 xml:space="preserve">The plaintiff has produced receipts for the medical expenses and medical equipment. </w:t>
      </w:r>
      <w:r w:rsidR="0019154F">
        <w:rPr>
          <w:szCs w:val="28"/>
        </w:rPr>
        <w:t xml:space="preserve"> </w:t>
      </w:r>
      <w:r w:rsidRPr="002349A1">
        <w:rPr>
          <w:szCs w:val="28"/>
        </w:rPr>
        <w:t>As to the travelling and tonic food expenses, I</w:t>
      </w:r>
      <w:r w:rsidR="00AC0256">
        <w:rPr>
          <w:szCs w:val="28"/>
        </w:rPr>
        <w:t> </w:t>
      </w:r>
      <w:r w:rsidRPr="002349A1">
        <w:rPr>
          <w:szCs w:val="28"/>
        </w:rPr>
        <w:t xml:space="preserve">accept that those were sums reasonably incurred and should be allowed in full. </w:t>
      </w:r>
      <w:r w:rsidR="00AC0256">
        <w:rPr>
          <w:szCs w:val="28"/>
        </w:rPr>
        <w:t xml:space="preserve"> </w:t>
      </w:r>
      <w:r w:rsidRPr="002349A1">
        <w:rPr>
          <w:szCs w:val="28"/>
        </w:rPr>
        <w:t>I therefore award her loss under this head at HK$113,759.</w:t>
      </w:r>
    </w:p>
    <w:p w:rsidR="002349A1" w:rsidRPr="002349A1" w:rsidRDefault="002349A1" w:rsidP="0019154F">
      <w:pPr>
        <w:spacing w:line="360" w:lineRule="auto"/>
        <w:jc w:val="both"/>
        <w:rPr>
          <w:szCs w:val="28"/>
        </w:rPr>
      </w:pPr>
    </w:p>
    <w:p w:rsidR="002349A1" w:rsidRDefault="002349A1" w:rsidP="0012016C">
      <w:pPr>
        <w:pStyle w:val="ListParagraph"/>
        <w:keepNext/>
        <w:keepLines/>
        <w:widowControl w:val="0"/>
        <w:spacing w:line="360" w:lineRule="auto"/>
        <w:ind w:left="0"/>
        <w:jc w:val="both"/>
        <w:rPr>
          <w:i/>
          <w:szCs w:val="28"/>
        </w:rPr>
      </w:pPr>
      <w:r w:rsidRPr="002349A1">
        <w:rPr>
          <w:i/>
          <w:szCs w:val="28"/>
        </w:rPr>
        <w:lastRenderedPageBreak/>
        <w:t>Award of damages</w:t>
      </w:r>
    </w:p>
    <w:p w:rsidR="0019154F" w:rsidRPr="002349A1" w:rsidRDefault="0019154F" w:rsidP="0012016C">
      <w:pPr>
        <w:pStyle w:val="ListParagraph"/>
        <w:keepNext/>
        <w:keepLines/>
        <w:widowControl w:val="0"/>
        <w:spacing w:line="360" w:lineRule="auto"/>
        <w:ind w:left="0"/>
        <w:jc w:val="both"/>
        <w:rPr>
          <w:i/>
          <w:szCs w:val="28"/>
        </w:rPr>
      </w:pPr>
    </w:p>
    <w:p w:rsidR="002349A1" w:rsidRPr="002349A1" w:rsidRDefault="002349A1" w:rsidP="0012016C">
      <w:pPr>
        <w:pStyle w:val="ListParagraph"/>
        <w:keepNext/>
        <w:keepLines/>
        <w:widowControl w:val="0"/>
        <w:numPr>
          <w:ilvl w:val="0"/>
          <w:numId w:val="11"/>
        </w:numPr>
        <w:spacing w:line="360" w:lineRule="auto"/>
        <w:ind w:left="0" w:firstLine="0"/>
        <w:jc w:val="both"/>
        <w:rPr>
          <w:szCs w:val="28"/>
        </w:rPr>
      </w:pPr>
      <w:r w:rsidRPr="002349A1">
        <w:rPr>
          <w:szCs w:val="28"/>
        </w:rPr>
        <w:t>Hence, the amount of damages is awarded as follows:-</w:t>
      </w:r>
    </w:p>
    <w:p w:rsidR="002349A1" w:rsidRPr="002349A1" w:rsidRDefault="002349A1" w:rsidP="0012016C">
      <w:pPr>
        <w:keepNext/>
        <w:keepLines/>
        <w:widowControl w:val="0"/>
        <w:spacing w:line="360" w:lineRule="auto"/>
        <w:jc w:val="both"/>
        <w:rPr>
          <w:szCs w:val="28"/>
        </w:rPr>
      </w:pPr>
    </w:p>
    <w:p w:rsidR="002349A1" w:rsidRDefault="0019154F" w:rsidP="0012016C">
      <w:pPr>
        <w:pStyle w:val="ListParagraph"/>
        <w:keepNext/>
        <w:keepLines/>
        <w:widowControl w:val="0"/>
        <w:tabs>
          <w:tab w:val="decimal" w:pos="7920"/>
        </w:tabs>
        <w:spacing w:line="360" w:lineRule="auto"/>
        <w:ind w:left="0"/>
        <w:jc w:val="both"/>
        <w:rPr>
          <w:szCs w:val="28"/>
        </w:rPr>
      </w:pPr>
      <w:r>
        <w:rPr>
          <w:szCs w:val="28"/>
        </w:rPr>
        <w:tab/>
      </w:r>
      <w:r w:rsidR="002349A1" w:rsidRPr="002349A1">
        <w:rPr>
          <w:szCs w:val="28"/>
        </w:rPr>
        <w:t>PSLA</w:t>
      </w:r>
      <w:r w:rsidR="002349A1" w:rsidRPr="002349A1">
        <w:rPr>
          <w:szCs w:val="28"/>
        </w:rPr>
        <w:tab/>
      </w:r>
      <w:r>
        <w:rPr>
          <w:szCs w:val="28"/>
        </w:rPr>
        <w:tab/>
      </w:r>
      <w:r w:rsidR="002349A1" w:rsidRPr="002349A1">
        <w:rPr>
          <w:szCs w:val="28"/>
        </w:rPr>
        <w:t>HK$250,000</w:t>
      </w:r>
      <w:r>
        <w:rPr>
          <w:szCs w:val="28"/>
        </w:rPr>
        <w:t>.00</w:t>
      </w:r>
    </w:p>
    <w:p w:rsidR="002349A1" w:rsidRPr="002349A1" w:rsidRDefault="0019154F" w:rsidP="0019154F">
      <w:pPr>
        <w:pStyle w:val="ListParagraph"/>
        <w:keepNext/>
        <w:keepLines/>
        <w:widowControl w:val="0"/>
        <w:spacing w:line="360" w:lineRule="auto"/>
        <w:ind w:left="0"/>
        <w:jc w:val="both"/>
        <w:rPr>
          <w:szCs w:val="28"/>
        </w:rPr>
      </w:pPr>
      <w:r>
        <w:rPr>
          <w:szCs w:val="28"/>
        </w:rPr>
        <w:tab/>
      </w:r>
      <w:r w:rsidR="002349A1" w:rsidRPr="002349A1">
        <w:rPr>
          <w:szCs w:val="28"/>
        </w:rPr>
        <w:t>Pre-trial loss of earnings and MPF</w:t>
      </w:r>
      <w:r w:rsidR="002349A1" w:rsidRPr="002349A1">
        <w:rPr>
          <w:szCs w:val="28"/>
        </w:rPr>
        <w:tab/>
        <w:t>HK$373,593.30</w:t>
      </w:r>
    </w:p>
    <w:p w:rsidR="002349A1" w:rsidRDefault="0019154F" w:rsidP="0019154F">
      <w:pPr>
        <w:pStyle w:val="ListParagraph"/>
        <w:keepNext/>
        <w:keepLines/>
        <w:widowControl w:val="0"/>
        <w:ind w:left="0"/>
        <w:jc w:val="both"/>
        <w:rPr>
          <w:szCs w:val="28"/>
        </w:rPr>
      </w:pPr>
      <w:r>
        <w:rPr>
          <w:szCs w:val="28"/>
        </w:rPr>
        <w:tab/>
      </w:r>
      <w:r w:rsidR="002349A1" w:rsidRPr="002349A1">
        <w:rPr>
          <w:szCs w:val="28"/>
        </w:rPr>
        <w:t>Special damages</w:t>
      </w:r>
      <w:r w:rsidR="002349A1" w:rsidRPr="002349A1">
        <w:rPr>
          <w:szCs w:val="28"/>
        </w:rPr>
        <w:tab/>
      </w:r>
      <w:r w:rsidR="002349A1" w:rsidRPr="002349A1">
        <w:rPr>
          <w:szCs w:val="28"/>
        </w:rPr>
        <w:tab/>
        <w:t>HK$113,759</w:t>
      </w:r>
      <w:r>
        <w:rPr>
          <w:szCs w:val="28"/>
        </w:rPr>
        <w:t>.00</w:t>
      </w:r>
    </w:p>
    <w:p w:rsidR="0019154F" w:rsidRDefault="0019154F" w:rsidP="0019154F">
      <w:pPr>
        <w:pStyle w:val="ListParagraph"/>
        <w:keepNext/>
        <w:keepLines/>
        <w:widowControl w:val="0"/>
        <w:tabs>
          <w:tab w:val="clear" w:pos="1440"/>
          <w:tab w:val="clear" w:pos="4320"/>
          <w:tab w:val="left" w:pos="6480"/>
        </w:tabs>
        <w:ind w:left="0"/>
        <w:jc w:val="both"/>
        <w:rPr>
          <w:szCs w:val="28"/>
        </w:rPr>
      </w:pPr>
      <w:r>
        <w:rPr>
          <w:szCs w:val="28"/>
        </w:rPr>
        <w:tab/>
        <w:t>_____________</w:t>
      </w:r>
    </w:p>
    <w:p w:rsidR="002349A1" w:rsidRPr="002349A1" w:rsidRDefault="0019154F" w:rsidP="0019154F">
      <w:pPr>
        <w:pStyle w:val="ListParagraph"/>
        <w:keepNext/>
        <w:keepLines/>
        <w:widowControl w:val="0"/>
        <w:tabs>
          <w:tab w:val="clear" w:pos="4320"/>
          <w:tab w:val="left" w:pos="6480"/>
        </w:tabs>
        <w:ind w:left="0"/>
        <w:jc w:val="both"/>
        <w:rPr>
          <w:szCs w:val="28"/>
        </w:rPr>
      </w:pPr>
      <w:r>
        <w:rPr>
          <w:szCs w:val="28"/>
        </w:rPr>
        <w:tab/>
      </w:r>
      <w:r>
        <w:rPr>
          <w:szCs w:val="28"/>
        </w:rPr>
        <w:tab/>
      </w:r>
      <w:r w:rsidR="002349A1" w:rsidRPr="002349A1">
        <w:rPr>
          <w:szCs w:val="28"/>
        </w:rPr>
        <w:t>HK$737,352.30</w:t>
      </w:r>
    </w:p>
    <w:p w:rsidR="002349A1" w:rsidRPr="002349A1" w:rsidRDefault="002349A1" w:rsidP="002349A1">
      <w:pPr>
        <w:spacing w:line="360" w:lineRule="auto"/>
        <w:jc w:val="both"/>
        <w:rPr>
          <w:szCs w:val="28"/>
        </w:rPr>
      </w:pPr>
    </w:p>
    <w:p w:rsidR="002349A1" w:rsidRPr="002349A1" w:rsidRDefault="002349A1" w:rsidP="002349A1">
      <w:pPr>
        <w:pStyle w:val="ListParagraph"/>
        <w:numPr>
          <w:ilvl w:val="0"/>
          <w:numId w:val="11"/>
        </w:numPr>
        <w:spacing w:line="360" w:lineRule="auto"/>
        <w:ind w:left="0" w:firstLine="0"/>
        <w:jc w:val="both"/>
        <w:rPr>
          <w:szCs w:val="28"/>
        </w:rPr>
      </w:pPr>
      <w:r w:rsidRPr="002349A1">
        <w:rPr>
          <w:szCs w:val="28"/>
        </w:rPr>
        <w:t>The plaintiff is entitled to interest at the following rates:-</w:t>
      </w:r>
    </w:p>
    <w:p w:rsidR="002349A1" w:rsidRPr="002349A1" w:rsidRDefault="002349A1" w:rsidP="002349A1">
      <w:pPr>
        <w:spacing w:line="360" w:lineRule="auto"/>
        <w:jc w:val="both"/>
        <w:rPr>
          <w:szCs w:val="28"/>
        </w:rPr>
      </w:pPr>
    </w:p>
    <w:p w:rsidR="002349A1" w:rsidRPr="002349A1" w:rsidRDefault="002349A1" w:rsidP="0019154F">
      <w:pPr>
        <w:pStyle w:val="ListParagraph"/>
        <w:numPr>
          <w:ilvl w:val="0"/>
          <w:numId w:val="15"/>
        </w:numPr>
        <w:spacing w:line="360" w:lineRule="auto"/>
        <w:ind w:left="2160" w:hanging="720"/>
        <w:jc w:val="both"/>
        <w:rPr>
          <w:szCs w:val="28"/>
        </w:rPr>
      </w:pPr>
      <w:r w:rsidRPr="002349A1">
        <w:rPr>
          <w:szCs w:val="28"/>
        </w:rPr>
        <w:t>At 2% per annum for general damages from date of writ to date of judgment and thereafter at judgment rate until payment in full;</w:t>
      </w:r>
    </w:p>
    <w:p w:rsidR="002349A1" w:rsidRPr="002349A1" w:rsidRDefault="002349A1" w:rsidP="0019154F">
      <w:pPr>
        <w:spacing w:line="360" w:lineRule="auto"/>
        <w:ind w:left="2160" w:hanging="720"/>
        <w:jc w:val="both"/>
        <w:rPr>
          <w:szCs w:val="28"/>
        </w:rPr>
      </w:pPr>
    </w:p>
    <w:p w:rsidR="002349A1" w:rsidRPr="002349A1" w:rsidRDefault="002349A1" w:rsidP="0019154F">
      <w:pPr>
        <w:pStyle w:val="ListParagraph"/>
        <w:numPr>
          <w:ilvl w:val="0"/>
          <w:numId w:val="15"/>
        </w:numPr>
        <w:spacing w:line="360" w:lineRule="auto"/>
        <w:ind w:left="2160" w:hanging="720"/>
        <w:jc w:val="both"/>
        <w:rPr>
          <w:szCs w:val="28"/>
        </w:rPr>
      </w:pPr>
      <w:r w:rsidRPr="002349A1">
        <w:rPr>
          <w:szCs w:val="28"/>
        </w:rPr>
        <w:t>At half of the judgment rate for special damages from date of incident to date of judgment and thereafter at judgment rate until payment in full.</w:t>
      </w:r>
    </w:p>
    <w:p w:rsidR="002349A1" w:rsidRPr="002349A1" w:rsidRDefault="002349A1" w:rsidP="002349A1">
      <w:pPr>
        <w:spacing w:line="360" w:lineRule="auto"/>
        <w:jc w:val="both"/>
        <w:rPr>
          <w:szCs w:val="28"/>
        </w:rPr>
      </w:pPr>
    </w:p>
    <w:p w:rsidR="002349A1" w:rsidRPr="002349A1" w:rsidRDefault="002349A1" w:rsidP="0019154F">
      <w:pPr>
        <w:pStyle w:val="ListParagraph"/>
        <w:numPr>
          <w:ilvl w:val="0"/>
          <w:numId w:val="11"/>
        </w:numPr>
        <w:spacing w:line="360" w:lineRule="auto"/>
        <w:ind w:left="0" w:firstLine="0"/>
        <w:jc w:val="both"/>
        <w:rPr>
          <w:szCs w:val="28"/>
        </w:rPr>
      </w:pPr>
      <w:r w:rsidRPr="002349A1">
        <w:rPr>
          <w:szCs w:val="28"/>
        </w:rPr>
        <w:t>I make a costs order that the plaintiff do have costs of the action and costs of the assessment, to be taxed if not agreed.</w:t>
      </w:r>
    </w:p>
    <w:p w:rsidR="002349A1" w:rsidRDefault="002349A1" w:rsidP="0019154F">
      <w:pPr>
        <w:tabs>
          <w:tab w:val="left" w:pos="567"/>
        </w:tabs>
        <w:spacing w:line="360" w:lineRule="auto"/>
        <w:rPr>
          <w:szCs w:val="28"/>
        </w:rPr>
      </w:pPr>
    </w:p>
    <w:p w:rsidR="0019154F" w:rsidRPr="00A50F93" w:rsidRDefault="0019154F" w:rsidP="0019154F">
      <w:pPr>
        <w:tabs>
          <w:tab w:val="left" w:pos="567"/>
        </w:tabs>
        <w:spacing w:line="360" w:lineRule="auto"/>
        <w:rPr>
          <w:szCs w:val="28"/>
        </w:rPr>
      </w:pPr>
    </w:p>
    <w:p w:rsidR="002349A1" w:rsidRPr="00A50F93" w:rsidRDefault="002349A1" w:rsidP="002349A1">
      <w:pPr>
        <w:tabs>
          <w:tab w:val="clear" w:pos="4320"/>
          <w:tab w:val="center" w:pos="6480"/>
        </w:tabs>
        <w:jc w:val="both"/>
        <w:rPr>
          <w:szCs w:val="28"/>
        </w:rPr>
      </w:pPr>
      <w:r w:rsidRPr="00A50F93">
        <w:rPr>
          <w:szCs w:val="28"/>
        </w:rPr>
        <w:tab/>
      </w:r>
      <w:r w:rsidRPr="00A50F93">
        <w:rPr>
          <w:szCs w:val="28"/>
        </w:rPr>
        <w:tab/>
      </w:r>
      <w:r w:rsidRPr="00A50F93">
        <w:rPr>
          <w:szCs w:val="28"/>
        </w:rPr>
        <w:tab/>
      </w:r>
      <w:r w:rsidRPr="00A50F93">
        <w:rPr>
          <w:szCs w:val="28"/>
        </w:rPr>
        <w:tab/>
        <w:t>( Eleanor Yeung )</w:t>
      </w:r>
    </w:p>
    <w:p w:rsidR="002349A1" w:rsidRDefault="002349A1" w:rsidP="002349A1">
      <w:pPr>
        <w:tabs>
          <w:tab w:val="clear" w:pos="4320"/>
          <w:tab w:val="center" w:pos="6480"/>
        </w:tabs>
        <w:ind w:left="1980"/>
        <w:jc w:val="both"/>
        <w:rPr>
          <w:szCs w:val="28"/>
        </w:rPr>
      </w:pPr>
      <w:r>
        <w:rPr>
          <w:szCs w:val="28"/>
        </w:rPr>
        <w:tab/>
      </w:r>
      <w:r w:rsidRPr="00A50F93">
        <w:rPr>
          <w:szCs w:val="28"/>
        </w:rPr>
        <w:t>Master</w:t>
      </w:r>
      <w:r w:rsidR="00B50673">
        <w:rPr>
          <w:szCs w:val="28"/>
        </w:rPr>
        <w:t>, District Court</w:t>
      </w:r>
    </w:p>
    <w:p w:rsidR="0019154F" w:rsidRPr="00A50F93" w:rsidRDefault="0019154F" w:rsidP="0012016C">
      <w:pPr>
        <w:tabs>
          <w:tab w:val="center" w:pos="6480"/>
        </w:tabs>
        <w:jc w:val="both"/>
        <w:rPr>
          <w:szCs w:val="28"/>
        </w:rPr>
      </w:pPr>
    </w:p>
    <w:p w:rsidR="00C82786" w:rsidRPr="00F15873" w:rsidRDefault="00C82786" w:rsidP="00C82786">
      <w:pPr>
        <w:tabs>
          <w:tab w:val="left" w:pos="1134"/>
          <w:tab w:val="left" w:pos="2160"/>
        </w:tabs>
        <w:spacing w:line="360" w:lineRule="auto"/>
        <w:rPr>
          <w:szCs w:val="28"/>
        </w:rPr>
      </w:pPr>
      <w:r w:rsidRPr="00A50F93">
        <w:rPr>
          <w:szCs w:val="28"/>
        </w:rPr>
        <w:t xml:space="preserve">The plaintiff </w:t>
      </w:r>
      <w:r>
        <w:rPr>
          <w:szCs w:val="28"/>
        </w:rPr>
        <w:t xml:space="preserve">was not represented and </w:t>
      </w:r>
      <w:r w:rsidRPr="00A50F93">
        <w:rPr>
          <w:szCs w:val="28"/>
        </w:rPr>
        <w:t>appeared in person</w:t>
      </w:r>
    </w:p>
    <w:p w:rsidR="002349A1" w:rsidRPr="00A50F93" w:rsidRDefault="00C82786" w:rsidP="00C82786">
      <w:pPr>
        <w:tabs>
          <w:tab w:val="left" w:pos="1134"/>
          <w:tab w:val="left" w:pos="2160"/>
        </w:tabs>
        <w:spacing w:line="360" w:lineRule="auto"/>
        <w:rPr>
          <w:szCs w:val="28"/>
        </w:rPr>
      </w:pPr>
      <w:r w:rsidRPr="00A50F93">
        <w:rPr>
          <w:szCs w:val="28"/>
        </w:rPr>
        <w:t xml:space="preserve">The defendant </w:t>
      </w:r>
      <w:r>
        <w:rPr>
          <w:szCs w:val="28"/>
        </w:rPr>
        <w:t xml:space="preserve">was not represented and </w:t>
      </w:r>
      <w:r w:rsidRPr="00A50F93">
        <w:rPr>
          <w:szCs w:val="28"/>
        </w:rPr>
        <w:t>appeared in person</w:t>
      </w:r>
    </w:p>
    <w:sectPr w:rsidR="002349A1" w:rsidRPr="00A50F93"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A81" w:rsidRDefault="00A55A81">
      <w:r>
        <w:separator/>
      </w:r>
    </w:p>
  </w:endnote>
  <w:endnote w:type="continuationSeparator" w:id="0">
    <w:p w:rsidR="00A55A81" w:rsidRDefault="00A5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Kaiti TC Regular">
    <w:charset w:val="88"/>
    <w:family w:val="auto"/>
    <w:pitch w:val="variable"/>
    <w:sig w:usb0="80000287" w:usb1="280F3C52" w:usb2="00000016" w:usb3="00000000" w:csb0="001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Songti TC">
    <w:altName w:val="Malgun Gothic Semilight"/>
    <w:charset w:val="88"/>
    <w:family w:val="auto"/>
    <w:pitch w:val="variable"/>
    <w:sig w:usb0="00000000" w:usb1="080F0000" w:usb2="00000010" w:usb3="00000000" w:csb0="001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2681" w:rsidRDefault="00B42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Footer"/>
      <w:framePr w:wrap="around" w:vAnchor="text" w:hAnchor="margin" w:xAlign="right" w:y="1"/>
      <w:rPr>
        <w:rStyle w:val="PageNumber"/>
      </w:rPr>
    </w:pPr>
  </w:p>
  <w:p w:rsidR="00B42681" w:rsidRDefault="00B426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A81" w:rsidRDefault="00A55A81">
      <w:r>
        <w:separator/>
      </w:r>
    </w:p>
  </w:footnote>
  <w:footnote w:type="continuationSeparator" w:id="0">
    <w:p w:rsidR="00A55A81" w:rsidRDefault="00A55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Pr="00782869" w:rsidRDefault="00B42681"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B42681" w:rsidRPr="00782869" w:rsidRDefault="00B42681"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923D2">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B42681" w:rsidRDefault="00B42681">
                    <w:pPr>
                      <w:rPr>
                        <w:rFonts w:eastAsia="黑体"/>
                        <w:b/>
                        <w:sz w:val="18"/>
                      </w:rPr>
                    </w:pPr>
                  </w:p>
                </w:txbxContent>
              </v:textbox>
            </v:shape>
          </w:pict>
        </mc:Fallback>
      </mc:AlternateContent>
    </w:r>
  </w:p>
  <w:p w:rsidR="00B42681" w:rsidRDefault="00B426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26A"/>
    <w:multiLevelType w:val="hybridMultilevel"/>
    <w:tmpl w:val="4306ACF6"/>
    <w:lvl w:ilvl="0" w:tplc="836650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08D5"/>
    <w:multiLevelType w:val="multilevel"/>
    <w:tmpl w:val="E79855EC"/>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rPr>
        <w:rFonts w:hint="default"/>
        <w:b w:val="0"/>
        <w:i w:val="0"/>
        <w:sz w:val="28"/>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15:restartNumberingAfterBreak="0">
    <w:nsid w:val="12AB5DB0"/>
    <w:multiLevelType w:val="hybridMultilevel"/>
    <w:tmpl w:val="031A58A2"/>
    <w:lvl w:ilvl="0" w:tplc="836650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B7A"/>
    <w:multiLevelType w:val="hybridMultilevel"/>
    <w:tmpl w:val="94DE8FD2"/>
    <w:lvl w:ilvl="0" w:tplc="836650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D42E6"/>
    <w:multiLevelType w:val="multilevel"/>
    <w:tmpl w:val="8C9A892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5" w15:restartNumberingAfterBreak="0">
    <w:nsid w:val="2A9C626A"/>
    <w:multiLevelType w:val="hybridMultilevel"/>
    <w:tmpl w:val="0C2EBD68"/>
    <w:lvl w:ilvl="0" w:tplc="E910A53E">
      <w:start w:val="1"/>
      <w:numFmt w:val="decimal"/>
      <w:lvlText w:val="%1."/>
      <w:lvlJc w:val="left"/>
      <w:pPr>
        <w:ind w:left="3479" w:hanging="360"/>
      </w:pPr>
      <w:rPr>
        <w:rFonts w:ascii="Times New Roman" w:eastAsia="Kaiti TC Regular" w:hAnsi="Times New Roman" w:cs="Times New Roman" w:hint="default"/>
        <w:b w:val="0"/>
        <w:color w:val="000000"/>
      </w:rPr>
    </w:lvl>
    <w:lvl w:ilvl="1" w:tplc="0B3C6D78">
      <w:start w:val="1"/>
      <w:numFmt w:val="lowerLetter"/>
      <w:lvlText w:val="(%2)"/>
      <w:lvlJc w:val="left"/>
      <w:pPr>
        <w:ind w:left="1800" w:hanging="720"/>
      </w:pPr>
      <w:rPr>
        <w:rFonts w:hint="default"/>
      </w:rPr>
    </w:lvl>
    <w:lvl w:ilvl="2" w:tplc="F7BA3504">
      <w:start w:val="1"/>
      <w:numFmt w:val="decimal"/>
      <w:lvlText w:val="(%3)"/>
      <w:lvlJc w:val="left"/>
      <w:pPr>
        <w:ind w:left="2380" w:hanging="40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C417B"/>
    <w:multiLevelType w:val="hybridMultilevel"/>
    <w:tmpl w:val="8976FF60"/>
    <w:lvl w:ilvl="0" w:tplc="05944192">
      <w:start w:val="1"/>
      <w:numFmt w:val="decimal"/>
      <w:lvlText w:val="%1."/>
      <w:lvlJc w:val="righ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B3A7C"/>
    <w:multiLevelType w:val="multilevel"/>
    <w:tmpl w:val="2688B06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8" w15:restartNumberingAfterBreak="0">
    <w:nsid w:val="4C03539D"/>
    <w:multiLevelType w:val="multilevel"/>
    <w:tmpl w:val="EA9277A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9" w15:restartNumberingAfterBreak="0">
    <w:nsid w:val="4F3738D6"/>
    <w:multiLevelType w:val="hybridMultilevel"/>
    <w:tmpl w:val="3AD200C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B7503"/>
    <w:multiLevelType w:val="hybridMultilevel"/>
    <w:tmpl w:val="8288174E"/>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E6E80"/>
    <w:multiLevelType w:val="hybridMultilevel"/>
    <w:tmpl w:val="B3901194"/>
    <w:lvl w:ilvl="0" w:tplc="C950B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54178"/>
    <w:multiLevelType w:val="hybridMultilevel"/>
    <w:tmpl w:val="AC888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978BE"/>
    <w:multiLevelType w:val="multilevel"/>
    <w:tmpl w:val="AB0C831A"/>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4" w15:restartNumberingAfterBreak="0">
    <w:nsid w:val="726D00B5"/>
    <w:multiLevelType w:val="hybridMultilevel"/>
    <w:tmpl w:val="B8AA0324"/>
    <w:lvl w:ilvl="0" w:tplc="836650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3"/>
  </w:num>
  <w:num w:numId="5">
    <w:abstractNumId w:val="4"/>
  </w:num>
  <w:num w:numId="6">
    <w:abstractNumId w:val="9"/>
  </w:num>
  <w:num w:numId="7">
    <w:abstractNumId w:val="5"/>
  </w:num>
  <w:num w:numId="8">
    <w:abstractNumId w:val="11"/>
  </w:num>
  <w:num w:numId="9">
    <w:abstractNumId w:val="10"/>
  </w:num>
  <w:num w:numId="10">
    <w:abstractNumId w:val="6"/>
  </w:num>
  <w:num w:numId="11">
    <w:abstractNumId w:val="12"/>
  </w:num>
  <w:num w:numId="12">
    <w:abstractNumId w:val="0"/>
  </w:num>
  <w:num w:numId="13">
    <w:abstractNumId w:val="2"/>
  </w:num>
  <w:num w:numId="14">
    <w:abstractNumId w:val="14"/>
  </w:num>
  <w:num w:numId="1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6211F"/>
    <w:rsid w:val="00076217"/>
    <w:rsid w:val="00076C1B"/>
    <w:rsid w:val="000878DD"/>
    <w:rsid w:val="000941F8"/>
    <w:rsid w:val="00096AFC"/>
    <w:rsid w:val="000D11B0"/>
    <w:rsid w:val="000D7535"/>
    <w:rsid w:val="000E5161"/>
    <w:rsid w:val="0011138D"/>
    <w:rsid w:val="00117723"/>
    <w:rsid w:val="001179CE"/>
    <w:rsid w:val="0012016C"/>
    <w:rsid w:val="00145B6A"/>
    <w:rsid w:val="00166FC5"/>
    <w:rsid w:val="00172037"/>
    <w:rsid w:val="001763C1"/>
    <w:rsid w:val="0017795E"/>
    <w:rsid w:val="00183AAF"/>
    <w:rsid w:val="0018729A"/>
    <w:rsid w:val="0019154F"/>
    <w:rsid w:val="00193D13"/>
    <w:rsid w:val="00194689"/>
    <w:rsid w:val="00196A91"/>
    <w:rsid w:val="001A0A4F"/>
    <w:rsid w:val="001A3CE1"/>
    <w:rsid w:val="001A58BE"/>
    <w:rsid w:val="001B54BD"/>
    <w:rsid w:val="001C0AA8"/>
    <w:rsid w:val="001D3239"/>
    <w:rsid w:val="001D455F"/>
    <w:rsid w:val="001D7B95"/>
    <w:rsid w:val="001E07A2"/>
    <w:rsid w:val="001F0871"/>
    <w:rsid w:val="001F5516"/>
    <w:rsid w:val="0020117E"/>
    <w:rsid w:val="002142E7"/>
    <w:rsid w:val="002225E2"/>
    <w:rsid w:val="00223BB1"/>
    <w:rsid w:val="00226A53"/>
    <w:rsid w:val="002272C4"/>
    <w:rsid w:val="00227A49"/>
    <w:rsid w:val="002349A1"/>
    <w:rsid w:val="0023569D"/>
    <w:rsid w:val="00245D70"/>
    <w:rsid w:val="002519DA"/>
    <w:rsid w:val="0025689F"/>
    <w:rsid w:val="00264B28"/>
    <w:rsid w:val="00264B63"/>
    <w:rsid w:val="00266A94"/>
    <w:rsid w:val="0027494E"/>
    <w:rsid w:val="00276737"/>
    <w:rsid w:val="00295D2D"/>
    <w:rsid w:val="002B0D71"/>
    <w:rsid w:val="002B2679"/>
    <w:rsid w:val="002B4359"/>
    <w:rsid w:val="002B4BEC"/>
    <w:rsid w:val="002B5195"/>
    <w:rsid w:val="002B54AB"/>
    <w:rsid w:val="002C2C86"/>
    <w:rsid w:val="002D6F2F"/>
    <w:rsid w:val="002E44A3"/>
    <w:rsid w:val="002E44FF"/>
    <w:rsid w:val="002E4875"/>
    <w:rsid w:val="002E4E8C"/>
    <w:rsid w:val="002F03F8"/>
    <w:rsid w:val="00301AB1"/>
    <w:rsid w:val="0030210D"/>
    <w:rsid w:val="0030302E"/>
    <w:rsid w:val="00306388"/>
    <w:rsid w:val="00306D24"/>
    <w:rsid w:val="00314529"/>
    <w:rsid w:val="00320D36"/>
    <w:rsid w:val="00334AD4"/>
    <w:rsid w:val="00336372"/>
    <w:rsid w:val="00342BFE"/>
    <w:rsid w:val="00343054"/>
    <w:rsid w:val="0035109D"/>
    <w:rsid w:val="003557EC"/>
    <w:rsid w:val="0036307C"/>
    <w:rsid w:val="00367485"/>
    <w:rsid w:val="00381F96"/>
    <w:rsid w:val="0038458C"/>
    <w:rsid w:val="0038513F"/>
    <w:rsid w:val="00386187"/>
    <w:rsid w:val="0038665C"/>
    <w:rsid w:val="00393063"/>
    <w:rsid w:val="003A1178"/>
    <w:rsid w:val="003A2D3E"/>
    <w:rsid w:val="003B1033"/>
    <w:rsid w:val="003B159B"/>
    <w:rsid w:val="003B44D8"/>
    <w:rsid w:val="003C03C9"/>
    <w:rsid w:val="003D08E7"/>
    <w:rsid w:val="003D3FA5"/>
    <w:rsid w:val="003D4343"/>
    <w:rsid w:val="003D46D5"/>
    <w:rsid w:val="003E1AB7"/>
    <w:rsid w:val="003E266C"/>
    <w:rsid w:val="003E46D3"/>
    <w:rsid w:val="003E7AF4"/>
    <w:rsid w:val="00412AE2"/>
    <w:rsid w:val="004162F1"/>
    <w:rsid w:val="0042260D"/>
    <w:rsid w:val="00427824"/>
    <w:rsid w:val="00430695"/>
    <w:rsid w:val="00430CF6"/>
    <w:rsid w:val="00437467"/>
    <w:rsid w:val="004534E7"/>
    <w:rsid w:val="00460919"/>
    <w:rsid w:val="00477AF3"/>
    <w:rsid w:val="004845FA"/>
    <w:rsid w:val="00484629"/>
    <w:rsid w:val="004945FD"/>
    <w:rsid w:val="0049505E"/>
    <w:rsid w:val="004A454E"/>
    <w:rsid w:val="004A4C89"/>
    <w:rsid w:val="004A7F0A"/>
    <w:rsid w:val="004B5413"/>
    <w:rsid w:val="004D0B36"/>
    <w:rsid w:val="004D3A0D"/>
    <w:rsid w:val="004F7853"/>
    <w:rsid w:val="005039B9"/>
    <w:rsid w:val="0051788F"/>
    <w:rsid w:val="005222CE"/>
    <w:rsid w:val="005254AF"/>
    <w:rsid w:val="00526268"/>
    <w:rsid w:val="00533EE7"/>
    <w:rsid w:val="00534706"/>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90048"/>
    <w:rsid w:val="0059343B"/>
    <w:rsid w:val="005951C6"/>
    <w:rsid w:val="005A1700"/>
    <w:rsid w:val="005A3B2C"/>
    <w:rsid w:val="005B0253"/>
    <w:rsid w:val="005B1222"/>
    <w:rsid w:val="005B4BCB"/>
    <w:rsid w:val="005C4424"/>
    <w:rsid w:val="005D3B85"/>
    <w:rsid w:val="005D6090"/>
    <w:rsid w:val="005D7638"/>
    <w:rsid w:val="005E7AB0"/>
    <w:rsid w:val="00603A55"/>
    <w:rsid w:val="006044EC"/>
    <w:rsid w:val="0061346F"/>
    <w:rsid w:val="00620CF1"/>
    <w:rsid w:val="00622F0C"/>
    <w:rsid w:val="00623A7B"/>
    <w:rsid w:val="00626118"/>
    <w:rsid w:val="006318B6"/>
    <w:rsid w:val="006467E8"/>
    <w:rsid w:val="00647B3F"/>
    <w:rsid w:val="006513AC"/>
    <w:rsid w:val="00656233"/>
    <w:rsid w:val="00657246"/>
    <w:rsid w:val="006620E2"/>
    <w:rsid w:val="00670923"/>
    <w:rsid w:val="006709A1"/>
    <w:rsid w:val="006719A3"/>
    <w:rsid w:val="006748A8"/>
    <w:rsid w:val="006813EB"/>
    <w:rsid w:val="00681755"/>
    <w:rsid w:val="006852B2"/>
    <w:rsid w:val="006917AD"/>
    <w:rsid w:val="0069190C"/>
    <w:rsid w:val="00692EA1"/>
    <w:rsid w:val="00694A05"/>
    <w:rsid w:val="006A73A6"/>
    <w:rsid w:val="006B139E"/>
    <w:rsid w:val="006B1CD3"/>
    <w:rsid w:val="006B4C51"/>
    <w:rsid w:val="006B65E1"/>
    <w:rsid w:val="006D2487"/>
    <w:rsid w:val="006D5231"/>
    <w:rsid w:val="006D5EED"/>
    <w:rsid w:val="006D6BE0"/>
    <w:rsid w:val="006E39C1"/>
    <w:rsid w:val="006E3AF5"/>
    <w:rsid w:val="006E50EF"/>
    <w:rsid w:val="006F4D01"/>
    <w:rsid w:val="00703530"/>
    <w:rsid w:val="00705942"/>
    <w:rsid w:val="0071154D"/>
    <w:rsid w:val="007121AE"/>
    <w:rsid w:val="00722A44"/>
    <w:rsid w:val="00751CC6"/>
    <w:rsid w:val="00753815"/>
    <w:rsid w:val="0075530A"/>
    <w:rsid w:val="00763B70"/>
    <w:rsid w:val="007659EE"/>
    <w:rsid w:val="00766A6B"/>
    <w:rsid w:val="007813BB"/>
    <w:rsid w:val="00782869"/>
    <w:rsid w:val="00785AAB"/>
    <w:rsid w:val="0078739A"/>
    <w:rsid w:val="0078792B"/>
    <w:rsid w:val="00790B13"/>
    <w:rsid w:val="007914C8"/>
    <w:rsid w:val="007A03B2"/>
    <w:rsid w:val="007A2E8D"/>
    <w:rsid w:val="007A3B6B"/>
    <w:rsid w:val="007C3D9E"/>
    <w:rsid w:val="007C4DBE"/>
    <w:rsid w:val="007D5378"/>
    <w:rsid w:val="007D5BC0"/>
    <w:rsid w:val="007E64DF"/>
    <w:rsid w:val="007F0FBF"/>
    <w:rsid w:val="007F76C7"/>
    <w:rsid w:val="00806EB0"/>
    <w:rsid w:val="0080725D"/>
    <w:rsid w:val="0081485E"/>
    <w:rsid w:val="00824994"/>
    <w:rsid w:val="008336A9"/>
    <w:rsid w:val="00834F78"/>
    <w:rsid w:val="008358B9"/>
    <w:rsid w:val="0083760E"/>
    <w:rsid w:val="008426C3"/>
    <w:rsid w:val="00844DC1"/>
    <w:rsid w:val="00854FE0"/>
    <w:rsid w:val="008753AA"/>
    <w:rsid w:val="00876103"/>
    <w:rsid w:val="00880A98"/>
    <w:rsid w:val="00881196"/>
    <w:rsid w:val="00884539"/>
    <w:rsid w:val="008922A2"/>
    <w:rsid w:val="008928DF"/>
    <w:rsid w:val="00892FBE"/>
    <w:rsid w:val="008A3C2E"/>
    <w:rsid w:val="008B20A2"/>
    <w:rsid w:val="008D0535"/>
    <w:rsid w:val="008E0FB9"/>
    <w:rsid w:val="008F04E0"/>
    <w:rsid w:val="008F0934"/>
    <w:rsid w:val="00905A64"/>
    <w:rsid w:val="00916BFA"/>
    <w:rsid w:val="009221AC"/>
    <w:rsid w:val="00925725"/>
    <w:rsid w:val="00926EEE"/>
    <w:rsid w:val="00927CF8"/>
    <w:rsid w:val="00935FCD"/>
    <w:rsid w:val="00940E12"/>
    <w:rsid w:val="00952F6C"/>
    <w:rsid w:val="00954B22"/>
    <w:rsid w:val="00956A55"/>
    <w:rsid w:val="009579DE"/>
    <w:rsid w:val="00973192"/>
    <w:rsid w:val="00987F37"/>
    <w:rsid w:val="0099248E"/>
    <w:rsid w:val="009A5B36"/>
    <w:rsid w:val="009B1A59"/>
    <w:rsid w:val="009B2C6C"/>
    <w:rsid w:val="009B5048"/>
    <w:rsid w:val="009C1D79"/>
    <w:rsid w:val="009C7627"/>
    <w:rsid w:val="009D7804"/>
    <w:rsid w:val="009E0CE5"/>
    <w:rsid w:val="009F272F"/>
    <w:rsid w:val="009F3158"/>
    <w:rsid w:val="00A078FD"/>
    <w:rsid w:val="00A12715"/>
    <w:rsid w:val="00A17077"/>
    <w:rsid w:val="00A244EC"/>
    <w:rsid w:val="00A2565D"/>
    <w:rsid w:val="00A31429"/>
    <w:rsid w:val="00A3387E"/>
    <w:rsid w:val="00A35EE0"/>
    <w:rsid w:val="00A370F8"/>
    <w:rsid w:val="00A4148A"/>
    <w:rsid w:val="00A4352D"/>
    <w:rsid w:val="00A46AE4"/>
    <w:rsid w:val="00A51629"/>
    <w:rsid w:val="00A55A81"/>
    <w:rsid w:val="00A64F2D"/>
    <w:rsid w:val="00A65CD7"/>
    <w:rsid w:val="00A75C31"/>
    <w:rsid w:val="00A83BD4"/>
    <w:rsid w:val="00A86AA5"/>
    <w:rsid w:val="00A876FC"/>
    <w:rsid w:val="00A91142"/>
    <w:rsid w:val="00A96576"/>
    <w:rsid w:val="00AA4C95"/>
    <w:rsid w:val="00AB1D02"/>
    <w:rsid w:val="00AB2250"/>
    <w:rsid w:val="00AC0256"/>
    <w:rsid w:val="00AC3289"/>
    <w:rsid w:val="00AC7F5E"/>
    <w:rsid w:val="00AE5169"/>
    <w:rsid w:val="00AF3114"/>
    <w:rsid w:val="00AF78C5"/>
    <w:rsid w:val="00AF7929"/>
    <w:rsid w:val="00B050A7"/>
    <w:rsid w:val="00B0779D"/>
    <w:rsid w:val="00B07DCF"/>
    <w:rsid w:val="00B24B7A"/>
    <w:rsid w:val="00B261C4"/>
    <w:rsid w:val="00B2689B"/>
    <w:rsid w:val="00B31E8D"/>
    <w:rsid w:val="00B37BBD"/>
    <w:rsid w:val="00B42681"/>
    <w:rsid w:val="00B50673"/>
    <w:rsid w:val="00B52925"/>
    <w:rsid w:val="00B52BF7"/>
    <w:rsid w:val="00B62226"/>
    <w:rsid w:val="00B63226"/>
    <w:rsid w:val="00B66220"/>
    <w:rsid w:val="00B72E14"/>
    <w:rsid w:val="00B7766E"/>
    <w:rsid w:val="00B82A72"/>
    <w:rsid w:val="00B92CE8"/>
    <w:rsid w:val="00BA1F51"/>
    <w:rsid w:val="00BA2AB4"/>
    <w:rsid w:val="00BA4E04"/>
    <w:rsid w:val="00BA7EEA"/>
    <w:rsid w:val="00BB3622"/>
    <w:rsid w:val="00BD30A9"/>
    <w:rsid w:val="00BE50BF"/>
    <w:rsid w:val="00BE61A8"/>
    <w:rsid w:val="00BE6C7A"/>
    <w:rsid w:val="00BF273C"/>
    <w:rsid w:val="00BF278B"/>
    <w:rsid w:val="00C01FA4"/>
    <w:rsid w:val="00C100F7"/>
    <w:rsid w:val="00C117B2"/>
    <w:rsid w:val="00C12491"/>
    <w:rsid w:val="00C17E0C"/>
    <w:rsid w:val="00C31690"/>
    <w:rsid w:val="00C374EB"/>
    <w:rsid w:val="00C42263"/>
    <w:rsid w:val="00C465F1"/>
    <w:rsid w:val="00C52CC0"/>
    <w:rsid w:val="00C67F37"/>
    <w:rsid w:val="00C70512"/>
    <w:rsid w:val="00C706C0"/>
    <w:rsid w:val="00C82786"/>
    <w:rsid w:val="00C829CD"/>
    <w:rsid w:val="00C915A6"/>
    <w:rsid w:val="00C95A3A"/>
    <w:rsid w:val="00CA2BAA"/>
    <w:rsid w:val="00CB022D"/>
    <w:rsid w:val="00CB142A"/>
    <w:rsid w:val="00CC56BB"/>
    <w:rsid w:val="00CD0622"/>
    <w:rsid w:val="00CE4388"/>
    <w:rsid w:val="00CE6639"/>
    <w:rsid w:val="00CF440B"/>
    <w:rsid w:val="00D03280"/>
    <w:rsid w:val="00D068FC"/>
    <w:rsid w:val="00D10578"/>
    <w:rsid w:val="00D14F95"/>
    <w:rsid w:val="00D15715"/>
    <w:rsid w:val="00D16329"/>
    <w:rsid w:val="00D1675D"/>
    <w:rsid w:val="00D22F03"/>
    <w:rsid w:val="00D25B40"/>
    <w:rsid w:val="00D267C0"/>
    <w:rsid w:val="00D35EB2"/>
    <w:rsid w:val="00D36B37"/>
    <w:rsid w:val="00D43C4B"/>
    <w:rsid w:val="00D51181"/>
    <w:rsid w:val="00D66434"/>
    <w:rsid w:val="00D71B8F"/>
    <w:rsid w:val="00D71C74"/>
    <w:rsid w:val="00D8130E"/>
    <w:rsid w:val="00D819A1"/>
    <w:rsid w:val="00D85D93"/>
    <w:rsid w:val="00D86678"/>
    <w:rsid w:val="00D923D2"/>
    <w:rsid w:val="00D92887"/>
    <w:rsid w:val="00D934A6"/>
    <w:rsid w:val="00D94B1D"/>
    <w:rsid w:val="00DA3A3E"/>
    <w:rsid w:val="00DB7C70"/>
    <w:rsid w:val="00DE21A0"/>
    <w:rsid w:val="00DE4A53"/>
    <w:rsid w:val="00DE4E29"/>
    <w:rsid w:val="00DF2E6D"/>
    <w:rsid w:val="00DF58D8"/>
    <w:rsid w:val="00E009DB"/>
    <w:rsid w:val="00E03289"/>
    <w:rsid w:val="00E0514F"/>
    <w:rsid w:val="00E12A46"/>
    <w:rsid w:val="00E13A7C"/>
    <w:rsid w:val="00E153D3"/>
    <w:rsid w:val="00E202F4"/>
    <w:rsid w:val="00E2544B"/>
    <w:rsid w:val="00E2679A"/>
    <w:rsid w:val="00E34B91"/>
    <w:rsid w:val="00E3672C"/>
    <w:rsid w:val="00E45362"/>
    <w:rsid w:val="00E4647D"/>
    <w:rsid w:val="00E5076E"/>
    <w:rsid w:val="00E57644"/>
    <w:rsid w:val="00E750F6"/>
    <w:rsid w:val="00E769C8"/>
    <w:rsid w:val="00E77B6B"/>
    <w:rsid w:val="00E834F5"/>
    <w:rsid w:val="00E90FE6"/>
    <w:rsid w:val="00E919F4"/>
    <w:rsid w:val="00E971D6"/>
    <w:rsid w:val="00EA0999"/>
    <w:rsid w:val="00EA26CF"/>
    <w:rsid w:val="00EA6709"/>
    <w:rsid w:val="00EC4454"/>
    <w:rsid w:val="00EC7E3F"/>
    <w:rsid w:val="00ED7B3C"/>
    <w:rsid w:val="00EE0047"/>
    <w:rsid w:val="00EE245B"/>
    <w:rsid w:val="00EE5ECB"/>
    <w:rsid w:val="00EF0CD0"/>
    <w:rsid w:val="00EF528F"/>
    <w:rsid w:val="00F00060"/>
    <w:rsid w:val="00F0240A"/>
    <w:rsid w:val="00F15B19"/>
    <w:rsid w:val="00F169F0"/>
    <w:rsid w:val="00F21B5D"/>
    <w:rsid w:val="00F277D5"/>
    <w:rsid w:val="00F40028"/>
    <w:rsid w:val="00F40D2D"/>
    <w:rsid w:val="00F465C5"/>
    <w:rsid w:val="00F47969"/>
    <w:rsid w:val="00F51099"/>
    <w:rsid w:val="00F5366D"/>
    <w:rsid w:val="00F55C71"/>
    <w:rsid w:val="00F57BA0"/>
    <w:rsid w:val="00F603A0"/>
    <w:rsid w:val="00F608D3"/>
    <w:rsid w:val="00F667E5"/>
    <w:rsid w:val="00F77743"/>
    <w:rsid w:val="00F9066C"/>
    <w:rsid w:val="00F936EB"/>
    <w:rsid w:val="00F960CB"/>
    <w:rsid w:val="00FA7069"/>
    <w:rsid w:val="00FB15D0"/>
    <w:rsid w:val="00FB587D"/>
    <w:rsid w:val="00FB72FF"/>
    <w:rsid w:val="00FD5E00"/>
    <w:rsid w:val="00FD6A68"/>
    <w:rsid w:val="00FE056B"/>
    <w:rsid w:val="00FE3890"/>
    <w:rsid w:val="00FE4640"/>
    <w:rsid w:val="00FE6644"/>
    <w:rsid w:val="00FF16F7"/>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AFFD1"/>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4"/>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link w:val="FootnoteText"/>
    <w:uiPriority w:val="99"/>
    <w:semiHidden/>
    <w:rsid w:val="005D7638"/>
  </w:style>
  <w:style w:type="character" w:customStyle="1" w:styleId="Heading9Char">
    <w:name w:val="Heading 9 Char"/>
    <w:link w:val="Heading9"/>
    <w:rsid w:val="002349A1"/>
    <w:rPr>
      <w:rFonts w:ascii="Courier New" w:hAnsi="Courier New"/>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Kaiti TC Regular">
    <w:charset w:val="88"/>
    <w:family w:val="auto"/>
    <w:pitch w:val="variable"/>
    <w:sig w:usb0="80000287" w:usb1="280F3C52" w:usb2="00000016" w:usb3="00000000" w:csb0="001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Songti TC">
    <w:altName w:val="Malgun Gothic Semilight"/>
    <w:charset w:val="88"/>
    <w:family w:val="auto"/>
    <w:pitch w:val="variable"/>
    <w:sig w:usb0="00000000" w:usb1="080F0000" w:usb2="00000010" w:usb3="00000000" w:csb0="001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E3C0D"/>
    <w:rsid w:val="000F2CB4"/>
    <w:rsid w:val="001D6380"/>
    <w:rsid w:val="00246455"/>
    <w:rsid w:val="00287895"/>
    <w:rsid w:val="006004E4"/>
    <w:rsid w:val="00742054"/>
    <w:rsid w:val="00974D86"/>
    <w:rsid w:val="00AB4C00"/>
    <w:rsid w:val="00AF73CC"/>
    <w:rsid w:val="00B33931"/>
    <w:rsid w:val="00B4061C"/>
    <w:rsid w:val="00D32259"/>
    <w:rsid w:val="00DC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0563-6C6A-41EB-B4F6-5AA73DEC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10</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2022-12-22T01:37:00Z</cp:lastPrinted>
  <dcterms:created xsi:type="dcterms:W3CDTF">2022-12-22T01:37:00Z</dcterms:created>
  <dcterms:modified xsi:type="dcterms:W3CDTF">2022-12-22T01:37:00Z</dcterms:modified>
</cp:coreProperties>
</file>