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Default="00A115C2" w:rsidP="00782AE3">
      <w:pPr>
        <w:jc w:val="right"/>
        <w:rPr>
          <w:color w:val="000000"/>
          <w:sz w:val="28"/>
          <w:szCs w:val="28"/>
        </w:rPr>
      </w:pPr>
      <w:r w:rsidRPr="0007522E">
        <w:rPr>
          <w:color w:val="000000"/>
          <w:sz w:val="28"/>
          <w:szCs w:val="28"/>
        </w:rPr>
        <w:t>DC</w:t>
      </w:r>
      <w:r w:rsidR="00B66C3F">
        <w:rPr>
          <w:rFonts w:hint="eastAsia"/>
          <w:color w:val="000000"/>
          <w:sz w:val="28"/>
          <w:szCs w:val="28"/>
        </w:rPr>
        <w:t>PI</w:t>
      </w:r>
      <w:r w:rsidRPr="0007522E">
        <w:rPr>
          <w:rFonts w:eastAsia="PMingLiU"/>
          <w:color w:val="000000"/>
          <w:sz w:val="28"/>
          <w:szCs w:val="28"/>
          <w:lang w:eastAsia="zh-HK"/>
        </w:rPr>
        <w:t xml:space="preserve"> </w:t>
      </w:r>
      <w:r w:rsidR="00AE4884">
        <w:rPr>
          <w:rFonts w:eastAsia="PMingLiU"/>
          <w:color w:val="000000"/>
          <w:sz w:val="28"/>
          <w:szCs w:val="28"/>
          <w:lang w:eastAsia="zh-HK"/>
        </w:rPr>
        <w:t>1218</w:t>
      </w:r>
      <w:r w:rsidR="005E08FA">
        <w:rPr>
          <w:color w:val="000000"/>
          <w:sz w:val="28"/>
          <w:szCs w:val="28"/>
        </w:rPr>
        <w:t>/20</w:t>
      </w:r>
      <w:r w:rsidR="00AE4884">
        <w:rPr>
          <w:color w:val="000000"/>
          <w:sz w:val="28"/>
          <w:szCs w:val="28"/>
        </w:rPr>
        <w:t>19</w:t>
      </w:r>
    </w:p>
    <w:p w:rsidR="001E40F1" w:rsidRDefault="001E40F1" w:rsidP="00782AE3">
      <w:pPr>
        <w:jc w:val="right"/>
        <w:rPr>
          <w:color w:val="000000"/>
          <w:sz w:val="28"/>
          <w:szCs w:val="28"/>
        </w:rPr>
      </w:pPr>
      <w:r w:rsidRPr="001E40F1">
        <w:rPr>
          <w:color w:val="000000"/>
          <w:sz w:val="28"/>
          <w:szCs w:val="28"/>
        </w:rPr>
        <w:t xml:space="preserve">[2021] HKDC </w:t>
      </w:r>
      <w:r w:rsidR="006F3182">
        <w:rPr>
          <w:color w:val="000000"/>
          <w:sz w:val="28"/>
          <w:szCs w:val="28"/>
        </w:rPr>
        <w:t>468</w:t>
      </w:r>
    </w:p>
    <w:p w:rsidR="00816510" w:rsidRPr="000977AC" w:rsidRDefault="00816510" w:rsidP="0007522E">
      <w:pPr>
        <w:spacing w:line="360" w:lineRule="auto"/>
        <w:jc w:val="right"/>
        <w:rPr>
          <w:rFonts w:eastAsia="PMingLiU" w:hint="eastAsia"/>
          <w:color w:val="000000"/>
          <w:sz w:val="28"/>
          <w:szCs w:val="28"/>
          <w:lang w:eastAsia="zh-HK"/>
        </w:rPr>
      </w:pPr>
    </w:p>
    <w:p w:rsidR="005E08FA" w:rsidRDefault="00B616D5" w:rsidP="005E08FA">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005E08FA">
        <w:rPr>
          <w:b/>
          <w:color w:val="000000"/>
          <w:sz w:val="28"/>
          <w:szCs w:val="28"/>
        </w:rPr>
        <w:t xml:space="preserve"> OF THE</w:t>
      </w:r>
    </w:p>
    <w:p w:rsidR="00CA35DE" w:rsidRPr="0007522E" w:rsidRDefault="00B616D5" w:rsidP="005E08FA">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816510">
        <w:rPr>
          <w:color w:val="000000"/>
          <w:sz w:val="28"/>
          <w:szCs w:val="28"/>
        </w:rPr>
        <w:t xml:space="preserve">NO </w:t>
      </w:r>
      <w:r w:rsidR="00AE4884">
        <w:rPr>
          <w:color w:val="000000"/>
          <w:sz w:val="28"/>
          <w:szCs w:val="28"/>
        </w:rPr>
        <w:t>1218</w:t>
      </w:r>
      <w:r w:rsidR="00C744DC">
        <w:rPr>
          <w:color w:val="000000"/>
          <w:sz w:val="28"/>
          <w:szCs w:val="28"/>
        </w:rPr>
        <w:t xml:space="preserve"> </w:t>
      </w:r>
      <w:r w:rsidR="00816510">
        <w:rPr>
          <w:color w:val="000000"/>
          <w:sz w:val="28"/>
          <w:szCs w:val="28"/>
        </w:rPr>
        <w:t>OF 20</w:t>
      </w:r>
      <w:r w:rsidR="00AE4884">
        <w:rPr>
          <w:color w:val="000000"/>
          <w:sz w:val="28"/>
          <w:szCs w:val="28"/>
        </w:rPr>
        <w:t>19</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782AE3" w:rsidRDefault="00782AE3" w:rsidP="00B0490D">
      <w:pPr>
        <w:widowControl/>
        <w:snapToGrid w:val="0"/>
        <w:rPr>
          <w:sz w:val="28"/>
          <w:szCs w:val="28"/>
          <w:lang w:val="en-GB"/>
        </w:rPr>
      </w:pPr>
    </w:p>
    <w:p w:rsidR="00816510" w:rsidRDefault="00816510" w:rsidP="00816510">
      <w:pPr>
        <w:widowControl/>
        <w:snapToGrid w:val="0"/>
        <w:spacing w:after="100"/>
        <w:rPr>
          <w:sz w:val="28"/>
          <w:szCs w:val="28"/>
          <w:lang w:val="en-GB"/>
        </w:rPr>
      </w:pPr>
      <w:r w:rsidRPr="00816510">
        <w:rPr>
          <w:sz w:val="28"/>
          <w:szCs w:val="28"/>
          <w:lang w:val="en-GB"/>
        </w:rPr>
        <w:t>BETWEEN</w:t>
      </w:r>
    </w:p>
    <w:p w:rsidR="00816510" w:rsidRPr="00816510" w:rsidRDefault="00816510" w:rsidP="00816510">
      <w:pPr>
        <w:tabs>
          <w:tab w:val="left" w:pos="900"/>
          <w:tab w:val="center" w:pos="4050"/>
          <w:tab w:val="right" w:pos="8400"/>
        </w:tabs>
        <w:ind w:right="50"/>
        <w:rPr>
          <w:sz w:val="28"/>
          <w:szCs w:val="28"/>
          <w:lang w:eastAsia="zh-TW"/>
        </w:rPr>
      </w:pPr>
      <w:r w:rsidRPr="00816510">
        <w:rPr>
          <w:sz w:val="28"/>
          <w:szCs w:val="28"/>
        </w:rPr>
        <w:tab/>
      </w:r>
      <w:r w:rsidRPr="00816510">
        <w:rPr>
          <w:sz w:val="28"/>
          <w:szCs w:val="28"/>
        </w:rPr>
        <w:tab/>
      </w:r>
      <w:r w:rsidR="004221BE">
        <w:rPr>
          <w:sz w:val="28"/>
          <w:szCs w:val="28"/>
        </w:rPr>
        <w:t>CHAM CHI MING JOIE</w:t>
      </w:r>
      <w:r w:rsidRPr="00816510">
        <w:rPr>
          <w:rFonts w:eastAsia="PMingLiU"/>
          <w:sz w:val="28"/>
          <w:szCs w:val="28"/>
          <w:lang w:val="en-GB"/>
        </w:rPr>
        <w:tab/>
      </w:r>
      <w:r w:rsidRPr="0007522E">
        <w:rPr>
          <w:rFonts w:eastAsia="PMingLiU"/>
          <w:color w:val="000000"/>
          <w:sz w:val="28"/>
          <w:szCs w:val="28"/>
          <w:lang w:eastAsia="zh-HK"/>
        </w:rPr>
        <w:t>Plaintiff</w:t>
      </w:r>
    </w:p>
    <w:p w:rsidR="00816510" w:rsidRPr="00816510" w:rsidRDefault="00816510" w:rsidP="00816510">
      <w:pPr>
        <w:tabs>
          <w:tab w:val="left" w:pos="900"/>
          <w:tab w:val="center" w:pos="4050"/>
          <w:tab w:val="right" w:pos="8400"/>
        </w:tabs>
        <w:spacing w:line="360" w:lineRule="auto"/>
        <w:ind w:right="43"/>
        <w:rPr>
          <w:sz w:val="28"/>
          <w:szCs w:val="28"/>
          <w:lang w:eastAsia="zh-TW"/>
        </w:rPr>
      </w:pPr>
    </w:p>
    <w:p w:rsidR="00816510" w:rsidRPr="00816510" w:rsidRDefault="00816510" w:rsidP="00816510">
      <w:pPr>
        <w:tabs>
          <w:tab w:val="left" w:pos="1710"/>
          <w:tab w:val="left" w:pos="3870"/>
          <w:tab w:val="right" w:pos="8400"/>
        </w:tabs>
        <w:ind w:right="43"/>
        <w:rPr>
          <w:sz w:val="28"/>
          <w:szCs w:val="28"/>
        </w:rPr>
      </w:pPr>
      <w:r w:rsidRPr="00816510">
        <w:rPr>
          <w:sz w:val="28"/>
          <w:szCs w:val="28"/>
        </w:rPr>
        <w:tab/>
      </w:r>
      <w:r w:rsidRPr="00816510">
        <w:rPr>
          <w:sz w:val="28"/>
          <w:szCs w:val="28"/>
        </w:rPr>
        <w:tab/>
        <w:t>and</w:t>
      </w:r>
    </w:p>
    <w:p w:rsidR="00816510" w:rsidRPr="00816510" w:rsidRDefault="00816510" w:rsidP="00816510">
      <w:pPr>
        <w:tabs>
          <w:tab w:val="left" w:pos="1710"/>
          <w:tab w:val="left" w:pos="3870"/>
          <w:tab w:val="right" w:pos="8400"/>
        </w:tabs>
        <w:spacing w:after="120"/>
        <w:ind w:right="43"/>
        <w:rPr>
          <w:sz w:val="28"/>
          <w:szCs w:val="28"/>
        </w:rPr>
      </w:pPr>
    </w:p>
    <w:p w:rsidR="00816510" w:rsidRDefault="00816510" w:rsidP="00816510">
      <w:pPr>
        <w:tabs>
          <w:tab w:val="left" w:pos="900"/>
          <w:tab w:val="center" w:pos="4140"/>
          <w:tab w:val="right" w:pos="8400"/>
        </w:tabs>
        <w:spacing w:after="100"/>
        <w:ind w:left="1714" w:right="43" w:hanging="1714"/>
        <w:rPr>
          <w:color w:val="000000"/>
          <w:sz w:val="28"/>
          <w:szCs w:val="28"/>
        </w:rPr>
      </w:pPr>
      <w:r w:rsidRPr="00816510">
        <w:rPr>
          <w:sz w:val="28"/>
          <w:szCs w:val="28"/>
        </w:rPr>
        <w:tab/>
      </w:r>
      <w:r w:rsidRPr="00816510">
        <w:rPr>
          <w:sz w:val="28"/>
          <w:szCs w:val="28"/>
          <w:lang w:eastAsia="zh-TW"/>
        </w:rPr>
        <w:tab/>
      </w:r>
      <w:r w:rsidRPr="00816510">
        <w:rPr>
          <w:sz w:val="28"/>
          <w:szCs w:val="28"/>
          <w:lang w:eastAsia="zh-TW"/>
        </w:rPr>
        <w:tab/>
      </w:r>
      <w:r w:rsidR="00E32069" w:rsidRPr="00E32069">
        <w:rPr>
          <w:sz w:val="28"/>
          <w:szCs w:val="28"/>
          <w:lang w:eastAsia="zh-TW"/>
        </w:rPr>
        <w:t>SCENIC RESTAURANT</w:t>
      </w:r>
      <w:r>
        <w:rPr>
          <w:sz w:val="28"/>
          <w:szCs w:val="28"/>
        </w:rPr>
        <w:tab/>
      </w:r>
      <w:r w:rsidRPr="0007522E">
        <w:rPr>
          <w:rFonts w:eastAsia="PMingLiU"/>
          <w:color w:val="000000"/>
          <w:sz w:val="28"/>
          <w:szCs w:val="28"/>
          <w:lang w:eastAsia="zh-HK"/>
        </w:rPr>
        <w:t>Defendan</w:t>
      </w:r>
      <w:r w:rsidRPr="0007522E">
        <w:rPr>
          <w:color w:val="000000"/>
          <w:sz w:val="28"/>
          <w:szCs w:val="28"/>
        </w:rPr>
        <w:t>t</w:t>
      </w:r>
    </w:p>
    <w:p w:rsidR="00816510" w:rsidRDefault="00816510" w:rsidP="009D728B">
      <w:pPr>
        <w:tabs>
          <w:tab w:val="left" w:pos="900"/>
          <w:tab w:val="center" w:pos="4140"/>
          <w:tab w:val="right" w:pos="8400"/>
        </w:tabs>
        <w:spacing w:after="100"/>
        <w:ind w:left="1714" w:right="43" w:hanging="1714"/>
        <w:rPr>
          <w:sz w:val="28"/>
          <w:szCs w:val="28"/>
          <w:lang w:eastAsia="zh-TW"/>
        </w:rPr>
      </w:pPr>
      <w:r>
        <w:rPr>
          <w:sz w:val="28"/>
          <w:szCs w:val="28"/>
        </w:rPr>
        <w:tab/>
      </w:r>
      <w:r>
        <w:rPr>
          <w:sz w:val="28"/>
          <w:szCs w:val="28"/>
        </w:rPr>
        <w:tab/>
      </w:r>
      <w:r w:rsidRPr="00816510">
        <w:rPr>
          <w:rFonts w:eastAsia="PMingLiU"/>
          <w:sz w:val="28"/>
          <w:szCs w:val="28"/>
          <w:lang w:val="en-GB"/>
        </w:rPr>
        <w:tab/>
      </w:r>
      <w:r w:rsidR="00E32069" w:rsidRPr="00E32069">
        <w:rPr>
          <w:sz w:val="28"/>
          <w:szCs w:val="28"/>
          <w:lang w:eastAsia="zh-TW"/>
        </w:rPr>
        <w:t xml:space="preserve">operated by 9288 LIMITED  </w:t>
      </w:r>
    </w:p>
    <w:p w:rsidR="009D728B" w:rsidRPr="00816510" w:rsidRDefault="009D728B" w:rsidP="009D728B">
      <w:pPr>
        <w:tabs>
          <w:tab w:val="left" w:pos="900"/>
          <w:tab w:val="center" w:pos="4140"/>
          <w:tab w:val="right" w:pos="8400"/>
        </w:tabs>
        <w:spacing w:after="100"/>
        <w:ind w:left="1714" w:right="43" w:hanging="1714"/>
        <w:rPr>
          <w:sz w:val="28"/>
          <w:szCs w:val="28"/>
          <w:lang w:eastAsia="zh-TW"/>
        </w:rPr>
      </w:pP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sz w:val="28"/>
          <w:szCs w:val="28"/>
        </w:rPr>
        <w:t>:</w:t>
      </w:r>
      <w:r w:rsidR="00973673" w:rsidRPr="0007522E">
        <w:rPr>
          <w:rFonts w:eastAsia="PMingLiU"/>
          <w:sz w:val="28"/>
          <w:szCs w:val="28"/>
          <w:lang w:eastAsia="zh-HK"/>
        </w:rPr>
        <w:t xml:space="preserve"> </w:t>
      </w:r>
      <w:r w:rsidR="00E830AD">
        <w:rPr>
          <w:sz w:val="28"/>
          <w:szCs w:val="28"/>
        </w:rPr>
        <w:t>Master</w:t>
      </w:r>
      <w:r w:rsidRPr="0007522E">
        <w:rPr>
          <w:sz w:val="28"/>
          <w:szCs w:val="28"/>
        </w:rPr>
        <w:t xml:space="preserve"> </w:t>
      </w:r>
      <w:r w:rsidR="00816510">
        <w:rPr>
          <w:sz w:val="28"/>
          <w:szCs w:val="28"/>
        </w:rPr>
        <w:t>Matthew Leung</w:t>
      </w:r>
      <w:r w:rsidR="00973673" w:rsidRPr="0007522E">
        <w:rPr>
          <w:sz w:val="28"/>
          <w:szCs w:val="28"/>
        </w:rPr>
        <w:t xml:space="preserve"> </w:t>
      </w:r>
      <w:r w:rsidRPr="0007522E">
        <w:rPr>
          <w:sz w:val="28"/>
          <w:szCs w:val="28"/>
        </w:rPr>
        <w:t xml:space="preserve">in </w:t>
      </w:r>
      <w:r w:rsidR="00C00748">
        <w:rPr>
          <w:rFonts w:hint="eastAsia"/>
          <w:sz w:val="28"/>
          <w:szCs w:val="28"/>
        </w:rPr>
        <w:t>Court</w:t>
      </w:r>
    </w:p>
    <w:p w:rsidR="00973673"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602358" w:rsidRPr="0007522E">
        <w:rPr>
          <w:rFonts w:eastAsia="PMingLiU"/>
          <w:sz w:val="28"/>
          <w:szCs w:val="28"/>
          <w:lang w:eastAsia="zh-HK"/>
        </w:rPr>
        <w:t xml:space="preserve"> </w:t>
      </w:r>
      <w:r w:rsidR="00E32069">
        <w:rPr>
          <w:rFonts w:eastAsia="PMingLiU"/>
          <w:sz w:val="28"/>
          <w:szCs w:val="28"/>
          <w:lang w:eastAsia="zh-HK"/>
        </w:rPr>
        <w:t xml:space="preserve">13 April </w:t>
      </w:r>
      <w:r w:rsidR="00816510">
        <w:rPr>
          <w:sz w:val="28"/>
          <w:szCs w:val="28"/>
        </w:rPr>
        <w:t>2021</w:t>
      </w:r>
    </w:p>
    <w:p w:rsidR="002725F9" w:rsidRPr="0007522E" w:rsidRDefault="002725F9" w:rsidP="0007522E">
      <w:pPr>
        <w:spacing w:line="360" w:lineRule="auto"/>
        <w:rPr>
          <w:sz w:val="28"/>
          <w:szCs w:val="28"/>
        </w:rPr>
      </w:pPr>
      <w:r>
        <w:rPr>
          <w:sz w:val="28"/>
          <w:szCs w:val="28"/>
        </w:rPr>
        <w:t>Date of supplemental submission of the Plaintiff:</w:t>
      </w:r>
      <w:r w:rsidR="0076405D">
        <w:rPr>
          <w:sz w:val="28"/>
          <w:szCs w:val="28"/>
        </w:rPr>
        <w:t xml:space="preserve"> 26 April 2021</w:t>
      </w:r>
    </w:p>
    <w:p w:rsidR="005F2909" w:rsidRPr="002A6B0E"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E830AD">
        <w:rPr>
          <w:sz w:val="28"/>
          <w:szCs w:val="28"/>
        </w:rPr>
        <w:t>Assessment of Damages</w:t>
      </w:r>
      <w:r w:rsidRPr="0007522E">
        <w:rPr>
          <w:rFonts w:eastAsia="PMingLiU"/>
          <w:sz w:val="28"/>
          <w:szCs w:val="28"/>
          <w:lang w:eastAsia="zh-HK"/>
        </w:rPr>
        <w:t xml:space="preserve">: </w:t>
      </w:r>
      <w:r w:rsidR="00ED2222">
        <w:rPr>
          <w:rFonts w:eastAsia="PMingLiU"/>
          <w:sz w:val="28"/>
          <w:szCs w:val="28"/>
          <w:lang w:eastAsia="zh-HK"/>
        </w:rPr>
        <w:t xml:space="preserve">7 May </w:t>
      </w:r>
      <w:r w:rsidR="002A6B0E">
        <w:rPr>
          <w:rFonts w:eastAsia="PMingLiU"/>
          <w:sz w:val="28"/>
          <w:szCs w:val="28"/>
          <w:lang w:eastAsia="zh-HK"/>
        </w:rPr>
        <w:t>2021</w:t>
      </w:r>
    </w:p>
    <w:p w:rsidR="00816510" w:rsidRPr="005C5B9E" w:rsidRDefault="00816510" w:rsidP="0007522E">
      <w:pPr>
        <w:spacing w:line="360" w:lineRule="auto"/>
        <w:rPr>
          <w:rFonts w:eastAsia="PMingLiU" w:hint="eastAsia"/>
          <w:sz w:val="28"/>
          <w:szCs w:val="28"/>
          <w:lang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76"/>
      </w:tblGrid>
      <w:tr w:rsidR="00996748" w:rsidRPr="00900DAC" w:rsidTr="00996748">
        <w:trPr>
          <w:trHeight w:val="73"/>
          <w:jc w:val="center"/>
        </w:trPr>
        <w:tc>
          <w:tcPr>
            <w:tcW w:w="4376" w:type="dxa"/>
            <w:tcBorders>
              <w:top w:val="single" w:sz="4" w:space="0" w:color="auto"/>
              <w:left w:val="nil"/>
              <w:bottom w:val="single" w:sz="4" w:space="0" w:color="auto"/>
              <w:right w:val="nil"/>
            </w:tcBorders>
          </w:tcPr>
          <w:p w:rsidR="00996748" w:rsidRPr="00996748" w:rsidRDefault="00996748" w:rsidP="001F6D25">
            <w:pPr>
              <w:keepNext/>
              <w:tabs>
                <w:tab w:val="center" w:pos="4320"/>
                <w:tab w:val="right" w:pos="9072"/>
              </w:tabs>
              <w:snapToGrid w:val="0"/>
              <w:spacing w:before="160" w:after="160"/>
              <w:jc w:val="center"/>
              <w:rPr>
                <w:sz w:val="28"/>
                <w:szCs w:val="28"/>
              </w:rPr>
            </w:pPr>
            <w:r>
              <w:rPr>
                <w:sz w:val="28"/>
                <w:szCs w:val="28"/>
              </w:rPr>
              <w:t>ASSESSMENT OF DAMAGES</w:t>
            </w:r>
          </w:p>
        </w:tc>
      </w:tr>
    </w:tbl>
    <w:p w:rsidR="00871DBB" w:rsidRDefault="00871DBB" w:rsidP="00871DBB"/>
    <w:p w:rsidR="00871DBB" w:rsidRDefault="00871DBB" w:rsidP="00871DBB">
      <w:pPr>
        <w:pStyle w:val="Final"/>
      </w:pPr>
      <w:r w:rsidRPr="004812F6">
        <w:t>This is an assessment of damages in a personal injury case in which the Plaintiff slipped and fell from a staircase in the course of employment with the Defendant.</w:t>
      </w:r>
    </w:p>
    <w:p w:rsidR="00871DBB" w:rsidRDefault="00871DBB" w:rsidP="00871DBB">
      <w:pPr>
        <w:pStyle w:val="Final"/>
      </w:pPr>
      <w:r w:rsidRPr="004812F6">
        <w:lastRenderedPageBreak/>
        <w:t>Interlocutory judgment was entered against the Defendant on 11 June 2019 leaving damages to be assessed.</w:t>
      </w:r>
    </w:p>
    <w:p w:rsidR="00871DBB" w:rsidRPr="00871DBB" w:rsidRDefault="00871DBB" w:rsidP="00871DBB">
      <w:pPr>
        <w:pStyle w:val="Final"/>
      </w:pPr>
      <w:r w:rsidRPr="004812F6">
        <w:t xml:space="preserve">The Notice of Appointment for Assessment of Damages was served on the Defendant on </w:t>
      </w:r>
      <w:r>
        <w:t>24 December 2020</w:t>
      </w:r>
      <w:r w:rsidRPr="004812F6">
        <w:t xml:space="preserve"> by post at the registered office of the Defendant.  Further, the Court sent a notice of hearing for assessment of damages to the Defendant on 28 December 2020.</w:t>
      </w:r>
    </w:p>
    <w:p w:rsidR="00871DBB" w:rsidRDefault="00871DBB" w:rsidP="00871DBB">
      <w:pPr>
        <w:pStyle w:val="Final"/>
      </w:pPr>
      <w:r w:rsidRPr="004812F6">
        <w:t>The Defendant did not attend the assessment hearing.  I was satisfied that notice of the assessment hearing had been duly given to the Defendant.  It was the Defendant’s choice not to attend the assessment hearing.  I proceeded with the assessment of damages in this case in the absence of the Defendant.</w:t>
      </w:r>
    </w:p>
    <w:p w:rsidR="00871DBB" w:rsidRPr="00871DBB" w:rsidRDefault="00871DBB" w:rsidP="00871DBB">
      <w:pPr>
        <w:pStyle w:val="H-1"/>
        <w:rPr>
          <w:b/>
          <w:szCs w:val="28"/>
        </w:rPr>
      </w:pPr>
      <w:r w:rsidRPr="004812F6">
        <w:rPr>
          <w:b/>
          <w:szCs w:val="28"/>
        </w:rPr>
        <w:t>The Plaintiff’s case</w:t>
      </w:r>
    </w:p>
    <w:p w:rsidR="00871DBB" w:rsidRPr="00871DBB" w:rsidRDefault="00871DBB" w:rsidP="00871DBB">
      <w:pPr>
        <w:pStyle w:val="Final"/>
      </w:pPr>
      <w:r w:rsidRPr="004812F6">
        <w:t>The Plaintiff himself was the only person who testified at the hearing. He adopted as evidence in chief his witness statement filed herein.</w:t>
      </w:r>
    </w:p>
    <w:p w:rsidR="00871DBB" w:rsidRPr="00871DBB" w:rsidRDefault="00871DBB" w:rsidP="00871DBB">
      <w:pPr>
        <w:pStyle w:val="Final"/>
      </w:pPr>
      <w:r w:rsidRPr="004812F6">
        <w:t>The Plaintiff was born in 1966</w:t>
      </w:r>
      <w:r w:rsidR="00787985">
        <w:t xml:space="preserve">.  At the time of the Accident, the Plaintiff, </w:t>
      </w:r>
      <w:r w:rsidRPr="004812F6">
        <w:t>aged 50</w:t>
      </w:r>
      <w:r w:rsidR="00787985">
        <w:t>,</w:t>
      </w:r>
      <w:r w:rsidRPr="004812F6">
        <w:t xml:space="preserve"> was a lorry driver earning a monthly sum of $23,000.</w:t>
      </w:r>
    </w:p>
    <w:p w:rsidR="00871DBB" w:rsidRPr="00871DBB" w:rsidRDefault="00871DBB" w:rsidP="00871DBB">
      <w:pPr>
        <w:pStyle w:val="Final"/>
      </w:pPr>
      <w:r w:rsidRPr="004812F6">
        <w:t>On 21 December 2016, the Plaintiff, in the course of employment, slipped and fell from a staircase sustaining back contusion and minor head injury.  After the Accident, the Plaintiff was sent to the Accident &amp; Emergency Department of North District Hospital (“</w:t>
      </w:r>
      <w:r w:rsidRPr="004812F6">
        <w:rPr>
          <w:b/>
        </w:rPr>
        <w:t>the Hospital</w:t>
      </w:r>
      <w:r w:rsidRPr="004812F6">
        <w:t xml:space="preserve">”) for treatment.  Medical examination revealed tenderness at the </w:t>
      </w:r>
      <w:r w:rsidRPr="004812F6">
        <w:lastRenderedPageBreak/>
        <w:t>lower back.  He was prescribed with analgesic and was discharged with 4</w:t>
      </w:r>
      <w:r w:rsidR="00277C41">
        <w:t> </w:t>
      </w:r>
      <w:r w:rsidR="002725F9" w:rsidRPr="004812F6">
        <w:t>days’</w:t>
      </w:r>
      <w:r w:rsidRPr="004812F6">
        <w:t xml:space="preserve"> sick leave.</w:t>
      </w:r>
    </w:p>
    <w:p w:rsidR="00871DBB" w:rsidRPr="00871DBB" w:rsidRDefault="00871DBB" w:rsidP="00871DBB">
      <w:pPr>
        <w:pStyle w:val="Final"/>
      </w:pPr>
      <w:r w:rsidRPr="004812F6">
        <w:t xml:space="preserve">As a result of persistent pain and discomfort, the Plaintiff attended Shek Wu Hui General Out-patient Clinic from time to time during the period between 25 December 2016 and 3 October 2018.  He also received physiotherapy treatment from the Hospital since 7 April 2017.  He was further referred to the out-patient Orthopaedic Clinic of the Hospital for treatment since 8 October 2018.    </w:t>
      </w:r>
    </w:p>
    <w:p w:rsidR="00871DBB" w:rsidRPr="00871DBB" w:rsidRDefault="00871DBB" w:rsidP="00871DBB">
      <w:pPr>
        <w:pStyle w:val="Final"/>
      </w:pPr>
      <w:r w:rsidRPr="004812F6">
        <w:t xml:space="preserve">Computer tomography of the whole body revealed </w:t>
      </w:r>
      <w:r w:rsidR="00A60B49">
        <w:t xml:space="preserve">that the Plaintiff suffered from </w:t>
      </w:r>
      <w:r w:rsidRPr="004812F6">
        <w:t>right hydro pneumothorax with associated right lung contusion and right chest wall emphysema.  Right chest drain was inserted.</w:t>
      </w:r>
    </w:p>
    <w:p w:rsidR="00871DBB" w:rsidRDefault="00871DBB" w:rsidP="00871DBB">
      <w:pPr>
        <w:pStyle w:val="Final"/>
      </w:pPr>
      <w:r w:rsidRPr="004812F6">
        <w:t>Sick leave was granted to the Plaintiff from the date of the Accident, i.e. on 21 December 2016</w:t>
      </w:r>
      <w:r w:rsidR="00745D1A">
        <w:t>,</w:t>
      </w:r>
      <w:r w:rsidRPr="004812F6">
        <w:t xml:space="preserve"> to 28 August 2019.</w:t>
      </w:r>
    </w:p>
    <w:p w:rsidR="00871DBB" w:rsidRPr="00871DBB" w:rsidRDefault="00871DBB" w:rsidP="00871DBB">
      <w:pPr>
        <w:pStyle w:val="H-1"/>
        <w:rPr>
          <w:b/>
          <w:lang w:val="en-US"/>
        </w:rPr>
      </w:pPr>
      <w:r w:rsidRPr="00871DBB">
        <w:rPr>
          <w:b/>
          <w:lang w:val="en-US"/>
        </w:rPr>
        <w:t>Expert evidence</w:t>
      </w:r>
    </w:p>
    <w:p w:rsidR="00871DBB" w:rsidRPr="00871DBB" w:rsidRDefault="00871DBB" w:rsidP="00871DBB">
      <w:pPr>
        <w:pStyle w:val="Final"/>
      </w:pPr>
      <w:r w:rsidRPr="004812F6">
        <w:t>The Court directed on 26 November 2020 that expert medical evidence is limited to one orthopaedic expert for each party, and the medical report made by Dr Tio Man Kwun Peter for the Plaintiff dated 15 April 2020 be adduced as evidence without calling the maker at the assessment hearing.</w:t>
      </w:r>
    </w:p>
    <w:p w:rsidR="00871DBB" w:rsidRPr="00871DBB" w:rsidRDefault="00871DBB" w:rsidP="00871DBB">
      <w:pPr>
        <w:pStyle w:val="Final"/>
      </w:pPr>
      <w:r w:rsidRPr="004812F6">
        <w:t>Dr Tio interviewed the Plaintiff on 11 March 2020, i.e. 3</w:t>
      </w:r>
      <w:r>
        <w:t> </w:t>
      </w:r>
      <w:r w:rsidRPr="004812F6">
        <w:t>years and 4 months after the Accident.  Examination of the Plaintiff’s back showed tenderness over sacrococcygeal region.  He was noted to have generalized weakness of left lower limb 4+/5 and sensory deficit of 20-30% of the left lower limb.  X-ray of lumbar spine showed moderately severe pre-existing lumbar spondylosis.  Despite the presence of weakness and sensory deficit, there was no genuine sign of neurological deficit such as muscle wasting or reflex abnormality.  Examination of the Plaintiff’s neck showed tenderness over paracervical while x-ray of cervical spine showed pre-existing cervical spondylosis.</w:t>
      </w:r>
    </w:p>
    <w:p w:rsidR="00871DBB" w:rsidRPr="00871DBB" w:rsidRDefault="00871DBB" w:rsidP="007E2211">
      <w:pPr>
        <w:pStyle w:val="Final"/>
      </w:pPr>
      <w:r w:rsidRPr="004812F6">
        <w:t xml:space="preserve">The Plaintiff informed Dr Tio that he had suffered </w:t>
      </w:r>
      <w:r>
        <w:t xml:space="preserve">a previous </w:t>
      </w:r>
      <w:r w:rsidRPr="004812F6">
        <w:t>back injury in 2000’s.  Dr Tio assessed that the Accident may have advanced the Plaintiff’s signs and symptoms by a</w:t>
      </w:r>
      <w:r w:rsidR="007E2211">
        <w:t xml:space="preserve">n estimated duration of 7 years.  </w:t>
      </w:r>
      <w:r w:rsidRPr="004812F6">
        <w:t>Dr Tio opined that the neck symptoms were not related to the Accident, while he apportioned 30-40% of the Plaintiff’s back condition due to pre-existing spondylosis.  The loss of earning capacity of the Plaintiff’s neck condition was assessed at 5%.</w:t>
      </w:r>
    </w:p>
    <w:p w:rsidR="00871DBB" w:rsidRDefault="00871DBB" w:rsidP="00871DBB">
      <w:pPr>
        <w:pStyle w:val="Final"/>
      </w:pPr>
      <w:r w:rsidRPr="004812F6">
        <w:t xml:space="preserve">Dr Tio was of the view that the Plaintiff would be independent with his daily activities and should be able to resume his pre-injury work as a lorry driver and delivery worker.  However, with residual back pain and stiffness, the Plaintiff is expected to have reduced work efficiency. </w:t>
      </w:r>
      <w:r w:rsidR="00277C41">
        <w:t xml:space="preserve"> </w:t>
      </w:r>
      <w:r w:rsidRPr="004812F6">
        <w:t xml:space="preserve">He may need intermittent breaks of 15 minutes after work of 1.5 hours. </w:t>
      </w:r>
    </w:p>
    <w:p w:rsidR="00871DBB" w:rsidRPr="00871DBB" w:rsidRDefault="00871DBB" w:rsidP="00871DBB">
      <w:pPr>
        <w:pStyle w:val="H-1"/>
        <w:rPr>
          <w:b/>
          <w:lang w:val="en-US"/>
        </w:rPr>
      </w:pPr>
      <w:r w:rsidRPr="00871DBB">
        <w:rPr>
          <w:b/>
          <w:lang w:val="en-US"/>
        </w:rPr>
        <w:t>Factual findings</w:t>
      </w:r>
    </w:p>
    <w:p w:rsidR="00871DBB" w:rsidRPr="00871DBB" w:rsidRDefault="00871DBB" w:rsidP="00871DBB">
      <w:pPr>
        <w:pStyle w:val="Final"/>
      </w:pPr>
      <w:r w:rsidRPr="004812F6">
        <w:t>The Plaintiff’s testimony is not subject to any challenge as the Defendant has not been present in these proceedings.  The Plaintiff gave testimony in a straightforward manner and I accept his evidence.  Separately, I also accept Dr Tio’s evidence in his Expert Medical Report.</w:t>
      </w:r>
    </w:p>
    <w:p w:rsidR="00871DBB" w:rsidRDefault="00871DBB" w:rsidP="00090796">
      <w:pPr>
        <w:pStyle w:val="Final"/>
      </w:pPr>
      <w:r w:rsidRPr="004812F6">
        <w:t>Based on these factual findings, I now turn to each head of claim.</w:t>
      </w:r>
    </w:p>
    <w:p w:rsidR="00871DBB" w:rsidRPr="00871DBB" w:rsidRDefault="00871DBB" w:rsidP="00871DBB">
      <w:pPr>
        <w:pStyle w:val="H-1"/>
        <w:rPr>
          <w:b/>
          <w:lang w:val="en-US"/>
        </w:rPr>
      </w:pPr>
      <w:r w:rsidRPr="00871DBB">
        <w:rPr>
          <w:b/>
          <w:lang w:val="en-US"/>
        </w:rPr>
        <w:t>PSLA</w:t>
      </w:r>
    </w:p>
    <w:p w:rsidR="00871DBB" w:rsidRPr="00871DBB" w:rsidRDefault="00745D1A" w:rsidP="00871DBB">
      <w:pPr>
        <w:pStyle w:val="Final"/>
      </w:pPr>
      <w:r>
        <w:t xml:space="preserve">The Plaintiff claims a sum of </w:t>
      </w:r>
      <w:r w:rsidR="00871DBB" w:rsidRPr="004812F6">
        <w:t>$300,000 for damages for PSLA.  Mr Chou, Solicitor for the Plaintiff</w:t>
      </w:r>
      <w:r w:rsidR="00787985">
        <w:t>,</w:t>
      </w:r>
      <w:r w:rsidR="00871DBB" w:rsidRPr="004812F6">
        <w:t xml:space="preserve"> referred me to the following cases on PSLA.</w:t>
      </w:r>
    </w:p>
    <w:p w:rsidR="00871DBB" w:rsidRPr="00871DBB" w:rsidRDefault="00871DBB" w:rsidP="00871DBB">
      <w:pPr>
        <w:pStyle w:val="Final"/>
      </w:pPr>
      <w:r w:rsidRPr="004812F6">
        <w:t xml:space="preserve">In </w:t>
      </w:r>
      <w:r w:rsidRPr="004812F6">
        <w:rPr>
          <w:b/>
          <w:i/>
        </w:rPr>
        <w:t>Chan Yuet Keung v Harmony (International) Knitting Factory Ltd</w:t>
      </w:r>
      <w:r w:rsidRPr="004812F6">
        <w:t xml:space="preserve"> [2010] 3 HKLRD 599 (2 November 2010), the plaintiff had a slip and fall accident resulting in tenderness at the lower back around L4/5 region.  MRI showed that there was mild disc degeneration at L5/S1.  The Single Joint Expert, Dr Johnson Lam</w:t>
      </w:r>
      <w:r w:rsidR="007E2211">
        <w:t>,</w:t>
      </w:r>
      <w:r w:rsidRPr="004812F6">
        <w:t xml:space="preserve"> considered that 10% of the plaintiff’s condition should be apportioned to t</w:t>
      </w:r>
      <w:r>
        <w:t xml:space="preserve">he pre-existing degeneration.  </w:t>
      </w:r>
      <w:r w:rsidR="007E2211">
        <w:t xml:space="preserve">In </w:t>
      </w:r>
      <w:r w:rsidRPr="004812F6">
        <w:t>granting a sum of $300,000 for PSLA</w:t>
      </w:r>
      <w:r w:rsidR="007E2211">
        <w:t>,</w:t>
      </w:r>
      <w:r w:rsidRPr="004812F6">
        <w:t xml:space="preserve"> </w:t>
      </w:r>
      <w:r w:rsidR="00277C41">
        <w:t>Bharwaney J</w:t>
      </w:r>
      <w:r w:rsidR="007E2211" w:rsidRPr="004812F6">
        <w:t xml:space="preserve"> </w:t>
      </w:r>
      <w:r w:rsidR="007E2211">
        <w:t>stated in the judgment</w:t>
      </w:r>
      <w:r w:rsidRPr="004812F6">
        <w:t xml:space="preserve"> that a slightly higher amount was awarded but for the fact that there was pre-existing degeneration of the back.</w:t>
      </w:r>
    </w:p>
    <w:p w:rsidR="00871DBB" w:rsidRPr="00871DBB" w:rsidRDefault="00871DBB" w:rsidP="00871DBB">
      <w:pPr>
        <w:pStyle w:val="Final"/>
      </w:pPr>
      <w:r w:rsidRPr="004812F6">
        <w:t xml:space="preserve">In </w:t>
      </w:r>
      <w:r w:rsidRPr="004812F6">
        <w:rPr>
          <w:b/>
          <w:i/>
        </w:rPr>
        <w:t>Wong Yun Chiu v Union Printing Company Limited</w:t>
      </w:r>
      <w:r w:rsidRPr="004812F6">
        <w:t xml:space="preserve"> HCPI 282/2009 (unreported, 29 July 2011), the plaintiff injured his back when he lifted a heavy basket of scarp paper.  He was diagnosed with back contusion.  CT scan revealed L4/5 bulging disc causing mild indentation of the thecal sac. </w:t>
      </w:r>
      <w:r w:rsidR="00277C41">
        <w:t xml:space="preserve"> </w:t>
      </w:r>
      <w:r w:rsidRPr="004812F6">
        <w:t>Considering the asymptomatic degenerative spine, the court awarded a sum of $200,000 for PSLA.</w:t>
      </w:r>
    </w:p>
    <w:p w:rsidR="00871DBB" w:rsidRPr="00871DBB" w:rsidRDefault="00871DBB" w:rsidP="00871DBB">
      <w:pPr>
        <w:pStyle w:val="Final"/>
      </w:pPr>
      <w:r w:rsidRPr="004812F6">
        <w:t xml:space="preserve">In </w:t>
      </w:r>
      <w:r w:rsidRPr="004812F6">
        <w:rPr>
          <w:b/>
          <w:i/>
        </w:rPr>
        <w:t>Ali Shoukat v Hang Seng Bank Ltd unreported</w:t>
      </w:r>
      <w:r w:rsidRPr="004812F6">
        <w:t>, HCPI 3/2003 (</w:t>
      </w:r>
      <w:r>
        <w:t>unreported</w:t>
      </w:r>
      <w:r w:rsidRPr="004812F6">
        <w:t>, 23 June 20</w:t>
      </w:r>
      <w:r>
        <w:t>04</w:t>
      </w:r>
      <w:r w:rsidRPr="004812F6">
        <w:t xml:space="preserve">), the plaintiff suffered a sprain back injury whilst unloading heavy cash boxes from a van in the course of his employment as a bank security guard, and suffered 5% impairment of the whole person.  He still suffered some residual pain and loss of lordosis in the lumbosacral area where the pain existed and some muscle spasm. </w:t>
      </w:r>
      <w:r w:rsidR="00252717">
        <w:t xml:space="preserve"> </w:t>
      </w:r>
      <w:r w:rsidRPr="004812F6">
        <w:t>The pain was not so debilitating as to affect his activities of daily living.  He was able to return to his pre-accident work. He was awarded $250,000 for PSLA.</w:t>
      </w:r>
    </w:p>
    <w:p w:rsidR="00871DBB" w:rsidRPr="00871DBB" w:rsidRDefault="00871DBB" w:rsidP="00871DBB">
      <w:pPr>
        <w:pStyle w:val="Final"/>
      </w:pPr>
      <w:r w:rsidRPr="004812F6">
        <w:t xml:space="preserve">In </w:t>
      </w:r>
      <w:r w:rsidRPr="004812F6">
        <w:rPr>
          <w:b/>
          <w:i/>
        </w:rPr>
        <w:t>Altaf Ahmed v Innovative Network Engineering Company Limited &amp; Another</w:t>
      </w:r>
      <w:r>
        <w:t>,</w:t>
      </w:r>
      <w:r w:rsidRPr="004812F6">
        <w:t xml:space="preserve"> HCPI</w:t>
      </w:r>
      <w:r w:rsidR="007E2211">
        <w:t xml:space="preserve"> </w:t>
      </w:r>
      <w:r w:rsidRPr="004812F6">
        <w:t>237/2008 (unreported, 21 December 2010) the plaintiff slipped when he used a jackhammer to remove concrete.  He sustained a back injury resulting in pain and prolapsed intervertebral discs at L3/4 and L4/5 levels with loss of earning capacity of 5% as assessed by the Employees’ Compensation (Ordinary Assessment) Board.  The experts regarded the several levels of lumbar disc protrusion were degenerative disc prolapses and one of the degenerative disc was aggravated by the injury. PSLA was allowed at $280,000.</w:t>
      </w:r>
    </w:p>
    <w:p w:rsidR="00871DBB" w:rsidRPr="00871DBB" w:rsidRDefault="00871DBB" w:rsidP="00871DBB">
      <w:pPr>
        <w:pStyle w:val="Final"/>
      </w:pPr>
      <w:r w:rsidRPr="004812F6">
        <w:t xml:space="preserve">In </w:t>
      </w:r>
      <w:r w:rsidRPr="004812F6">
        <w:rPr>
          <w:b/>
          <w:i/>
        </w:rPr>
        <w:t>Chau Chin To Chadow v Wing Fung Financial Group Limited</w:t>
      </w:r>
      <w:r w:rsidRPr="004812F6">
        <w:t xml:space="preserve">, HCPI 163/2015 (unreported, 1 August 2017), the plaintiff suffered from soft tissue injury of the back after heavy-lifting. </w:t>
      </w:r>
      <w:r>
        <w:t xml:space="preserve"> </w:t>
      </w:r>
      <w:r w:rsidRPr="004812F6">
        <w:t xml:space="preserve">He had on and off low back pain and would have difficulty in manual lifting. </w:t>
      </w:r>
      <w:r>
        <w:t xml:space="preserve"> </w:t>
      </w:r>
      <w:r w:rsidRPr="004812F6">
        <w:t>He was allowed sick leave of 405 days which was considered appropriate.  There was no evidence of pre-existing pathology</w:t>
      </w:r>
      <w:r>
        <w:t xml:space="preserve">.  </w:t>
      </w:r>
      <w:r w:rsidRPr="004812F6">
        <w:t>PSLA at $250,000 was allowed.</w:t>
      </w:r>
    </w:p>
    <w:p w:rsidR="00871DBB" w:rsidRDefault="00871DBB" w:rsidP="00871DBB">
      <w:pPr>
        <w:pStyle w:val="Final"/>
      </w:pPr>
      <w:r w:rsidRPr="004812F6">
        <w:t xml:space="preserve">After due consideration of the authorities, and having considered, </w:t>
      </w:r>
      <w:r w:rsidRPr="00745D1A">
        <w:rPr>
          <w:i/>
        </w:rPr>
        <w:t>inter alia</w:t>
      </w:r>
      <w:r w:rsidRPr="004812F6">
        <w:t>, that the nature of the plaintiff's injuries, the duration of his healing process, and the pre-existing spondylosis, I assess that PSLA should be $300,000.</w:t>
      </w:r>
    </w:p>
    <w:p w:rsidR="00871DBB" w:rsidRPr="00871DBB" w:rsidRDefault="00871DBB" w:rsidP="00871DBB">
      <w:pPr>
        <w:pStyle w:val="H-1"/>
        <w:rPr>
          <w:b/>
          <w:lang w:val="en-US"/>
        </w:rPr>
      </w:pPr>
      <w:r w:rsidRPr="00871DBB">
        <w:rPr>
          <w:b/>
          <w:lang w:val="en-US"/>
        </w:rPr>
        <w:t>Pre-trial Loss of Earnings</w:t>
      </w:r>
    </w:p>
    <w:p w:rsidR="00871DBB" w:rsidRDefault="00871DBB" w:rsidP="00871DBB">
      <w:pPr>
        <w:pStyle w:val="Final"/>
      </w:pPr>
      <w:r w:rsidRPr="004812F6">
        <w:t>The Plaintiff’s claim for pre-trial loss of earnings is set out below:</w:t>
      </w:r>
    </w:p>
    <w:p w:rsidR="00871DBB" w:rsidRDefault="00871DBB" w:rsidP="00871DBB">
      <w:pPr>
        <w:pStyle w:val="Hanging"/>
        <w:numPr>
          <w:ilvl w:val="1"/>
          <w:numId w:val="38"/>
        </w:numPr>
        <w:ind w:hanging="720"/>
      </w:pPr>
      <w:r w:rsidRPr="004812F6">
        <w:t>From 21 December 2016 to 30 April 2019: $23,000 x (28 + 10/30) x 1.05 = $684,245</w:t>
      </w:r>
      <w:r w:rsidR="00277C41">
        <w:t>.</w:t>
      </w:r>
    </w:p>
    <w:p w:rsidR="00871DBB" w:rsidRDefault="00871DBB" w:rsidP="00871DBB">
      <w:pPr>
        <w:pStyle w:val="Hanging"/>
        <w:numPr>
          <w:ilvl w:val="1"/>
          <w:numId w:val="38"/>
        </w:numPr>
        <w:ind w:hanging="720"/>
      </w:pPr>
      <w:r w:rsidRPr="004812F6">
        <w:t>From 1 May 2019 to 21 December 2020: $23,000 x (19 + 21/30) x 1.05 = $475,755</w:t>
      </w:r>
      <w:r w:rsidR="00277C41">
        <w:t>.</w:t>
      </w:r>
    </w:p>
    <w:p w:rsidR="00871DBB" w:rsidRPr="00871DBB" w:rsidRDefault="00871DBB" w:rsidP="00871DBB">
      <w:pPr>
        <w:pStyle w:val="Final"/>
      </w:pPr>
      <w:r>
        <w:t xml:space="preserve">Mr Chou explained at the assessment hearing that the calculation in (a) above was made </w:t>
      </w:r>
      <w:r w:rsidR="007E2211">
        <w:t>on the basis of Dr Tio’s Expert Report, in which, Dr Tio commented that sick leave up to April 2019 was reasonable.</w:t>
      </w:r>
      <w:r>
        <w:t xml:space="preserve">  However, as a matter of fact, the Plaintiff did not resume the pre-accident job</w:t>
      </w:r>
      <w:r w:rsidR="007E2211">
        <w:t xml:space="preserve"> or any other employment after the Accident</w:t>
      </w:r>
      <w:r>
        <w:t>.  That gives rise to the claim for pre-trial loss in (b) above.</w:t>
      </w:r>
    </w:p>
    <w:p w:rsidR="00871DBB" w:rsidRPr="00871DBB" w:rsidRDefault="00871DBB" w:rsidP="00871DBB">
      <w:pPr>
        <w:pStyle w:val="Final"/>
      </w:pPr>
      <w:r>
        <w:t>In fact, s</w:t>
      </w:r>
      <w:r w:rsidRPr="004812F6">
        <w:t xml:space="preserve">ick leave was granted to the Plaintiff from 21 December 2016 to 28 August 2019. </w:t>
      </w:r>
      <w:r w:rsidR="007E2211" w:rsidRPr="004812F6">
        <w:t xml:space="preserve">Dr Tio examined the Plaintiff on 11 March 2020, and by that time, the Plaintiff should have already been granted sick leave </w:t>
      </w:r>
      <w:r w:rsidR="007E2211">
        <w:t xml:space="preserve">up to </w:t>
      </w:r>
      <w:r w:rsidR="007E2211" w:rsidRPr="004812F6">
        <w:t xml:space="preserve">28 August 2019.  </w:t>
      </w:r>
      <w:r w:rsidRPr="004812F6">
        <w:t xml:space="preserve">Notwithstanding that, Dr Tio </w:t>
      </w:r>
      <w:r w:rsidR="007E2211">
        <w:t>stated</w:t>
      </w:r>
      <w:r w:rsidRPr="004812F6">
        <w:t xml:space="preserve"> in the Expert Report that sick leave </w:t>
      </w:r>
      <w:r w:rsidR="007E2211">
        <w:t xml:space="preserve">granted to the Plaintiff was </w:t>
      </w:r>
      <w:r w:rsidRPr="004812F6">
        <w:t xml:space="preserve">up to April 2019 </w:t>
      </w:r>
      <w:r w:rsidR="007E2211">
        <w:t>which was</w:t>
      </w:r>
      <w:r w:rsidRPr="004812F6">
        <w:t xml:space="preserve"> considered reasonable and appropriate.  Mr Chou explained to the Court at the assessment hearing that it was not until the preparation of the witness statement</w:t>
      </w:r>
      <w:r w:rsidRPr="004812F6">
        <w:rPr>
          <w:vertAlign w:val="superscript"/>
        </w:rPr>
        <w:footnoteReference w:id="1"/>
      </w:r>
      <w:r w:rsidRPr="004812F6">
        <w:t xml:space="preserve"> that the updated sick leave certificates were provided to him.  That explanation is of course unsatisfactory.  It should be the Plaintiff’s Solicitors’ duty to ensure that all relevant documents, including all sick leave certificates, should be collated in good time and be provided to the expert for comment</w:t>
      </w:r>
      <w:r w:rsidR="007E2211">
        <w:t xml:space="preserve"> before compiling the Expert Report</w:t>
      </w:r>
      <w:r w:rsidRPr="004812F6">
        <w:t xml:space="preserve">.  Mr Chou also </w:t>
      </w:r>
      <w:r w:rsidR="007E2211">
        <w:t>unable</w:t>
      </w:r>
      <w:r w:rsidRPr="004812F6">
        <w:t xml:space="preserve"> to explain why he did not go back to Dr Tio for his opinion when updated sick leave certificates were available to him.</w:t>
      </w:r>
    </w:p>
    <w:p w:rsidR="00871DBB" w:rsidRDefault="00871DBB" w:rsidP="00871DBB">
      <w:pPr>
        <w:pStyle w:val="Final"/>
      </w:pPr>
      <w:r w:rsidRPr="004812F6">
        <w:t>In any event, the Court is not bound by the expert opinion of Dr Tio.  Having considered the injuries suffered by the Plaintiff and the sick leave certificates, I am satisfied that the sick leave period from 21 December 2016 to 28 August 2019, i.e. about 32 months, should be considered reasonable.</w:t>
      </w:r>
    </w:p>
    <w:p w:rsidR="00871DBB" w:rsidRPr="00871DBB" w:rsidRDefault="003F34B5" w:rsidP="00871DBB">
      <w:pPr>
        <w:pStyle w:val="Final"/>
      </w:pPr>
      <w:r w:rsidRPr="004812F6">
        <w:t>Dr Tio assessed that the Accident may have advanced the Plaintiff’s signs and symptoms by a</w:t>
      </w:r>
      <w:r>
        <w:t xml:space="preserve">n estimated duration of 7 years.  </w:t>
      </w:r>
      <w:r w:rsidRPr="004812F6">
        <w:t xml:space="preserve">Dr Tio opined that the neck symptoms were not related to the Accident, while he apportioned 30-40% of the Plaintiff’s back condition due to pre-existing spondylosis.  </w:t>
      </w:r>
      <w:r>
        <w:t xml:space="preserve">Mr Chou submitted that it would be unlikely that the degeneration would turn symptomatic </w:t>
      </w:r>
      <w:r w:rsidR="00277C41">
        <w:t xml:space="preserve">on or before 31 October 2019.  </w:t>
      </w:r>
      <w:r w:rsidR="0076405D">
        <w:t>Having considered the medical records and the expert report, I find that t</w:t>
      </w:r>
      <w:r w:rsidR="00871DBB" w:rsidRPr="009752E7">
        <w:t xml:space="preserve">he Accident either caused or triggered the otherwise asymptomatic degeneration of the Plaintiff’s back condition, the apportionment under </w:t>
      </w:r>
      <w:r w:rsidR="00871DBB">
        <w:rPr>
          <w:b/>
          <w:i/>
        </w:rPr>
        <w:t>Chan Kam Hoi v</w:t>
      </w:r>
      <w:r w:rsidR="00871DBB" w:rsidRPr="009752E7">
        <w:rPr>
          <w:b/>
          <w:i/>
        </w:rPr>
        <w:t xml:space="preserve"> Dragages et Travaux Publics</w:t>
      </w:r>
      <w:r w:rsidR="00871DBB">
        <w:t xml:space="preserve"> [1998] 2 HKLRD 958 i</w:t>
      </w:r>
      <w:r w:rsidR="00871DBB" w:rsidRPr="009752E7">
        <w:t>s not engaged.</w:t>
      </w:r>
    </w:p>
    <w:p w:rsidR="00871DBB" w:rsidRDefault="00871DBB" w:rsidP="00277C41">
      <w:pPr>
        <w:pStyle w:val="Final"/>
        <w:keepNext/>
      </w:pPr>
      <w:r w:rsidRPr="004812F6">
        <w:t>The pre-trial loss of the Plaintiff should be assessed as follows:</w:t>
      </w:r>
    </w:p>
    <w:p w:rsidR="00871DBB" w:rsidRPr="00871DBB" w:rsidRDefault="00871DBB" w:rsidP="00871DBB">
      <w:pPr>
        <w:pStyle w:val="Hanging"/>
      </w:pPr>
      <w:r>
        <w:tab/>
      </w:r>
      <w:r w:rsidRPr="004812F6">
        <w:rPr>
          <w:szCs w:val="28"/>
        </w:rPr>
        <w:t>$23,000 x 32 months x 1.05 = $772,800.</w:t>
      </w:r>
    </w:p>
    <w:p w:rsidR="00871DBB" w:rsidRDefault="00871DBB" w:rsidP="00871DBB">
      <w:pPr>
        <w:pStyle w:val="H-1"/>
      </w:pPr>
      <w:r w:rsidRPr="004812F6">
        <w:rPr>
          <w:b/>
          <w:szCs w:val="28"/>
        </w:rPr>
        <w:t>Loss of earning capacity</w:t>
      </w:r>
    </w:p>
    <w:p w:rsidR="00871DBB" w:rsidRPr="00871DBB" w:rsidRDefault="00871DBB" w:rsidP="00871DBB">
      <w:pPr>
        <w:pStyle w:val="Final"/>
      </w:pPr>
      <w:r w:rsidRPr="004812F6">
        <w:t>The Plaintiff claims a sum of $130,000</w:t>
      </w:r>
      <w:r>
        <w:t>.</w:t>
      </w:r>
    </w:p>
    <w:p w:rsidR="00871DBB" w:rsidRDefault="00871DBB" w:rsidP="00871DBB">
      <w:pPr>
        <w:pStyle w:val="Final"/>
      </w:pPr>
      <w:r w:rsidRPr="004812F6">
        <w:t xml:space="preserve">I consider that the Plaintiff would clearly suffer from a handicap in the labour market.  The physical limitation suffered by the Plaintiff would adversely affect him in securing </w:t>
      </w:r>
      <w:r w:rsidR="007E2211">
        <w:t xml:space="preserve">a </w:t>
      </w:r>
      <w:r w:rsidRPr="004812F6">
        <w:t xml:space="preserve">suitable employment as well as make him vulnerable to losing any such employment he managed to secure. </w:t>
      </w:r>
      <w:r w:rsidR="005B6B25">
        <w:t xml:space="preserve"> </w:t>
      </w:r>
      <w:r w:rsidRPr="004812F6">
        <w:t xml:space="preserve">A sum of $138,000, i.e. 6 </w:t>
      </w:r>
      <w:r w:rsidR="002725F9" w:rsidRPr="004812F6">
        <w:t>months’</w:t>
      </w:r>
      <w:r w:rsidRPr="004812F6">
        <w:t xml:space="preserve"> wages of the Plaintiff’s pre-accident earning</w:t>
      </w:r>
      <w:r w:rsidR="007E2211">
        <w:t>,</w:t>
      </w:r>
      <w:r w:rsidR="00CF0D40">
        <w:t xml:space="preserve"> </w:t>
      </w:r>
      <w:r w:rsidRPr="004812F6">
        <w:t>should be appropriate to compensate him in this regard.</w:t>
      </w:r>
    </w:p>
    <w:p w:rsidR="00871DBB" w:rsidRPr="00871DBB" w:rsidRDefault="00871DBB" w:rsidP="00871DBB">
      <w:pPr>
        <w:pStyle w:val="H-1"/>
        <w:rPr>
          <w:b/>
          <w:lang w:val="en-US"/>
        </w:rPr>
      </w:pPr>
      <w:r w:rsidRPr="00871DBB">
        <w:rPr>
          <w:b/>
          <w:lang w:val="en-US"/>
        </w:rPr>
        <w:t>Special damages</w:t>
      </w:r>
    </w:p>
    <w:p w:rsidR="00871DBB" w:rsidRPr="004812F6" w:rsidRDefault="00871DBB" w:rsidP="00871DBB">
      <w:pPr>
        <w:pStyle w:val="Final"/>
      </w:pPr>
      <w:r w:rsidRPr="004812F6">
        <w:t>The Plaintiff claim</w:t>
      </w:r>
      <w:r w:rsidR="00953694">
        <w:t>s</w:t>
      </w:r>
      <w:r w:rsidRPr="004812F6">
        <w:t xml:space="preserve"> the following special damages:</w:t>
      </w:r>
    </w:p>
    <w:tbl>
      <w:tblPr>
        <w:tblW w:w="0" w:type="auto"/>
        <w:tblInd w:w="918" w:type="dxa"/>
        <w:tblLook w:val="04A0" w:firstRow="1" w:lastRow="0" w:firstColumn="1" w:lastColumn="0" w:noHBand="0" w:noVBand="1"/>
      </w:tblPr>
      <w:tblGrid>
        <w:gridCol w:w="543"/>
        <w:gridCol w:w="4407"/>
        <w:gridCol w:w="1890"/>
      </w:tblGrid>
      <w:tr w:rsidR="00871DBB" w:rsidRPr="004812F6" w:rsidTr="002725F9">
        <w:tc>
          <w:tcPr>
            <w:tcW w:w="543" w:type="dxa"/>
            <w:shd w:val="clear" w:color="auto" w:fill="auto"/>
          </w:tcPr>
          <w:p w:rsidR="00871DBB" w:rsidRPr="00BA3AAD" w:rsidRDefault="00871DBB" w:rsidP="00BA3AAD">
            <w:pPr>
              <w:rPr>
                <w:sz w:val="28"/>
                <w:szCs w:val="28"/>
              </w:rPr>
            </w:pPr>
            <w:r w:rsidRPr="00BA3AAD">
              <w:rPr>
                <w:sz w:val="28"/>
                <w:szCs w:val="28"/>
              </w:rPr>
              <w:t>(a)</w:t>
            </w:r>
          </w:p>
        </w:tc>
        <w:tc>
          <w:tcPr>
            <w:tcW w:w="4407" w:type="dxa"/>
            <w:shd w:val="clear" w:color="auto" w:fill="auto"/>
          </w:tcPr>
          <w:p w:rsidR="00871DBB" w:rsidRPr="00BA3AAD" w:rsidRDefault="00871DBB" w:rsidP="00BA3AAD">
            <w:pPr>
              <w:rPr>
                <w:sz w:val="28"/>
                <w:szCs w:val="28"/>
              </w:rPr>
            </w:pPr>
            <w:r w:rsidRPr="00BA3AAD">
              <w:rPr>
                <w:sz w:val="28"/>
                <w:szCs w:val="28"/>
              </w:rPr>
              <w:t>Medical expenses</w:t>
            </w:r>
          </w:p>
        </w:tc>
        <w:tc>
          <w:tcPr>
            <w:tcW w:w="1890" w:type="dxa"/>
            <w:shd w:val="clear" w:color="auto" w:fill="auto"/>
          </w:tcPr>
          <w:p w:rsidR="00871DBB" w:rsidRPr="00BA3AAD" w:rsidRDefault="00871DBB" w:rsidP="00BA3AAD">
            <w:pPr>
              <w:jc w:val="right"/>
              <w:rPr>
                <w:sz w:val="28"/>
                <w:szCs w:val="28"/>
              </w:rPr>
            </w:pPr>
            <w:r w:rsidRPr="00BA3AAD">
              <w:rPr>
                <w:sz w:val="28"/>
                <w:szCs w:val="28"/>
              </w:rPr>
              <w:t>$5,000</w:t>
            </w:r>
          </w:p>
        </w:tc>
      </w:tr>
      <w:tr w:rsidR="00871DBB" w:rsidRPr="004812F6" w:rsidTr="002725F9">
        <w:tc>
          <w:tcPr>
            <w:tcW w:w="543" w:type="dxa"/>
            <w:shd w:val="clear" w:color="auto" w:fill="auto"/>
          </w:tcPr>
          <w:p w:rsidR="00871DBB" w:rsidRPr="00BA3AAD" w:rsidRDefault="00871DBB" w:rsidP="00BA3AAD">
            <w:pPr>
              <w:rPr>
                <w:sz w:val="28"/>
                <w:szCs w:val="28"/>
              </w:rPr>
            </w:pPr>
            <w:r w:rsidRPr="00BA3AAD">
              <w:rPr>
                <w:sz w:val="28"/>
                <w:szCs w:val="28"/>
              </w:rPr>
              <w:t>(b)</w:t>
            </w:r>
          </w:p>
        </w:tc>
        <w:tc>
          <w:tcPr>
            <w:tcW w:w="4407" w:type="dxa"/>
            <w:shd w:val="clear" w:color="auto" w:fill="auto"/>
          </w:tcPr>
          <w:p w:rsidR="00871DBB" w:rsidRPr="00BA3AAD" w:rsidRDefault="00871DBB" w:rsidP="00BA3AAD">
            <w:pPr>
              <w:rPr>
                <w:sz w:val="28"/>
                <w:szCs w:val="28"/>
              </w:rPr>
            </w:pPr>
            <w:r w:rsidRPr="00BA3AAD">
              <w:rPr>
                <w:sz w:val="28"/>
                <w:szCs w:val="28"/>
              </w:rPr>
              <w:t xml:space="preserve">Travelling expenses </w:t>
            </w:r>
          </w:p>
        </w:tc>
        <w:tc>
          <w:tcPr>
            <w:tcW w:w="1890" w:type="dxa"/>
            <w:shd w:val="clear" w:color="auto" w:fill="auto"/>
          </w:tcPr>
          <w:p w:rsidR="00871DBB" w:rsidRPr="00BA3AAD" w:rsidRDefault="00871DBB" w:rsidP="00BA3AAD">
            <w:pPr>
              <w:jc w:val="right"/>
              <w:rPr>
                <w:sz w:val="28"/>
                <w:szCs w:val="28"/>
              </w:rPr>
            </w:pPr>
            <w:r w:rsidRPr="00BA3AAD">
              <w:rPr>
                <w:sz w:val="28"/>
                <w:szCs w:val="28"/>
              </w:rPr>
              <w:t>$3,000</w:t>
            </w:r>
          </w:p>
        </w:tc>
      </w:tr>
      <w:tr w:rsidR="00871DBB" w:rsidRPr="004812F6" w:rsidTr="002725F9">
        <w:tc>
          <w:tcPr>
            <w:tcW w:w="543" w:type="dxa"/>
            <w:shd w:val="clear" w:color="auto" w:fill="auto"/>
          </w:tcPr>
          <w:p w:rsidR="00871DBB" w:rsidRPr="00BA3AAD" w:rsidRDefault="00871DBB" w:rsidP="00BA3AAD">
            <w:pPr>
              <w:rPr>
                <w:sz w:val="28"/>
                <w:szCs w:val="28"/>
              </w:rPr>
            </w:pPr>
            <w:r w:rsidRPr="00BA3AAD">
              <w:rPr>
                <w:sz w:val="28"/>
                <w:szCs w:val="28"/>
              </w:rPr>
              <w:t>(c)</w:t>
            </w:r>
          </w:p>
        </w:tc>
        <w:tc>
          <w:tcPr>
            <w:tcW w:w="4407" w:type="dxa"/>
            <w:shd w:val="clear" w:color="auto" w:fill="auto"/>
          </w:tcPr>
          <w:p w:rsidR="00871DBB" w:rsidRPr="00BA3AAD" w:rsidRDefault="00871DBB" w:rsidP="00BA3AAD">
            <w:pPr>
              <w:rPr>
                <w:sz w:val="28"/>
                <w:szCs w:val="28"/>
              </w:rPr>
            </w:pPr>
            <w:r w:rsidRPr="00BA3AAD">
              <w:rPr>
                <w:sz w:val="28"/>
                <w:szCs w:val="28"/>
              </w:rPr>
              <w:t>Tonic food</w:t>
            </w:r>
          </w:p>
        </w:tc>
        <w:tc>
          <w:tcPr>
            <w:tcW w:w="1890" w:type="dxa"/>
            <w:shd w:val="clear" w:color="auto" w:fill="auto"/>
          </w:tcPr>
          <w:p w:rsidR="00871DBB" w:rsidRPr="00BA3AAD" w:rsidRDefault="00871DBB" w:rsidP="00BA3AAD">
            <w:pPr>
              <w:jc w:val="right"/>
              <w:rPr>
                <w:sz w:val="28"/>
                <w:szCs w:val="28"/>
              </w:rPr>
            </w:pPr>
            <w:r w:rsidRPr="00BA3AAD">
              <w:rPr>
                <w:sz w:val="28"/>
                <w:szCs w:val="28"/>
              </w:rPr>
              <w:t>$3,000</w:t>
            </w:r>
          </w:p>
        </w:tc>
      </w:tr>
      <w:tr w:rsidR="00871DBB" w:rsidRPr="00D260C8" w:rsidTr="002725F9">
        <w:tc>
          <w:tcPr>
            <w:tcW w:w="543" w:type="dxa"/>
            <w:shd w:val="clear" w:color="auto" w:fill="auto"/>
          </w:tcPr>
          <w:p w:rsidR="00871DBB" w:rsidRPr="00BA3AAD" w:rsidRDefault="00871DBB" w:rsidP="00BA3AAD">
            <w:pPr>
              <w:rPr>
                <w:b/>
                <w:sz w:val="28"/>
                <w:szCs w:val="28"/>
              </w:rPr>
            </w:pPr>
          </w:p>
        </w:tc>
        <w:tc>
          <w:tcPr>
            <w:tcW w:w="4407" w:type="dxa"/>
            <w:shd w:val="clear" w:color="auto" w:fill="auto"/>
          </w:tcPr>
          <w:p w:rsidR="00871DBB" w:rsidRPr="00BA3AAD" w:rsidRDefault="00871DBB" w:rsidP="00BA3AAD">
            <w:pPr>
              <w:rPr>
                <w:b/>
                <w:sz w:val="28"/>
                <w:szCs w:val="28"/>
              </w:rPr>
            </w:pPr>
            <w:r w:rsidRPr="00BA3AAD">
              <w:rPr>
                <w:b/>
                <w:sz w:val="28"/>
                <w:szCs w:val="28"/>
              </w:rPr>
              <w:t>Total:</w:t>
            </w:r>
          </w:p>
        </w:tc>
        <w:tc>
          <w:tcPr>
            <w:tcW w:w="1890" w:type="dxa"/>
            <w:shd w:val="clear" w:color="auto" w:fill="auto"/>
          </w:tcPr>
          <w:p w:rsidR="00871DBB" w:rsidRPr="00BA3AAD" w:rsidRDefault="00871DBB" w:rsidP="00BA3AAD">
            <w:pPr>
              <w:jc w:val="right"/>
              <w:rPr>
                <w:b/>
                <w:sz w:val="28"/>
                <w:szCs w:val="28"/>
              </w:rPr>
            </w:pPr>
            <w:r w:rsidRPr="00BA3AAD">
              <w:rPr>
                <w:b/>
                <w:sz w:val="28"/>
                <w:szCs w:val="28"/>
              </w:rPr>
              <w:t>$11,000</w:t>
            </w:r>
          </w:p>
        </w:tc>
      </w:tr>
      <w:tr w:rsidR="00277C41" w:rsidRPr="00D260C8" w:rsidTr="002725F9">
        <w:tc>
          <w:tcPr>
            <w:tcW w:w="543" w:type="dxa"/>
            <w:shd w:val="clear" w:color="auto" w:fill="auto"/>
          </w:tcPr>
          <w:p w:rsidR="00277C41" w:rsidRPr="00BA3AAD" w:rsidRDefault="00277C41" w:rsidP="00BA3AAD">
            <w:pPr>
              <w:rPr>
                <w:b/>
                <w:sz w:val="28"/>
                <w:szCs w:val="28"/>
              </w:rPr>
            </w:pPr>
          </w:p>
        </w:tc>
        <w:tc>
          <w:tcPr>
            <w:tcW w:w="4407" w:type="dxa"/>
            <w:shd w:val="clear" w:color="auto" w:fill="auto"/>
          </w:tcPr>
          <w:p w:rsidR="00277C41" w:rsidRPr="00BA3AAD" w:rsidRDefault="00277C41" w:rsidP="00BA3AAD">
            <w:pPr>
              <w:rPr>
                <w:b/>
                <w:sz w:val="28"/>
                <w:szCs w:val="28"/>
              </w:rPr>
            </w:pPr>
          </w:p>
        </w:tc>
        <w:tc>
          <w:tcPr>
            <w:tcW w:w="1890" w:type="dxa"/>
            <w:shd w:val="clear" w:color="auto" w:fill="auto"/>
          </w:tcPr>
          <w:p w:rsidR="00277C41" w:rsidRPr="00BA3AAD" w:rsidRDefault="00277C41" w:rsidP="00BA3AAD">
            <w:pPr>
              <w:jc w:val="right"/>
              <w:rPr>
                <w:b/>
                <w:sz w:val="28"/>
                <w:szCs w:val="28"/>
              </w:rPr>
            </w:pPr>
          </w:p>
        </w:tc>
      </w:tr>
    </w:tbl>
    <w:p w:rsidR="00871DBB" w:rsidRDefault="00871DBB" w:rsidP="00871DBB">
      <w:pPr>
        <w:pStyle w:val="Final"/>
      </w:pPr>
      <w:r w:rsidRPr="004812F6">
        <w:t>I accept that the amounts claimed by the Plaintiff are reasonable and should be allowed in full.</w:t>
      </w:r>
    </w:p>
    <w:p w:rsidR="00871DBB" w:rsidRPr="00871DBB" w:rsidRDefault="00277C41" w:rsidP="00871DBB">
      <w:pPr>
        <w:pStyle w:val="H-1"/>
        <w:rPr>
          <w:b/>
          <w:lang w:val="en-US"/>
        </w:rPr>
      </w:pPr>
      <w:r>
        <w:rPr>
          <w:b/>
          <w:lang w:val="en-US"/>
        </w:rPr>
        <w:br w:type="page"/>
      </w:r>
      <w:r w:rsidR="00871DBB" w:rsidRPr="00871DBB">
        <w:rPr>
          <w:b/>
          <w:lang w:val="en-US"/>
        </w:rPr>
        <w:t>Summary</w:t>
      </w:r>
    </w:p>
    <w:p w:rsidR="00871DBB" w:rsidRDefault="00871DBB" w:rsidP="00871DBB">
      <w:pPr>
        <w:pStyle w:val="Final"/>
      </w:pPr>
      <w:r w:rsidRPr="004812F6">
        <w:t>The Plaintiff’s damages should be assessed as follows:</w:t>
      </w:r>
    </w:p>
    <w:tbl>
      <w:tblPr>
        <w:tblW w:w="0" w:type="auto"/>
        <w:tblInd w:w="918" w:type="dxa"/>
        <w:tblLook w:val="04A0" w:firstRow="1" w:lastRow="0" w:firstColumn="1" w:lastColumn="0" w:noHBand="0" w:noVBand="1"/>
      </w:tblPr>
      <w:tblGrid>
        <w:gridCol w:w="543"/>
        <w:gridCol w:w="4407"/>
        <w:gridCol w:w="1890"/>
      </w:tblGrid>
      <w:tr w:rsidR="00871DBB" w:rsidRPr="004812F6" w:rsidTr="002725F9">
        <w:tc>
          <w:tcPr>
            <w:tcW w:w="543" w:type="dxa"/>
            <w:shd w:val="clear" w:color="auto" w:fill="auto"/>
          </w:tcPr>
          <w:p w:rsidR="00871DBB" w:rsidRPr="00BA3AAD" w:rsidRDefault="00871DBB" w:rsidP="00BA3AAD">
            <w:pPr>
              <w:rPr>
                <w:sz w:val="28"/>
                <w:szCs w:val="28"/>
              </w:rPr>
            </w:pPr>
            <w:r w:rsidRPr="00BA3AAD">
              <w:rPr>
                <w:sz w:val="28"/>
                <w:szCs w:val="28"/>
              </w:rPr>
              <w:t>(a)</w:t>
            </w:r>
          </w:p>
        </w:tc>
        <w:tc>
          <w:tcPr>
            <w:tcW w:w="4407" w:type="dxa"/>
            <w:shd w:val="clear" w:color="auto" w:fill="auto"/>
          </w:tcPr>
          <w:p w:rsidR="00871DBB" w:rsidRPr="00BA3AAD" w:rsidRDefault="00871DBB" w:rsidP="00BA3AAD">
            <w:pPr>
              <w:rPr>
                <w:sz w:val="28"/>
                <w:szCs w:val="28"/>
              </w:rPr>
            </w:pPr>
            <w:r w:rsidRPr="00BA3AAD">
              <w:rPr>
                <w:sz w:val="28"/>
                <w:szCs w:val="28"/>
              </w:rPr>
              <w:t>PSLA</w:t>
            </w:r>
          </w:p>
        </w:tc>
        <w:tc>
          <w:tcPr>
            <w:tcW w:w="1890" w:type="dxa"/>
            <w:shd w:val="clear" w:color="auto" w:fill="auto"/>
          </w:tcPr>
          <w:p w:rsidR="00871DBB" w:rsidRPr="00BA3AAD" w:rsidRDefault="00871DBB" w:rsidP="00BA3AAD">
            <w:pPr>
              <w:jc w:val="right"/>
              <w:rPr>
                <w:sz w:val="28"/>
                <w:szCs w:val="28"/>
              </w:rPr>
            </w:pPr>
            <w:r w:rsidRPr="00BA3AAD">
              <w:rPr>
                <w:sz w:val="28"/>
                <w:szCs w:val="28"/>
              </w:rPr>
              <w:t>$300,000</w:t>
            </w:r>
          </w:p>
        </w:tc>
      </w:tr>
      <w:tr w:rsidR="00871DBB" w:rsidRPr="004812F6" w:rsidTr="002725F9">
        <w:tc>
          <w:tcPr>
            <w:tcW w:w="543" w:type="dxa"/>
            <w:shd w:val="clear" w:color="auto" w:fill="auto"/>
          </w:tcPr>
          <w:p w:rsidR="00871DBB" w:rsidRPr="00BA3AAD" w:rsidRDefault="00871DBB" w:rsidP="00BA3AAD">
            <w:pPr>
              <w:rPr>
                <w:sz w:val="28"/>
                <w:szCs w:val="28"/>
              </w:rPr>
            </w:pPr>
            <w:r w:rsidRPr="00BA3AAD">
              <w:rPr>
                <w:sz w:val="28"/>
                <w:szCs w:val="28"/>
              </w:rPr>
              <w:t>(b)</w:t>
            </w:r>
          </w:p>
        </w:tc>
        <w:tc>
          <w:tcPr>
            <w:tcW w:w="4407" w:type="dxa"/>
            <w:shd w:val="clear" w:color="auto" w:fill="auto"/>
          </w:tcPr>
          <w:p w:rsidR="00871DBB" w:rsidRPr="00BA3AAD" w:rsidRDefault="00871DBB" w:rsidP="00BA3AAD">
            <w:pPr>
              <w:rPr>
                <w:sz w:val="28"/>
                <w:szCs w:val="28"/>
              </w:rPr>
            </w:pPr>
            <w:r w:rsidRPr="00BA3AAD">
              <w:rPr>
                <w:sz w:val="28"/>
                <w:szCs w:val="28"/>
              </w:rPr>
              <w:t>Pre-trial loss of earnings</w:t>
            </w:r>
          </w:p>
        </w:tc>
        <w:tc>
          <w:tcPr>
            <w:tcW w:w="1890" w:type="dxa"/>
            <w:shd w:val="clear" w:color="auto" w:fill="auto"/>
          </w:tcPr>
          <w:p w:rsidR="00871DBB" w:rsidRPr="00BA3AAD" w:rsidRDefault="00871DBB" w:rsidP="00BA3AAD">
            <w:pPr>
              <w:jc w:val="right"/>
              <w:rPr>
                <w:sz w:val="28"/>
                <w:szCs w:val="28"/>
              </w:rPr>
            </w:pPr>
            <w:r w:rsidRPr="00BA3AAD">
              <w:rPr>
                <w:sz w:val="28"/>
                <w:szCs w:val="28"/>
              </w:rPr>
              <w:t>$772,800</w:t>
            </w:r>
          </w:p>
        </w:tc>
      </w:tr>
      <w:tr w:rsidR="00871DBB" w:rsidRPr="004812F6" w:rsidTr="002725F9">
        <w:tc>
          <w:tcPr>
            <w:tcW w:w="543" w:type="dxa"/>
            <w:shd w:val="clear" w:color="auto" w:fill="auto"/>
          </w:tcPr>
          <w:p w:rsidR="00871DBB" w:rsidRPr="00BA3AAD" w:rsidRDefault="00871DBB" w:rsidP="00BA3AAD">
            <w:pPr>
              <w:rPr>
                <w:sz w:val="28"/>
                <w:szCs w:val="28"/>
              </w:rPr>
            </w:pPr>
            <w:r w:rsidRPr="00BA3AAD">
              <w:rPr>
                <w:sz w:val="28"/>
                <w:szCs w:val="28"/>
              </w:rPr>
              <w:t>(c)</w:t>
            </w:r>
          </w:p>
        </w:tc>
        <w:tc>
          <w:tcPr>
            <w:tcW w:w="4407" w:type="dxa"/>
            <w:shd w:val="clear" w:color="auto" w:fill="auto"/>
          </w:tcPr>
          <w:p w:rsidR="00871DBB" w:rsidRPr="00BA3AAD" w:rsidRDefault="00871DBB" w:rsidP="00BA3AAD">
            <w:pPr>
              <w:rPr>
                <w:sz w:val="28"/>
                <w:szCs w:val="28"/>
              </w:rPr>
            </w:pPr>
            <w:r w:rsidRPr="00BA3AAD">
              <w:rPr>
                <w:sz w:val="28"/>
                <w:szCs w:val="28"/>
              </w:rPr>
              <w:t>Loss of earning capacity</w:t>
            </w:r>
          </w:p>
        </w:tc>
        <w:tc>
          <w:tcPr>
            <w:tcW w:w="1890" w:type="dxa"/>
            <w:shd w:val="clear" w:color="auto" w:fill="auto"/>
          </w:tcPr>
          <w:p w:rsidR="00871DBB" w:rsidRPr="00BA3AAD" w:rsidRDefault="00871DBB" w:rsidP="00BA3AAD">
            <w:pPr>
              <w:jc w:val="right"/>
              <w:rPr>
                <w:sz w:val="28"/>
                <w:szCs w:val="28"/>
              </w:rPr>
            </w:pPr>
            <w:r w:rsidRPr="00BA3AAD">
              <w:rPr>
                <w:sz w:val="28"/>
                <w:szCs w:val="28"/>
              </w:rPr>
              <w:t>$138,000</w:t>
            </w:r>
          </w:p>
        </w:tc>
      </w:tr>
      <w:tr w:rsidR="00871DBB" w:rsidRPr="004812F6" w:rsidTr="002725F9">
        <w:tc>
          <w:tcPr>
            <w:tcW w:w="543" w:type="dxa"/>
            <w:shd w:val="clear" w:color="auto" w:fill="auto"/>
          </w:tcPr>
          <w:p w:rsidR="00871DBB" w:rsidRPr="00BA3AAD" w:rsidRDefault="00871DBB" w:rsidP="00BA3AAD">
            <w:pPr>
              <w:rPr>
                <w:sz w:val="28"/>
                <w:szCs w:val="28"/>
              </w:rPr>
            </w:pPr>
            <w:r w:rsidRPr="00BA3AAD">
              <w:rPr>
                <w:sz w:val="28"/>
                <w:szCs w:val="28"/>
              </w:rPr>
              <w:t>(d)</w:t>
            </w:r>
          </w:p>
        </w:tc>
        <w:tc>
          <w:tcPr>
            <w:tcW w:w="4407" w:type="dxa"/>
            <w:shd w:val="clear" w:color="auto" w:fill="auto"/>
          </w:tcPr>
          <w:p w:rsidR="00871DBB" w:rsidRPr="00BA3AAD" w:rsidRDefault="00871DBB" w:rsidP="00BA3AAD">
            <w:pPr>
              <w:rPr>
                <w:sz w:val="28"/>
                <w:szCs w:val="28"/>
              </w:rPr>
            </w:pPr>
            <w:r w:rsidRPr="00BA3AAD">
              <w:rPr>
                <w:sz w:val="28"/>
                <w:szCs w:val="28"/>
              </w:rPr>
              <w:t>Special damages</w:t>
            </w:r>
          </w:p>
        </w:tc>
        <w:tc>
          <w:tcPr>
            <w:tcW w:w="1890" w:type="dxa"/>
            <w:shd w:val="clear" w:color="auto" w:fill="auto"/>
          </w:tcPr>
          <w:p w:rsidR="00871DBB" w:rsidRPr="00BA3AAD" w:rsidRDefault="00871DBB" w:rsidP="00BA3AAD">
            <w:pPr>
              <w:jc w:val="right"/>
              <w:rPr>
                <w:sz w:val="28"/>
                <w:szCs w:val="28"/>
              </w:rPr>
            </w:pPr>
            <w:r w:rsidRPr="00BA3AAD">
              <w:rPr>
                <w:sz w:val="28"/>
                <w:szCs w:val="28"/>
              </w:rPr>
              <w:t>$11,000</w:t>
            </w:r>
          </w:p>
        </w:tc>
      </w:tr>
      <w:tr w:rsidR="00871DBB" w:rsidRPr="004812F6" w:rsidTr="002725F9">
        <w:tc>
          <w:tcPr>
            <w:tcW w:w="543" w:type="dxa"/>
            <w:shd w:val="clear" w:color="auto" w:fill="auto"/>
          </w:tcPr>
          <w:p w:rsidR="00871DBB" w:rsidRPr="00BA3AAD" w:rsidRDefault="00871DBB" w:rsidP="00BA3AAD">
            <w:pPr>
              <w:rPr>
                <w:sz w:val="28"/>
                <w:szCs w:val="28"/>
              </w:rPr>
            </w:pPr>
          </w:p>
        </w:tc>
        <w:tc>
          <w:tcPr>
            <w:tcW w:w="4407" w:type="dxa"/>
            <w:shd w:val="clear" w:color="auto" w:fill="auto"/>
          </w:tcPr>
          <w:p w:rsidR="00871DBB" w:rsidRPr="00BA3AAD" w:rsidRDefault="00871DBB" w:rsidP="00BA3AAD">
            <w:pPr>
              <w:rPr>
                <w:sz w:val="28"/>
                <w:szCs w:val="28"/>
              </w:rPr>
            </w:pPr>
            <w:r w:rsidRPr="00BA3AAD">
              <w:rPr>
                <w:sz w:val="28"/>
                <w:szCs w:val="28"/>
              </w:rPr>
              <w:t>Sub-total</w:t>
            </w:r>
          </w:p>
        </w:tc>
        <w:tc>
          <w:tcPr>
            <w:tcW w:w="1890" w:type="dxa"/>
            <w:shd w:val="clear" w:color="auto" w:fill="auto"/>
          </w:tcPr>
          <w:p w:rsidR="00871DBB" w:rsidRPr="00BA3AAD" w:rsidRDefault="00871DBB" w:rsidP="00BA3AAD">
            <w:pPr>
              <w:jc w:val="right"/>
              <w:rPr>
                <w:sz w:val="28"/>
                <w:szCs w:val="28"/>
              </w:rPr>
            </w:pPr>
            <w:r w:rsidRPr="00BA3AAD">
              <w:rPr>
                <w:sz w:val="28"/>
                <w:szCs w:val="28"/>
              </w:rPr>
              <w:t>$1,221,800</w:t>
            </w:r>
          </w:p>
        </w:tc>
      </w:tr>
      <w:tr w:rsidR="00871DBB" w:rsidRPr="004812F6" w:rsidTr="002725F9">
        <w:tc>
          <w:tcPr>
            <w:tcW w:w="543" w:type="dxa"/>
            <w:shd w:val="clear" w:color="auto" w:fill="auto"/>
          </w:tcPr>
          <w:p w:rsidR="00871DBB" w:rsidRPr="00BA3AAD" w:rsidRDefault="00871DBB" w:rsidP="00BA3AAD">
            <w:pPr>
              <w:rPr>
                <w:sz w:val="28"/>
                <w:szCs w:val="28"/>
              </w:rPr>
            </w:pPr>
          </w:p>
        </w:tc>
        <w:tc>
          <w:tcPr>
            <w:tcW w:w="4407" w:type="dxa"/>
            <w:shd w:val="clear" w:color="auto" w:fill="auto"/>
          </w:tcPr>
          <w:p w:rsidR="00871DBB" w:rsidRPr="00BA3AAD" w:rsidRDefault="00871DBB" w:rsidP="00BA3AAD">
            <w:pPr>
              <w:rPr>
                <w:sz w:val="28"/>
                <w:szCs w:val="28"/>
              </w:rPr>
            </w:pPr>
            <w:r w:rsidRPr="00BA3AAD">
              <w:rPr>
                <w:sz w:val="28"/>
                <w:szCs w:val="28"/>
              </w:rPr>
              <w:t xml:space="preserve">Less: Employees’ compensation </w:t>
            </w:r>
          </w:p>
        </w:tc>
        <w:tc>
          <w:tcPr>
            <w:tcW w:w="1890" w:type="dxa"/>
            <w:shd w:val="clear" w:color="auto" w:fill="auto"/>
          </w:tcPr>
          <w:p w:rsidR="00871DBB" w:rsidRPr="00BA3AAD" w:rsidRDefault="00871DBB" w:rsidP="00BA3AAD">
            <w:pPr>
              <w:jc w:val="right"/>
              <w:rPr>
                <w:sz w:val="28"/>
                <w:szCs w:val="28"/>
              </w:rPr>
            </w:pPr>
            <w:r w:rsidRPr="00BA3AAD">
              <w:rPr>
                <w:sz w:val="28"/>
                <w:szCs w:val="28"/>
              </w:rPr>
              <w:t>$637,806.48</w:t>
            </w:r>
          </w:p>
        </w:tc>
      </w:tr>
      <w:tr w:rsidR="00871DBB" w:rsidRPr="00D260C8" w:rsidTr="002725F9">
        <w:tc>
          <w:tcPr>
            <w:tcW w:w="543" w:type="dxa"/>
            <w:shd w:val="clear" w:color="auto" w:fill="auto"/>
          </w:tcPr>
          <w:p w:rsidR="00871DBB" w:rsidRPr="00BA3AAD" w:rsidRDefault="00871DBB" w:rsidP="00BA3AAD">
            <w:pPr>
              <w:rPr>
                <w:b/>
                <w:sz w:val="28"/>
                <w:szCs w:val="28"/>
              </w:rPr>
            </w:pPr>
          </w:p>
        </w:tc>
        <w:tc>
          <w:tcPr>
            <w:tcW w:w="4407" w:type="dxa"/>
            <w:shd w:val="clear" w:color="auto" w:fill="auto"/>
          </w:tcPr>
          <w:p w:rsidR="00871DBB" w:rsidRPr="00BA3AAD" w:rsidRDefault="00871DBB" w:rsidP="00BA3AAD">
            <w:pPr>
              <w:rPr>
                <w:b/>
                <w:sz w:val="28"/>
                <w:szCs w:val="28"/>
              </w:rPr>
            </w:pPr>
            <w:r w:rsidRPr="00BA3AAD">
              <w:rPr>
                <w:b/>
                <w:sz w:val="28"/>
                <w:szCs w:val="28"/>
              </w:rPr>
              <w:t>Total:</w:t>
            </w:r>
          </w:p>
        </w:tc>
        <w:tc>
          <w:tcPr>
            <w:tcW w:w="1890" w:type="dxa"/>
            <w:shd w:val="clear" w:color="auto" w:fill="auto"/>
          </w:tcPr>
          <w:p w:rsidR="00871DBB" w:rsidRPr="00BA3AAD" w:rsidRDefault="00871DBB" w:rsidP="00BA3AAD">
            <w:pPr>
              <w:jc w:val="right"/>
              <w:rPr>
                <w:b/>
                <w:sz w:val="28"/>
                <w:szCs w:val="28"/>
              </w:rPr>
            </w:pPr>
            <w:r w:rsidRPr="00BA3AAD">
              <w:rPr>
                <w:b/>
                <w:sz w:val="28"/>
                <w:szCs w:val="28"/>
              </w:rPr>
              <w:t>$583,993.52</w:t>
            </w:r>
          </w:p>
        </w:tc>
      </w:tr>
    </w:tbl>
    <w:p w:rsidR="00871DBB" w:rsidRPr="004812F6" w:rsidRDefault="00871DBB" w:rsidP="00871DBB"/>
    <w:p w:rsidR="00871DBB" w:rsidRPr="00871DBB" w:rsidRDefault="00871DBB" w:rsidP="00871DBB">
      <w:pPr>
        <w:pStyle w:val="H-1"/>
        <w:rPr>
          <w:b/>
          <w:lang w:val="en-US"/>
        </w:rPr>
      </w:pPr>
      <w:r w:rsidRPr="00871DBB">
        <w:rPr>
          <w:b/>
          <w:lang w:val="en-US"/>
        </w:rPr>
        <w:t>Interest and costs</w:t>
      </w:r>
    </w:p>
    <w:p w:rsidR="00871DBB" w:rsidRPr="00871DBB" w:rsidRDefault="00871DBB" w:rsidP="00871DBB">
      <w:pPr>
        <w:pStyle w:val="Final"/>
      </w:pPr>
      <w:r w:rsidRPr="004812F6">
        <w:t xml:space="preserve">Interest will be awarded at 2% per annum on damages for PSLA from the date of the writ. Interest on other pre-trial loss and special damages will be awarded at half the judgment rate from the date of the </w:t>
      </w:r>
      <w:r>
        <w:t>incident.</w:t>
      </w:r>
      <w:r w:rsidR="005B6B25">
        <w:t xml:space="preserve"> </w:t>
      </w:r>
      <w:r>
        <w:t xml:space="preserve"> The P</w:t>
      </w:r>
      <w:r w:rsidRPr="004812F6">
        <w:t xml:space="preserve">laintiff's </w:t>
      </w:r>
      <w:r w:rsidR="005B6B25">
        <w:t>S</w:t>
      </w:r>
      <w:r w:rsidRPr="004812F6">
        <w:t>olicitors are directed to calculate the amount of interest to be included in the judgment.</w:t>
      </w:r>
    </w:p>
    <w:p w:rsidR="00CB7F0B" w:rsidRPr="00277C41" w:rsidRDefault="00871DBB" w:rsidP="00277C41">
      <w:pPr>
        <w:pStyle w:val="Final"/>
      </w:pPr>
      <w:r w:rsidRPr="004812F6">
        <w:t xml:space="preserve">I also make a costs order </w:t>
      </w:r>
      <w:r w:rsidRPr="007E2211">
        <w:rPr>
          <w:i/>
        </w:rPr>
        <w:t>nisi</w:t>
      </w:r>
      <w:r w:rsidRPr="004812F6">
        <w:t xml:space="preserve"> against the Defendant in favour of the Plaintiff for the assessment of damages proceedings including all costs previously reserved in relation to the assessment of damages.  As the Plaintiff is legally aided, his own costs shall be taxed in accordance with the Legal Aid Regulations.  The above order </w:t>
      </w:r>
      <w:r w:rsidRPr="00871DBB">
        <w:rPr>
          <w:i/>
        </w:rPr>
        <w:t xml:space="preserve">nisi </w:t>
      </w:r>
      <w:r w:rsidRPr="004812F6">
        <w:t>shall become absolute after 14 days from the date hereof unless any party applies to vary them within th</w:t>
      </w:r>
      <w:r w:rsidR="00C76E45">
        <w:t>e</w:t>
      </w:r>
      <w:r w:rsidRPr="004812F6">
        <w:t xml:space="preserve"> 14</w:t>
      </w:r>
      <w:r w:rsidR="00C76E45">
        <w:t>-</w:t>
      </w:r>
      <w:r w:rsidRPr="004812F6">
        <w:t>day period.</w:t>
      </w:r>
    </w:p>
    <w:p w:rsidR="00277C41" w:rsidRPr="005706C6" w:rsidRDefault="0098608F" w:rsidP="00E368EC">
      <w:pPr>
        <w:ind w:left="5040"/>
        <w:jc w:val="center"/>
        <w:rPr>
          <w:rFonts w:eastAsia="PMingLiU"/>
          <w:b/>
          <w:sz w:val="28"/>
          <w:szCs w:val="28"/>
          <w:lang w:val="en-GB" w:eastAsia="zh-HK"/>
        </w:rPr>
      </w:pPr>
      <w:r>
        <w:rPr>
          <w:rFonts w:eastAsia="PMingLiU"/>
          <w:b/>
          <w:sz w:val="28"/>
          <w:szCs w:val="28"/>
          <w:lang w:val="en-GB" w:eastAsia="zh-HK"/>
        </w:rPr>
        <w:t xml:space="preserve"> </w:t>
      </w:r>
    </w:p>
    <w:p w:rsidR="00277C41" w:rsidRPr="00277C41" w:rsidRDefault="00277C41" w:rsidP="00E368EC">
      <w:pPr>
        <w:ind w:left="5040"/>
        <w:jc w:val="center"/>
        <w:rPr>
          <w:rFonts w:eastAsia="PMingLiU"/>
          <w:sz w:val="28"/>
          <w:szCs w:val="28"/>
          <w:lang w:val="en-GB" w:eastAsia="zh-HK"/>
        </w:rPr>
      </w:pPr>
    </w:p>
    <w:p w:rsidR="00973673" w:rsidRPr="00007FDC" w:rsidRDefault="00973673" w:rsidP="00E368EC">
      <w:pPr>
        <w:ind w:left="5040"/>
        <w:jc w:val="center"/>
        <w:rPr>
          <w:rFonts w:eastAsia="PMingLiU"/>
          <w:sz w:val="28"/>
          <w:szCs w:val="28"/>
          <w:lang w:eastAsia="zh-HK"/>
        </w:rPr>
      </w:pPr>
      <w:r w:rsidRPr="00007FDC">
        <w:rPr>
          <w:rFonts w:eastAsia="PMingLiU"/>
          <w:sz w:val="28"/>
          <w:szCs w:val="28"/>
          <w:lang w:eastAsia="zh-HK"/>
        </w:rPr>
        <w:t>(</w:t>
      </w:r>
      <w:r w:rsidR="00816510">
        <w:rPr>
          <w:rFonts w:eastAsia="PMingLiU"/>
          <w:sz w:val="28"/>
          <w:szCs w:val="28"/>
          <w:lang w:eastAsia="zh-HK"/>
        </w:rPr>
        <w:t>Matthew Leung</w:t>
      </w:r>
      <w:r w:rsidRPr="00007FDC">
        <w:rPr>
          <w:rFonts w:eastAsia="PMingLiU"/>
          <w:sz w:val="28"/>
          <w:szCs w:val="28"/>
          <w:lang w:eastAsia="zh-HK"/>
        </w:rPr>
        <w:t>)</w:t>
      </w:r>
    </w:p>
    <w:p w:rsidR="00973673" w:rsidRPr="004562D5" w:rsidRDefault="009A0459" w:rsidP="00E368EC">
      <w:pPr>
        <w:ind w:left="5040"/>
        <w:jc w:val="center"/>
        <w:rPr>
          <w:rFonts w:eastAsia="PMingLiU" w:hint="eastAsia"/>
          <w:sz w:val="28"/>
          <w:szCs w:val="28"/>
          <w:lang w:eastAsia="zh-HK"/>
        </w:rPr>
      </w:pPr>
      <w:r w:rsidRPr="00007FDC">
        <w:rPr>
          <w:sz w:val="28"/>
          <w:szCs w:val="28"/>
        </w:rPr>
        <w:t>Master</w:t>
      </w:r>
      <w:r w:rsidR="00C337B8" w:rsidRPr="004562D5">
        <w:rPr>
          <w:rFonts w:eastAsia="PMingLiU" w:hint="eastAsia"/>
          <w:sz w:val="28"/>
          <w:szCs w:val="28"/>
          <w:lang w:eastAsia="zh-HK"/>
        </w:rPr>
        <w:t xml:space="preserve"> of </w:t>
      </w:r>
      <w:r w:rsidR="00C744DC">
        <w:rPr>
          <w:rFonts w:eastAsia="PMingLiU"/>
          <w:sz w:val="28"/>
          <w:szCs w:val="28"/>
          <w:lang w:eastAsia="zh-HK"/>
        </w:rPr>
        <w:t xml:space="preserve">the </w:t>
      </w:r>
      <w:r w:rsidR="00C337B8" w:rsidRPr="004562D5">
        <w:rPr>
          <w:rFonts w:eastAsia="PMingLiU" w:hint="eastAsia"/>
          <w:sz w:val="28"/>
          <w:szCs w:val="28"/>
          <w:lang w:eastAsia="zh-HK"/>
        </w:rPr>
        <w:t>District Court</w:t>
      </w:r>
    </w:p>
    <w:p w:rsidR="00E368EC" w:rsidRPr="00007FDC" w:rsidRDefault="00E368EC" w:rsidP="0007522E">
      <w:pPr>
        <w:spacing w:line="360" w:lineRule="auto"/>
        <w:rPr>
          <w:sz w:val="28"/>
          <w:szCs w:val="28"/>
        </w:rPr>
      </w:pPr>
    </w:p>
    <w:p w:rsidR="00C00748" w:rsidRDefault="009D728B" w:rsidP="00871DBB">
      <w:pPr>
        <w:pStyle w:val="para"/>
        <w:numPr>
          <w:ilvl w:val="0"/>
          <w:numId w:val="0"/>
        </w:numPr>
        <w:spacing w:before="0" w:line="240" w:lineRule="auto"/>
        <w:ind w:left="450" w:hanging="450"/>
        <w:rPr>
          <w:color w:val="000000"/>
          <w:szCs w:val="28"/>
          <w:lang w:val="en-US"/>
        </w:rPr>
      </w:pPr>
      <w:r>
        <w:rPr>
          <w:color w:val="000000"/>
          <w:szCs w:val="28"/>
          <w:lang w:val="en-US"/>
        </w:rPr>
        <w:t xml:space="preserve">Mr </w:t>
      </w:r>
      <w:r w:rsidR="005175D2">
        <w:rPr>
          <w:color w:val="000000"/>
          <w:szCs w:val="28"/>
          <w:lang w:val="en-US"/>
        </w:rPr>
        <w:t xml:space="preserve">Chou Sing Hong, of S.H. Chou &amp; Co, </w:t>
      </w:r>
      <w:r w:rsidR="00871DBB">
        <w:rPr>
          <w:color w:val="000000"/>
          <w:szCs w:val="28"/>
          <w:lang w:val="en-US"/>
        </w:rPr>
        <w:t xml:space="preserve">assigned by the Director of Legal Aid, </w:t>
      </w:r>
      <w:r w:rsidR="00635DDA">
        <w:rPr>
          <w:color w:val="000000"/>
          <w:szCs w:val="28"/>
          <w:lang w:val="en-US"/>
        </w:rPr>
        <w:t xml:space="preserve">for the </w:t>
      </w:r>
      <w:r w:rsidR="00782AE3">
        <w:rPr>
          <w:rFonts w:eastAsia="PMingLiU" w:hint="eastAsia"/>
          <w:color w:val="000000"/>
          <w:szCs w:val="28"/>
          <w:lang w:val="en-US" w:eastAsia="zh-HK"/>
        </w:rPr>
        <w:t>P</w:t>
      </w:r>
      <w:r w:rsidR="00C00748" w:rsidRPr="00007FDC">
        <w:rPr>
          <w:color w:val="000000"/>
          <w:szCs w:val="28"/>
          <w:lang w:val="en-US"/>
        </w:rPr>
        <w:t>laintiff</w:t>
      </w:r>
    </w:p>
    <w:p w:rsidR="000C3744" w:rsidRPr="00007FDC" w:rsidRDefault="000C3744" w:rsidP="00871DBB">
      <w:pPr>
        <w:pStyle w:val="para"/>
        <w:numPr>
          <w:ilvl w:val="0"/>
          <w:numId w:val="0"/>
        </w:numPr>
        <w:spacing w:before="0" w:line="240" w:lineRule="auto"/>
        <w:ind w:left="360" w:hanging="360"/>
        <w:rPr>
          <w:color w:val="000000"/>
          <w:szCs w:val="28"/>
          <w:lang w:val="en-US"/>
        </w:rPr>
      </w:pPr>
    </w:p>
    <w:p w:rsidR="007969F6" w:rsidRPr="00007FDC" w:rsidRDefault="003B708D" w:rsidP="00871DBB">
      <w:pPr>
        <w:pStyle w:val="para"/>
        <w:numPr>
          <w:ilvl w:val="0"/>
          <w:numId w:val="0"/>
        </w:numPr>
        <w:spacing w:before="0" w:line="240" w:lineRule="auto"/>
        <w:ind w:left="450" w:hanging="450"/>
        <w:rPr>
          <w:rFonts w:eastAsia="PMingLiU"/>
          <w:color w:val="000000"/>
          <w:szCs w:val="28"/>
          <w:lang w:val="en-US" w:eastAsia="zh-HK"/>
        </w:rPr>
      </w:pPr>
      <w:r w:rsidRPr="00007FDC">
        <w:rPr>
          <w:color w:val="000000"/>
          <w:szCs w:val="28"/>
          <w:lang w:val="en-US"/>
        </w:rPr>
        <w:t>T</w:t>
      </w:r>
      <w:r w:rsidR="00E70813" w:rsidRPr="00007FDC">
        <w:rPr>
          <w:color w:val="000000"/>
          <w:szCs w:val="28"/>
          <w:lang w:val="en-US"/>
        </w:rPr>
        <w:t xml:space="preserve">he </w:t>
      </w:r>
      <w:r w:rsidR="00782AE3">
        <w:rPr>
          <w:rFonts w:eastAsia="PMingLiU"/>
          <w:color w:val="000000"/>
          <w:szCs w:val="28"/>
          <w:lang w:val="en-US" w:eastAsia="zh-HK"/>
        </w:rPr>
        <w:t>D</w:t>
      </w:r>
      <w:r w:rsidR="00A115C2" w:rsidRPr="00007FDC">
        <w:rPr>
          <w:rFonts w:eastAsia="PMingLiU"/>
          <w:color w:val="000000"/>
          <w:szCs w:val="28"/>
          <w:lang w:val="en-US" w:eastAsia="zh-HK"/>
        </w:rPr>
        <w:t>efendant</w:t>
      </w:r>
      <w:r w:rsidRPr="00007FDC">
        <w:rPr>
          <w:rFonts w:eastAsia="PMingLiU"/>
          <w:color w:val="000000"/>
          <w:szCs w:val="28"/>
          <w:lang w:val="en-US" w:eastAsia="zh-HK"/>
        </w:rPr>
        <w:t xml:space="preserve"> is not represented and did not appear</w:t>
      </w:r>
    </w:p>
    <w:sectPr w:rsidR="007969F6" w:rsidRPr="00007FDC" w:rsidSect="00277C41">
      <w:headerReference w:type="even" r:id="rId8"/>
      <w:headerReference w:type="default" r:id="rId9"/>
      <w:footerReference w:type="default" r:id="rId10"/>
      <w:headerReference w:type="first" r:id="rId11"/>
      <w:footerReference w:type="first" r:id="rId12"/>
      <w:pgSz w:w="11907" w:h="16840" w:code="9"/>
      <w:pgMar w:top="1944" w:right="1800" w:bottom="1584"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499F" w:rsidRDefault="008F499F" w:rsidP="006B61E5">
      <w:r>
        <w:separator/>
      </w:r>
    </w:p>
  </w:endnote>
  <w:endnote w:type="continuationSeparator" w:id="0">
    <w:p w:rsidR="008F499F" w:rsidRDefault="008F499F"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499F" w:rsidRDefault="008F499F" w:rsidP="006B61E5">
      <w:r>
        <w:separator/>
      </w:r>
    </w:p>
  </w:footnote>
  <w:footnote w:type="continuationSeparator" w:id="0">
    <w:p w:rsidR="008F499F" w:rsidRDefault="008F499F" w:rsidP="006B61E5">
      <w:r>
        <w:continuationSeparator/>
      </w:r>
    </w:p>
  </w:footnote>
  <w:footnote w:id="1">
    <w:p w:rsidR="00871DBB" w:rsidRDefault="00871DBB" w:rsidP="00871DBB">
      <w:pPr>
        <w:pStyle w:val="FootnoteText"/>
      </w:pPr>
      <w:r>
        <w:rPr>
          <w:rStyle w:val="FootnoteReference"/>
        </w:rPr>
        <w:footnoteRef/>
      </w:r>
      <w:r>
        <w:t xml:space="preserve"> The Witness Statement of the Plaintiff was signed on 22 July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98608F">
      <w:rPr>
        <w:rStyle w:val="PageNumber"/>
        <w:noProof/>
        <w:sz w:val="28"/>
        <w:szCs w:val="28"/>
      </w:rPr>
      <w:t>11</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46149C">
    <w:pPr>
      <w:pStyle w:val="Header"/>
      <w:rPr>
        <w:rFonts w:hint="eastAsia"/>
      </w:rPr>
    </w:pPr>
    <w:r>
      <w:rPr>
        <w:noProof/>
      </w:rPr>
    </w:r>
    <w:r w:rsidR="0046149C">
      <w:rPr>
        <w:noProof/>
      </w:rPr>
      <w:pict w14:anchorId="6CB6167F">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46149C">
      <w:rPr>
        <w:noProof/>
      </w:rPr>
      <w:pict w14:anchorId="65C99B53">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46149C">
    <w:pPr>
      <w:pStyle w:val="Header"/>
      <w:rPr>
        <w:b/>
        <w:sz w:val="28"/>
        <w:szCs w:val="28"/>
      </w:rPr>
    </w:pPr>
    <w:r>
      <w:rPr>
        <w:noProof/>
      </w:rPr>
    </w:r>
    <w:r w:rsidR="0046149C">
      <w:rPr>
        <w:noProof/>
      </w:rPr>
      <w:pict w14:anchorId="1F2B14D5">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46149C">
      <w:rPr>
        <w:noProof/>
      </w:rPr>
      <w:pict w14:anchorId="4D56A9C2">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6FD583A"/>
    <w:multiLevelType w:val="hybridMultilevel"/>
    <w:tmpl w:val="E23A550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4" w15:restartNumberingAfterBreak="0">
    <w:nsid w:val="08D1598A"/>
    <w:multiLevelType w:val="hybridMultilevel"/>
    <w:tmpl w:val="94ACF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14216"/>
    <w:multiLevelType w:val="hybridMultilevel"/>
    <w:tmpl w:val="F1A4BBB2"/>
    <w:lvl w:ilvl="0" w:tplc="4D3C8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E0377"/>
    <w:multiLevelType w:val="hybridMultilevel"/>
    <w:tmpl w:val="4C6E67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2"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E077A10"/>
    <w:multiLevelType w:val="hybridMultilevel"/>
    <w:tmpl w:val="D854C51E"/>
    <w:lvl w:ilvl="0" w:tplc="DFE0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B5C5E6C"/>
    <w:multiLevelType w:val="hybridMultilevel"/>
    <w:tmpl w:val="4F46A03C"/>
    <w:lvl w:ilvl="0" w:tplc="178A67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0E35C5"/>
    <w:multiLevelType w:val="hybridMultilevel"/>
    <w:tmpl w:val="DD00DAEE"/>
    <w:lvl w:ilvl="0" w:tplc="04F69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DF0341"/>
    <w:multiLevelType w:val="hybridMultilevel"/>
    <w:tmpl w:val="0832A7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24" w15:restartNumberingAfterBreak="0">
    <w:nsid w:val="58B143CB"/>
    <w:multiLevelType w:val="hybridMultilevel"/>
    <w:tmpl w:val="AE7E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FE06EC"/>
    <w:multiLevelType w:val="hybridMultilevel"/>
    <w:tmpl w:val="20CA6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D8350E"/>
    <w:multiLevelType w:val="hybridMultilevel"/>
    <w:tmpl w:val="C7905894"/>
    <w:lvl w:ilvl="0" w:tplc="E9CCC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522A80"/>
    <w:multiLevelType w:val="hybridMultilevel"/>
    <w:tmpl w:val="A9D0FE82"/>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AC0748"/>
    <w:multiLevelType w:val="hybridMultilevel"/>
    <w:tmpl w:val="F2CCFF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697918">
    <w:abstractNumId w:val="23"/>
  </w:num>
  <w:num w:numId="2" w16cid:durableId="1054933521">
    <w:abstractNumId w:val="3"/>
  </w:num>
  <w:num w:numId="3" w16cid:durableId="1751078690">
    <w:abstractNumId w:val="11"/>
  </w:num>
  <w:num w:numId="4" w16cid:durableId="224724102">
    <w:abstractNumId w:val="0"/>
  </w:num>
  <w:num w:numId="5" w16cid:durableId="819735709">
    <w:abstractNumId w:val="29"/>
  </w:num>
  <w:num w:numId="6" w16cid:durableId="1257127658">
    <w:abstractNumId w:val="16"/>
  </w:num>
  <w:num w:numId="7" w16cid:durableId="1730230219">
    <w:abstractNumId w:val="30"/>
  </w:num>
  <w:num w:numId="8" w16cid:durableId="913125680">
    <w:abstractNumId w:val="20"/>
  </w:num>
  <w:num w:numId="9" w16cid:durableId="732659054">
    <w:abstractNumId w:val="37"/>
  </w:num>
  <w:num w:numId="10" w16cid:durableId="1122725557">
    <w:abstractNumId w:val="15"/>
  </w:num>
  <w:num w:numId="11" w16cid:durableId="1766539474">
    <w:abstractNumId w:val="27"/>
  </w:num>
  <w:num w:numId="12" w16cid:durableId="107699170">
    <w:abstractNumId w:val="31"/>
  </w:num>
  <w:num w:numId="13" w16cid:durableId="892884322">
    <w:abstractNumId w:val="25"/>
  </w:num>
  <w:num w:numId="14" w16cid:durableId="1205747861">
    <w:abstractNumId w:val="34"/>
  </w:num>
  <w:num w:numId="15" w16cid:durableId="1685471736">
    <w:abstractNumId w:val="13"/>
  </w:num>
  <w:num w:numId="16" w16cid:durableId="7370858">
    <w:abstractNumId w:val="6"/>
  </w:num>
  <w:num w:numId="17" w16cid:durableId="1464616998">
    <w:abstractNumId w:val="12"/>
  </w:num>
  <w:num w:numId="18" w16cid:durableId="241791660">
    <w:abstractNumId w:val="5"/>
  </w:num>
  <w:num w:numId="19" w16cid:durableId="2090997376">
    <w:abstractNumId w:val="32"/>
  </w:num>
  <w:num w:numId="20" w16cid:durableId="1764255763">
    <w:abstractNumId w:val="17"/>
  </w:num>
  <w:num w:numId="21" w16cid:durableId="2137331621">
    <w:abstractNumId w:val="1"/>
  </w:num>
  <w:num w:numId="22" w16cid:durableId="1019819996">
    <w:abstractNumId w:val="36"/>
  </w:num>
  <w:num w:numId="23" w16cid:durableId="870268127">
    <w:abstractNumId w:val="18"/>
  </w:num>
  <w:num w:numId="24" w16cid:durableId="1927183299">
    <w:abstractNumId w:val="10"/>
  </w:num>
  <w:num w:numId="25" w16cid:durableId="821889628">
    <w:abstractNumId w:val="8"/>
  </w:num>
  <w:num w:numId="26" w16cid:durableId="545988692">
    <w:abstractNumId w:val="26"/>
  </w:num>
  <w:num w:numId="27" w16cid:durableId="2134248614">
    <w:abstractNumId w:val="33"/>
  </w:num>
  <w:num w:numId="28" w16cid:durableId="1632205248">
    <w:abstractNumId w:val="24"/>
  </w:num>
  <w:num w:numId="29" w16cid:durableId="527643264">
    <w:abstractNumId w:val="2"/>
  </w:num>
  <w:num w:numId="30" w16cid:durableId="651762356">
    <w:abstractNumId w:val="7"/>
  </w:num>
  <w:num w:numId="31" w16cid:durableId="559092987">
    <w:abstractNumId w:val="14"/>
  </w:num>
  <w:num w:numId="32" w16cid:durableId="170536671">
    <w:abstractNumId w:val="9"/>
  </w:num>
  <w:num w:numId="33" w16cid:durableId="1878665228">
    <w:abstractNumId w:val="21"/>
  </w:num>
  <w:num w:numId="34" w16cid:durableId="518202278">
    <w:abstractNumId w:val="35"/>
  </w:num>
  <w:num w:numId="35" w16cid:durableId="1655646108">
    <w:abstractNumId w:val="28"/>
  </w:num>
  <w:num w:numId="36" w16cid:durableId="993950396">
    <w:abstractNumId w:val="22"/>
  </w:num>
  <w:num w:numId="37" w16cid:durableId="1385786392">
    <w:abstractNumId w:val="33"/>
  </w:num>
  <w:num w:numId="38" w16cid:durableId="551579044">
    <w:abstractNumId w:val="33"/>
  </w:num>
  <w:num w:numId="39" w16cid:durableId="184487500">
    <w:abstractNumId w:val="4"/>
  </w:num>
  <w:num w:numId="40" w16cid:durableId="8456322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20164"/>
    <w:rsid w:val="000213DB"/>
    <w:rsid w:val="00022090"/>
    <w:rsid w:val="00025BE4"/>
    <w:rsid w:val="000315DA"/>
    <w:rsid w:val="00032956"/>
    <w:rsid w:val="0003588B"/>
    <w:rsid w:val="0003700E"/>
    <w:rsid w:val="00040DAD"/>
    <w:rsid w:val="00052515"/>
    <w:rsid w:val="00053FA1"/>
    <w:rsid w:val="000548ED"/>
    <w:rsid w:val="000606C9"/>
    <w:rsid w:val="00061FA8"/>
    <w:rsid w:val="00062EC6"/>
    <w:rsid w:val="00066E73"/>
    <w:rsid w:val="00070E8B"/>
    <w:rsid w:val="00073BF1"/>
    <w:rsid w:val="000745CD"/>
    <w:rsid w:val="0007522E"/>
    <w:rsid w:val="00080CA0"/>
    <w:rsid w:val="000815D5"/>
    <w:rsid w:val="00084988"/>
    <w:rsid w:val="00090796"/>
    <w:rsid w:val="00091225"/>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2765"/>
    <w:rsid w:val="000C3744"/>
    <w:rsid w:val="000C4E48"/>
    <w:rsid w:val="000C5754"/>
    <w:rsid w:val="000C582E"/>
    <w:rsid w:val="000C5A18"/>
    <w:rsid w:val="000C6C7F"/>
    <w:rsid w:val="000D3823"/>
    <w:rsid w:val="000D5F73"/>
    <w:rsid w:val="000D6502"/>
    <w:rsid w:val="000D6AC5"/>
    <w:rsid w:val="000D7F67"/>
    <w:rsid w:val="000E07BD"/>
    <w:rsid w:val="000F45BA"/>
    <w:rsid w:val="000F4A0C"/>
    <w:rsid w:val="000F506F"/>
    <w:rsid w:val="000F5A29"/>
    <w:rsid w:val="00101F11"/>
    <w:rsid w:val="001021B3"/>
    <w:rsid w:val="00102A8D"/>
    <w:rsid w:val="00102C10"/>
    <w:rsid w:val="0010458A"/>
    <w:rsid w:val="00105DF5"/>
    <w:rsid w:val="001073CC"/>
    <w:rsid w:val="00117841"/>
    <w:rsid w:val="00117CA2"/>
    <w:rsid w:val="0012031F"/>
    <w:rsid w:val="001232A6"/>
    <w:rsid w:val="00124068"/>
    <w:rsid w:val="00131209"/>
    <w:rsid w:val="00131D4A"/>
    <w:rsid w:val="001357F6"/>
    <w:rsid w:val="0013792B"/>
    <w:rsid w:val="00142C90"/>
    <w:rsid w:val="00143946"/>
    <w:rsid w:val="00143BCD"/>
    <w:rsid w:val="001442EF"/>
    <w:rsid w:val="00144427"/>
    <w:rsid w:val="001478FD"/>
    <w:rsid w:val="00147CF9"/>
    <w:rsid w:val="00151F7A"/>
    <w:rsid w:val="0015405B"/>
    <w:rsid w:val="00154331"/>
    <w:rsid w:val="0015583F"/>
    <w:rsid w:val="001578AB"/>
    <w:rsid w:val="001601EE"/>
    <w:rsid w:val="001616AD"/>
    <w:rsid w:val="0016224E"/>
    <w:rsid w:val="00165FCF"/>
    <w:rsid w:val="00167125"/>
    <w:rsid w:val="0016771F"/>
    <w:rsid w:val="0017059D"/>
    <w:rsid w:val="001752F5"/>
    <w:rsid w:val="00176F36"/>
    <w:rsid w:val="0018120C"/>
    <w:rsid w:val="00181381"/>
    <w:rsid w:val="0018390C"/>
    <w:rsid w:val="00184C3E"/>
    <w:rsid w:val="00187495"/>
    <w:rsid w:val="001925EA"/>
    <w:rsid w:val="00194E9F"/>
    <w:rsid w:val="001968D0"/>
    <w:rsid w:val="001977F2"/>
    <w:rsid w:val="001A1CCD"/>
    <w:rsid w:val="001A6EF5"/>
    <w:rsid w:val="001B3389"/>
    <w:rsid w:val="001B4812"/>
    <w:rsid w:val="001B5958"/>
    <w:rsid w:val="001B60A0"/>
    <w:rsid w:val="001B6240"/>
    <w:rsid w:val="001C0940"/>
    <w:rsid w:val="001C0CC0"/>
    <w:rsid w:val="001C3023"/>
    <w:rsid w:val="001D0D3A"/>
    <w:rsid w:val="001D57B8"/>
    <w:rsid w:val="001D7D1E"/>
    <w:rsid w:val="001E05C6"/>
    <w:rsid w:val="001E0B33"/>
    <w:rsid w:val="001E1D2A"/>
    <w:rsid w:val="001E21F8"/>
    <w:rsid w:val="001E40F1"/>
    <w:rsid w:val="001E5568"/>
    <w:rsid w:val="001E578B"/>
    <w:rsid w:val="001E65C3"/>
    <w:rsid w:val="001E661B"/>
    <w:rsid w:val="001F251E"/>
    <w:rsid w:val="001F6D25"/>
    <w:rsid w:val="00204489"/>
    <w:rsid w:val="00210FBF"/>
    <w:rsid w:val="00216D11"/>
    <w:rsid w:val="00224EC4"/>
    <w:rsid w:val="002254F3"/>
    <w:rsid w:val="00225B2C"/>
    <w:rsid w:val="0023496C"/>
    <w:rsid w:val="00234A7A"/>
    <w:rsid w:val="0024725A"/>
    <w:rsid w:val="00250A34"/>
    <w:rsid w:val="002523F8"/>
    <w:rsid w:val="00252717"/>
    <w:rsid w:val="0025387E"/>
    <w:rsid w:val="00254EF4"/>
    <w:rsid w:val="00255228"/>
    <w:rsid w:val="00265199"/>
    <w:rsid w:val="00267D4E"/>
    <w:rsid w:val="00271455"/>
    <w:rsid w:val="002717A4"/>
    <w:rsid w:val="002725F9"/>
    <w:rsid w:val="00273ADA"/>
    <w:rsid w:val="00273CF1"/>
    <w:rsid w:val="00275977"/>
    <w:rsid w:val="00276899"/>
    <w:rsid w:val="00277C41"/>
    <w:rsid w:val="00282499"/>
    <w:rsid w:val="002839E2"/>
    <w:rsid w:val="0028643B"/>
    <w:rsid w:val="00287343"/>
    <w:rsid w:val="0029018A"/>
    <w:rsid w:val="002918CC"/>
    <w:rsid w:val="00294C01"/>
    <w:rsid w:val="002A1E95"/>
    <w:rsid w:val="002A3E87"/>
    <w:rsid w:val="002A6B0E"/>
    <w:rsid w:val="002A6EE7"/>
    <w:rsid w:val="002A7004"/>
    <w:rsid w:val="002B4B02"/>
    <w:rsid w:val="002B546C"/>
    <w:rsid w:val="002B70D1"/>
    <w:rsid w:val="002C0148"/>
    <w:rsid w:val="002C3484"/>
    <w:rsid w:val="002C5467"/>
    <w:rsid w:val="002D2AB3"/>
    <w:rsid w:val="002D3FDD"/>
    <w:rsid w:val="002D5CBE"/>
    <w:rsid w:val="002D6097"/>
    <w:rsid w:val="002E0E4D"/>
    <w:rsid w:val="002E1107"/>
    <w:rsid w:val="002E75EE"/>
    <w:rsid w:val="002E798E"/>
    <w:rsid w:val="002F296A"/>
    <w:rsid w:val="002F44A6"/>
    <w:rsid w:val="002F7FE8"/>
    <w:rsid w:val="00301850"/>
    <w:rsid w:val="00301BB9"/>
    <w:rsid w:val="0030225A"/>
    <w:rsid w:val="00302603"/>
    <w:rsid w:val="00303461"/>
    <w:rsid w:val="00307313"/>
    <w:rsid w:val="003110EE"/>
    <w:rsid w:val="003132AD"/>
    <w:rsid w:val="00313FAD"/>
    <w:rsid w:val="00314D40"/>
    <w:rsid w:val="00320F76"/>
    <w:rsid w:val="00322B17"/>
    <w:rsid w:val="00323BD9"/>
    <w:rsid w:val="00323E98"/>
    <w:rsid w:val="00324C37"/>
    <w:rsid w:val="0033047D"/>
    <w:rsid w:val="00330693"/>
    <w:rsid w:val="003321E3"/>
    <w:rsid w:val="00333E1D"/>
    <w:rsid w:val="00336F85"/>
    <w:rsid w:val="00346165"/>
    <w:rsid w:val="0034693A"/>
    <w:rsid w:val="00347BBD"/>
    <w:rsid w:val="00354A8F"/>
    <w:rsid w:val="003551BA"/>
    <w:rsid w:val="003579EC"/>
    <w:rsid w:val="00360E95"/>
    <w:rsid w:val="00360EA2"/>
    <w:rsid w:val="00361E7E"/>
    <w:rsid w:val="00363256"/>
    <w:rsid w:val="00372469"/>
    <w:rsid w:val="003762D7"/>
    <w:rsid w:val="003771B0"/>
    <w:rsid w:val="003828C7"/>
    <w:rsid w:val="00382A83"/>
    <w:rsid w:val="00386DC0"/>
    <w:rsid w:val="00391147"/>
    <w:rsid w:val="003913DA"/>
    <w:rsid w:val="00394DAA"/>
    <w:rsid w:val="0039576A"/>
    <w:rsid w:val="0039607E"/>
    <w:rsid w:val="00397991"/>
    <w:rsid w:val="003A1578"/>
    <w:rsid w:val="003A3E3C"/>
    <w:rsid w:val="003B1E48"/>
    <w:rsid w:val="003B27A3"/>
    <w:rsid w:val="003B4FD4"/>
    <w:rsid w:val="003B6305"/>
    <w:rsid w:val="003B708D"/>
    <w:rsid w:val="003C0AFF"/>
    <w:rsid w:val="003C663F"/>
    <w:rsid w:val="003D1394"/>
    <w:rsid w:val="003D274F"/>
    <w:rsid w:val="003D50E8"/>
    <w:rsid w:val="003D663F"/>
    <w:rsid w:val="003D732D"/>
    <w:rsid w:val="003E4AE2"/>
    <w:rsid w:val="003F1B23"/>
    <w:rsid w:val="003F34B5"/>
    <w:rsid w:val="003F3DAB"/>
    <w:rsid w:val="003F41DC"/>
    <w:rsid w:val="004024C8"/>
    <w:rsid w:val="00402C3A"/>
    <w:rsid w:val="00402F25"/>
    <w:rsid w:val="004033F9"/>
    <w:rsid w:val="00405F9D"/>
    <w:rsid w:val="004060D9"/>
    <w:rsid w:val="004100E7"/>
    <w:rsid w:val="00412CF7"/>
    <w:rsid w:val="00413065"/>
    <w:rsid w:val="004210BD"/>
    <w:rsid w:val="00421DB4"/>
    <w:rsid w:val="004221BE"/>
    <w:rsid w:val="00422D10"/>
    <w:rsid w:val="00424B52"/>
    <w:rsid w:val="0042554F"/>
    <w:rsid w:val="00425C46"/>
    <w:rsid w:val="00425ED6"/>
    <w:rsid w:val="0043016B"/>
    <w:rsid w:val="0043086A"/>
    <w:rsid w:val="004314C2"/>
    <w:rsid w:val="00431BC6"/>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149C"/>
    <w:rsid w:val="004665BA"/>
    <w:rsid w:val="004703DD"/>
    <w:rsid w:val="0047183C"/>
    <w:rsid w:val="00473EEB"/>
    <w:rsid w:val="00474D25"/>
    <w:rsid w:val="00476D1C"/>
    <w:rsid w:val="0048078E"/>
    <w:rsid w:val="00483FFD"/>
    <w:rsid w:val="00485E00"/>
    <w:rsid w:val="00487180"/>
    <w:rsid w:val="0048720B"/>
    <w:rsid w:val="0049150E"/>
    <w:rsid w:val="004924B2"/>
    <w:rsid w:val="00493BFE"/>
    <w:rsid w:val="004A34C2"/>
    <w:rsid w:val="004A5680"/>
    <w:rsid w:val="004A658C"/>
    <w:rsid w:val="004A666A"/>
    <w:rsid w:val="004A78B1"/>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799F"/>
    <w:rsid w:val="004D7F40"/>
    <w:rsid w:val="004F1416"/>
    <w:rsid w:val="004F1B29"/>
    <w:rsid w:val="004F45D0"/>
    <w:rsid w:val="004F4644"/>
    <w:rsid w:val="004F56F1"/>
    <w:rsid w:val="004F6A41"/>
    <w:rsid w:val="004F7065"/>
    <w:rsid w:val="004F70FB"/>
    <w:rsid w:val="004F7620"/>
    <w:rsid w:val="0050524C"/>
    <w:rsid w:val="005069FB"/>
    <w:rsid w:val="00510264"/>
    <w:rsid w:val="00510A84"/>
    <w:rsid w:val="00510CD1"/>
    <w:rsid w:val="005111DB"/>
    <w:rsid w:val="00511808"/>
    <w:rsid w:val="00513CF0"/>
    <w:rsid w:val="005175D2"/>
    <w:rsid w:val="00517B51"/>
    <w:rsid w:val="00517FF9"/>
    <w:rsid w:val="00522D6A"/>
    <w:rsid w:val="0052573F"/>
    <w:rsid w:val="00526996"/>
    <w:rsid w:val="005273F2"/>
    <w:rsid w:val="00530AC4"/>
    <w:rsid w:val="005338D9"/>
    <w:rsid w:val="00534EFD"/>
    <w:rsid w:val="00535846"/>
    <w:rsid w:val="00541716"/>
    <w:rsid w:val="00543E2C"/>
    <w:rsid w:val="00545FA5"/>
    <w:rsid w:val="00552090"/>
    <w:rsid w:val="005547C4"/>
    <w:rsid w:val="00556BFB"/>
    <w:rsid w:val="00557965"/>
    <w:rsid w:val="0056037B"/>
    <w:rsid w:val="00562810"/>
    <w:rsid w:val="00564E6D"/>
    <w:rsid w:val="00567FF3"/>
    <w:rsid w:val="005706C6"/>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9093C"/>
    <w:rsid w:val="00595AE0"/>
    <w:rsid w:val="00596407"/>
    <w:rsid w:val="005A00BD"/>
    <w:rsid w:val="005A0E2C"/>
    <w:rsid w:val="005A111F"/>
    <w:rsid w:val="005A183A"/>
    <w:rsid w:val="005A25F1"/>
    <w:rsid w:val="005A5911"/>
    <w:rsid w:val="005A6CF0"/>
    <w:rsid w:val="005B0A87"/>
    <w:rsid w:val="005B4BB7"/>
    <w:rsid w:val="005B6B25"/>
    <w:rsid w:val="005C5501"/>
    <w:rsid w:val="005C5B9E"/>
    <w:rsid w:val="005C792D"/>
    <w:rsid w:val="005D0636"/>
    <w:rsid w:val="005D27EB"/>
    <w:rsid w:val="005D34B4"/>
    <w:rsid w:val="005D412D"/>
    <w:rsid w:val="005D56FF"/>
    <w:rsid w:val="005E08FA"/>
    <w:rsid w:val="005E2845"/>
    <w:rsid w:val="005E4C1A"/>
    <w:rsid w:val="005E4E6C"/>
    <w:rsid w:val="005E7424"/>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7886"/>
    <w:rsid w:val="00610A86"/>
    <w:rsid w:val="0061324C"/>
    <w:rsid w:val="006142F8"/>
    <w:rsid w:val="0061611B"/>
    <w:rsid w:val="00616168"/>
    <w:rsid w:val="0061677B"/>
    <w:rsid w:val="00622DEB"/>
    <w:rsid w:val="00623B04"/>
    <w:rsid w:val="00627331"/>
    <w:rsid w:val="006302CC"/>
    <w:rsid w:val="0063037C"/>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2226"/>
    <w:rsid w:val="006631D5"/>
    <w:rsid w:val="00664113"/>
    <w:rsid w:val="00665BF1"/>
    <w:rsid w:val="00673C35"/>
    <w:rsid w:val="0067624B"/>
    <w:rsid w:val="00677370"/>
    <w:rsid w:val="00680100"/>
    <w:rsid w:val="006802D6"/>
    <w:rsid w:val="0068348A"/>
    <w:rsid w:val="006862A0"/>
    <w:rsid w:val="006871F6"/>
    <w:rsid w:val="00690D7B"/>
    <w:rsid w:val="00691432"/>
    <w:rsid w:val="00691D2E"/>
    <w:rsid w:val="0069257A"/>
    <w:rsid w:val="00695F53"/>
    <w:rsid w:val="006A283B"/>
    <w:rsid w:val="006A346B"/>
    <w:rsid w:val="006A38A4"/>
    <w:rsid w:val="006A5E1A"/>
    <w:rsid w:val="006A7F3A"/>
    <w:rsid w:val="006B1B36"/>
    <w:rsid w:val="006B2DAE"/>
    <w:rsid w:val="006B5FF8"/>
    <w:rsid w:val="006B61E5"/>
    <w:rsid w:val="006B65B9"/>
    <w:rsid w:val="006C1E67"/>
    <w:rsid w:val="006C219E"/>
    <w:rsid w:val="006C2A98"/>
    <w:rsid w:val="006C3170"/>
    <w:rsid w:val="006C671A"/>
    <w:rsid w:val="006C68D0"/>
    <w:rsid w:val="006D34B8"/>
    <w:rsid w:val="006D6DF5"/>
    <w:rsid w:val="006D7393"/>
    <w:rsid w:val="006E0FFF"/>
    <w:rsid w:val="006E1351"/>
    <w:rsid w:val="006E22A0"/>
    <w:rsid w:val="006E2435"/>
    <w:rsid w:val="006E4CF2"/>
    <w:rsid w:val="006E56B6"/>
    <w:rsid w:val="006E577D"/>
    <w:rsid w:val="006E7A9C"/>
    <w:rsid w:val="006F0094"/>
    <w:rsid w:val="006F2A81"/>
    <w:rsid w:val="006F2D92"/>
    <w:rsid w:val="006F30E6"/>
    <w:rsid w:val="006F3182"/>
    <w:rsid w:val="00703B6A"/>
    <w:rsid w:val="00703EB4"/>
    <w:rsid w:val="00704F20"/>
    <w:rsid w:val="00706AD1"/>
    <w:rsid w:val="007074A7"/>
    <w:rsid w:val="0071059C"/>
    <w:rsid w:val="00710AC0"/>
    <w:rsid w:val="00711A43"/>
    <w:rsid w:val="00712E38"/>
    <w:rsid w:val="00713853"/>
    <w:rsid w:val="007146EE"/>
    <w:rsid w:val="00714A24"/>
    <w:rsid w:val="00716F90"/>
    <w:rsid w:val="00724846"/>
    <w:rsid w:val="00725008"/>
    <w:rsid w:val="00727D88"/>
    <w:rsid w:val="00730698"/>
    <w:rsid w:val="00730D21"/>
    <w:rsid w:val="007316CC"/>
    <w:rsid w:val="007317D8"/>
    <w:rsid w:val="00733A35"/>
    <w:rsid w:val="00733B78"/>
    <w:rsid w:val="00734252"/>
    <w:rsid w:val="0073433A"/>
    <w:rsid w:val="00734B32"/>
    <w:rsid w:val="00734E07"/>
    <w:rsid w:val="007414B9"/>
    <w:rsid w:val="007425E5"/>
    <w:rsid w:val="00742ABD"/>
    <w:rsid w:val="00743704"/>
    <w:rsid w:val="00745D1A"/>
    <w:rsid w:val="0075772B"/>
    <w:rsid w:val="00761B4B"/>
    <w:rsid w:val="00762496"/>
    <w:rsid w:val="00762DD5"/>
    <w:rsid w:val="007638DF"/>
    <w:rsid w:val="0076405D"/>
    <w:rsid w:val="007648BE"/>
    <w:rsid w:val="007677BC"/>
    <w:rsid w:val="00772866"/>
    <w:rsid w:val="0077355D"/>
    <w:rsid w:val="00773A3B"/>
    <w:rsid w:val="00773FBB"/>
    <w:rsid w:val="0077734C"/>
    <w:rsid w:val="00782AE3"/>
    <w:rsid w:val="00782B01"/>
    <w:rsid w:val="00787985"/>
    <w:rsid w:val="00791D3D"/>
    <w:rsid w:val="00791EA4"/>
    <w:rsid w:val="007929F2"/>
    <w:rsid w:val="007966A8"/>
    <w:rsid w:val="007969F6"/>
    <w:rsid w:val="00797008"/>
    <w:rsid w:val="0079796B"/>
    <w:rsid w:val="007A0581"/>
    <w:rsid w:val="007A1718"/>
    <w:rsid w:val="007A2BC6"/>
    <w:rsid w:val="007A360B"/>
    <w:rsid w:val="007A3738"/>
    <w:rsid w:val="007A3A25"/>
    <w:rsid w:val="007A3E20"/>
    <w:rsid w:val="007A4F4E"/>
    <w:rsid w:val="007A5721"/>
    <w:rsid w:val="007A62DE"/>
    <w:rsid w:val="007A7477"/>
    <w:rsid w:val="007B0485"/>
    <w:rsid w:val="007B2CD9"/>
    <w:rsid w:val="007B3E4C"/>
    <w:rsid w:val="007B53CD"/>
    <w:rsid w:val="007B71C7"/>
    <w:rsid w:val="007C2089"/>
    <w:rsid w:val="007C48EF"/>
    <w:rsid w:val="007C7CFF"/>
    <w:rsid w:val="007C7FC8"/>
    <w:rsid w:val="007D0108"/>
    <w:rsid w:val="007D2516"/>
    <w:rsid w:val="007D4394"/>
    <w:rsid w:val="007E2211"/>
    <w:rsid w:val="007E2ABC"/>
    <w:rsid w:val="007E4DEC"/>
    <w:rsid w:val="007E57CF"/>
    <w:rsid w:val="007E6402"/>
    <w:rsid w:val="007E6979"/>
    <w:rsid w:val="007E7D3E"/>
    <w:rsid w:val="007F1493"/>
    <w:rsid w:val="007F6441"/>
    <w:rsid w:val="0080528E"/>
    <w:rsid w:val="008071EC"/>
    <w:rsid w:val="0081083C"/>
    <w:rsid w:val="00811C45"/>
    <w:rsid w:val="00813C8B"/>
    <w:rsid w:val="00813EF3"/>
    <w:rsid w:val="008159E3"/>
    <w:rsid w:val="00815CC6"/>
    <w:rsid w:val="00816510"/>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616"/>
    <w:rsid w:val="00845D85"/>
    <w:rsid w:val="008463F2"/>
    <w:rsid w:val="008508ED"/>
    <w:rsid w:val="00850AFC"/>
    <w:rsid w:val="00851FFB"/>
    <w:rsid w:val="00862506"/>
    <w:rsid w:val="008632F2"/>
    <w:rsid w:val="0086351A"/>
    <w:rsid w:val="008637C3"/>
    <w:rsid w:val="008653BC"/>
    <w:rsid w:val="008658AB"/>
    <w:rsid w:val="00867A25"/>
    <w:rsid w:val="00867E5F"/>
    <w:rsid w:val="00871DBB"/>
    <w:rsid w:val="00873159"/>
    <w:rsid w:val="00873492"/>
    <w:rsid w:val="0087512A"/>
    <w:rsid w:val="0088107F"/>
    <w:rsid w:val="008821AB"/>
    <w:rsid w:val="0088675E"/>
    <w:rsid w:val="008877DA"/>
    <w:rsid w:val="00887EBD"/>
    <w:rsid w:val="00891193"/>
    <w:rsid w:val="0089136E"/>
    <w:rsid w:val="008917CD"/>
    <w:rsid w:val="008925D5"/>
    <w:rsid w:val="0089458E"/>
    <w:rsid w:val="0089762B"/>
    <w:rsid w:val="008A3A27"/>
    <w:rsid w:val="008A4C41"/>
    <w:rsid w:val="008A5620"/>
    <w:rsid w:val="008A7502"/>
    <w:rsid w:val="008B1FC8"/>
    <w:rsid w:val="008B20BB"/>
    <w:rsid w:val="008B3712"/>
    <w:rsid w:val="008B3B7C"/>
    <w:rsid w:val="008C133C"/>
    <w:rsid w:val="008C40FF"/>
    <w:rsid w:val="008E0F5A"/>
    <w:rsid w:val="008E3493"/>
    <w:rsid w:val="008E4777"/>
    <w:rsid w:val="008E4F83"/>
    <w:rsid w:val="008F2E37"/>
    <w:rsid w:val="008F499F"/>
    <w:rsid w:val="009004E1"/>
    <w:rsid w:val="00905E72"/>
    <w:rsid w:val="0090610A"/>
    <w:rsid w:val="009076D0"/>
    <w:rsid w:val="009133CA"/>
    <w:rsid w:val="009163E2"/>
    <w:rsid w:val="00921820"/>
    <w:rsid w:val="00923B91"/>
    <w:rsid w:val="00926D8D"/>
    <w:rsid w:val="0093040A"/>
    <w:rsid w:val="00933732"/>
    <w:rsid w:val="0093484D"/>
    <w:rsid w:val="0093560E"/>
    <w:rsid w:val="00944E62"/>
    <w:rsid w:val="00952934"/>
    <w:rsid w:val="00953694"/>
    <w:rsid w:val="00953F3D"/>
    <w:rsid w:val="00954E6C"/>
    <w:rsid w:val="00955324"/>
    <w:rsid w:val="009568EB"/>
    <w:rsid w:val="00956CB2"/>
    <w:rsid w:val="009574F1"/>
    <w:rsid w:val="00967654"/>
    <w:rsid w:val="00971E34"/>
    <w:rsid w:val="0097264A"/>
    <w:rsid w:val="00973673"/>
    <w:rsid w:val="0098509A"/>
    <w:rsid w:val="0098608F"/>
    <w:rsid w:val="00995356"/>
    <w:rsid w:val="00996748"/>
    <w:rsid w:val="0099674A"/>
    <w:rsid w:val="00997B68"/>
    <w:rsid w:val="009A0459"/>
    <w:rsid w:val="009A093B"/>
    <w:rsid w:val="009A1A8E"/>
    <w:rsid w:val="009A1C9D"/>
    <w:rsid w:val="009A6319"/>
    <w:rsid w:val="009B37BD"/>
    <w:rsid w:val="009B396C"/>
    <w:rsid w:val="009B438F"/>
    <w:rsid w:val="009C47E0"/>
    <w:rsid w:val="009C6AFA"/>
    <w:rsid w:val="009D0B4B"/>
    <w:rsid w:val="009D0B88"/>
    <w:rsid w:val="009D1E60"/>
    <w:rsid w:val="009D728B"/>
    <w:rsid w:val="009E0260"/>
    <w:rsid w:val="009E0739"/>
    <w:rsid w:val="009E089F"/>
    <w:rsid w:val="009E3166"/>
    <w:rsid w:val="009E4067"/>
    <w:rsid w:val="009F0BAE"/>
    <w:rsid w:val="009F2D1F"/>
    <w:rsid w:val="009F5744"/>
    <w:rsid w:val="009F5C63"/>
    <w:rsid w:val="009F7D55"/>
    <w:rsid w:val="00A00BE4"/>
    <w:rsid w:val="00A01522"/>
    <w:rsid w:val="00A055C7"/>
    <w:rsid w:val="00A07163"/>
    <w:rsid w:val="00A073D5"/>
    <w:rsid w:val="00A1014C"/>
    <w:rsid w:val="00A10D74"/>
    <w:rsid w:val="00A115C2"/>
    <w:rsid w:val="00A23AAA"/>
    <w:rsid w:val="00A24607"/>
    <w:rsid w:val="00A249AA"/>
    <w:rsid w:val="00A25C32"/>
    <w:rsid w:val="00A271FF"/>
    <w:rsid w:val="00A33563"/>
    <w:rsid w:val="00A35011"/>
    <w:rsid w:val="00A434DE"/>
    <w:rsid w:val="00A435C6"/>
    <w:rsid w:val="00A4366E"/>
    <w:rsid w:val="00A46FB8"/>
    <w:rsid w:val="00A51B34"/>
    <w:rsid w:val="00A523A0"/>
    <w:rsid w:val="00A5366E"/>
    <w:rsid w:val="00A548FC"/>
    <w:rsid w:val="00A552A1"/>
    <w:rsid w:val="00A56BED"/>
    <w:rsid w:val="00A57AFB"/>
    <w:rsid w:val="00A60B49"/>
    <w:rsid w:val="00A63AC5"/>
    <w:rsid w:val="00A63D1F"/>
    <w:rsid w:val="00A64927"/>
    <w:rsid w:val="00A73911"/>
    <w:rsid w:val="00A73FC3"/>
    <w:rsid w:val="00A74FE2"/>
    <w:rsid w:val="00A76FD3"/>
    <w:rsid w:val="00A77CAE"/>
    <w:rsid w:val="00A77CE0"/>
    <w:rsid w:val="00A8115D"/>
    <w:rsid w:val="00A83A8D"/>
    <w:rsid w:val="00A8515F"/>
    <w:rsid w:val="00A87C5F"/>
    <w:rsid w:val="00A932B9"/>
    <w:rsid w:val="00A96444"/>
    <w:rsid w:val="00A96AE3"/>
    <w:rsid w:val="00A97451"/>
    <w:rsid w:val="00A97E4C"/>
    <w:rsid w:val="00AA0D01"/>
    <w:rsid w:val="00AA4FE1"/>
    <w:rsid w:val="00AA623C"/>
    <w:rsid w:val="00AB30FB"/>
    <w:rsid w:val="00AB353F"/>
    <w:rsid w:val="00AB5BE9"/>
    <w:rsid w:val="00AB6313"/>
    <w:rsid w:val="00AC04F5"/>
    <w:rsid w:val="00AC0EDF"/>
    <w:rsid w:val="00AC266C"/>
    <w:rsid w:val="00AC3E31"/>
    <w:rsid w:val="00AC6596"/>
    <w:rsid w:val="00AD0D67"/>
    <w:rsid w:val="00AD22E2"/>
    <w:rsid w:val="00AD39E7"/>
    <w:rsid w:val="00AD3E7F"/>
    <w:rsid w:val="00AD58D1"/>
    <w:rsid w:val="00AD63D2"/>
    <w:rsid w:val="00AE4884"/>
    <w:rsid w:val="00AF1147"/>
    <w:rsid w:val="00AF5E7C"/>
    <w:rsid w:val="00AF60C8"/>
    <w:rsid w:val="00AF7266"/>
    <w:rsid w:val="00B01001"/>
    <w:rsid w:val="00B03400"/>
    <w:rsid w:val="00B04599"/>
    <w:rsid w:val="00B0490D"/>
    <w:rsid w:val="00B06B27"/>
    <w:rsid w:val="00B06BB9"/>
    <w:rsid w:val="00B10DD2"/>
    <w:rsid w:val="00B11390"/>
    <w:rsid w:val="00B11F9C"/>
    <w:rsid w:val="00B144F5"/>
    <w:rsid w:val="00B21623"/>
    <w:rsid w:val="00B25500"/>
    <w:rsid w:val="00B32568"/>
    <w:rsid w:val="00B32DBB"/>
    <w:rsid w:val="00B3355B"/>
    <w:rsid w:val="00B37AAF"/>
    <w:rsid w:val="00B40032"/>
    <w:rsid w:val="00B43EB8"/>
    <w:rsid w:val="00B507B8"/>
    <w:rsid w:val="00B5201A"/>
    <w:rsid w:val="00B54AB0"/>
    <w:rsid w:val="00B60151"/>
    <w:rsid w:val="00B616D5"/>
    <w:rsid w:val="00B62A7C"/>
    <w:rsid w:val="00B65119"/>
    <w:rsid w:val="00B654BA"/>
    <w:rsid w:val="00B65729"/>
    <w:rsid w:val="00B6627E"/>
    <w:rsid w:val="00B66C3F"/>
    <w:rsid w:val="00B6706B"/>
    <w:rsid w:val="00B7050F"/>
    <w:rsid w:val="00B71341"/>
    <w:rsid w:val="00B731EF"/>
    <w:rsid w:val="00B858F4"/>
    <w:rsid w:val="00B87C14"/>
    <w:rsid w:val="00B928DE"/>
    <w:rsid w:val="00B92F5B"/>
    <w:rsid w:val="00B940B7"/>
    <w:rsid w:val="00BA072F"/>
    <w:rsid w:val="00BA2434"/>
    <w:rsid w:val="00BA3AAD"/>
    <w:rsid w:val="00BA54EF"/>
    <w:rsid w:val="00BA6FB5"/>
    <w:rsid w:val="00BB1D02"/>
    <w:rsid w:val="00BB48FA"/>
    <w:rsid w:val="00BB57B9"/>
    <w:rsid w:val="00BB5DF9"/>
    <w:rsid w:val="00BB6DC0"/>
    <w:rsid w:val="00BB7251"/>
    <w:rsid w:val="00BB748F"/>
    <w:rsid w:val="00BC2F38"/>
    <w:rsid w:val="00BC34B2"/>
    <w:rsid w:val="00BC45A4"/>
    <w:rsid w:val="00BC583E"/>
    <w:rsid w:val="00BD1DBF"/>
    <w:rsid w:val="00BD21CB"/>
    <w:rsid w:val="00BD62F2"/>
    <w:rsid w:val="00BD7353"/>
    <w:rsid w:val="00BD764C"/>
    <w:rsid w:val="00BD7F78"/>
    <w:rsid w:val="00BE02B7"/>
    <w:rsid w:val="00BE0401"/>
    <w:rsid w:val="00BE15FA"/>
    <w:rsid w:val="00BE1A7A"/>
    <w:rsid w:val="00BE47A9"/>
    <w:rsid w:val="00BE4F1C"/>
    <w:rsid w:val="00BF023A"/>
    <w:rsid w:val="00BF0A1A"/>
    <w:rsid w:val="00BF481C"/>
    <w:rsid w:val="00BF75EB"/>
    <w:rsid w:val="00C00748"/>
    <w:rsid w:val="00C05C97"/>
    <w:rsid w:val="00C06AEF"/>
    <w:rsid w:val="00C11973"/>
    <w:rsid w:val="00C1527A"/>
    <w:rsid w:val="00C15A6D"/>
    <w:rsid w:val="00C2036A"/>
    <w:rsid w:val="00C21D54"/>
    <w:rsid w:val="00C270D1"/>
    <w:rsid w:val="00C271B3"/>
    <w:rsid w:val="00C27BE7"/>
    <w:rsid w:val="00C337B8"/>
    <w:rsid w:val="00C366FC"/>
    <w:rsid w:val="00C37A75"/>
    <w:rsid w:val="00C37AA1"/>
    <w:rsid w:val="00C43DBE"/>
    <w:rsid w:val="00C47155"/>
    <w:rsid w:val="00C507BA"/>
    <w:rsid w:val="00C53BB5"/>
    <w:rsid w:val="00C554DA"/>
    <w:rsid w:val="00C562AE"/>
    <w:rsid w:val="00C60EB9"/>
    <w:rsid w:val="00C63983"/>
    <w:rsid w:val="00C63A55"/>
    <w:rsid w:val="00C64185"/>
    <w:rsid w:val="00C645C0"/>
    <w:rsid w:val="00C658EC"/>
    <w:rsid w:val="00C744DC"/>
    <w:rsid w:val="00C74AD2"/>
    <w:rsid w:val="00C74F13"/>
    <w:rsid w:val="00C75F87"/>
    <w:rsid w:val="00C76A70"/>
    <w:rsid w:val="00C76E45"/>
    <w:rsid w:val="00C82535"/>
    <w:rsid w:val="00C8581D"/>
    <w:rsid w:val="00C87904"/>
    <w:rsid w:val="00C927CC"/>
    <w:rsid w:val="00C951CF"/>
    <w:rsid w:val="00CA11F9"/>
    <w:rsid w:val="00CA35DE"/>
    <w:rsid w:val="00CA45AB"/>
    <w:rsid w:val="00CA539E"/>
    <w:rsid w:val="00CB04F0"/>
    <w:rsid w:val="00CB221C"/>
    <w:rsid w:val="00CB7F0B"/>
    <w:rsid w:val="00CC3F01"/>
    <w:rsid w:val="00CC6DDA"/>
    <w:rsid w:val="00CC79E7"/>
    <w:rsid w:val="00CD3762"/>
    <w:rsid w:val="00CD4602"/>
    <w:rsid w:val="00CD5050"/>
    <w:rsid w:val="00CD5E3E"/>
    <w:rsid w:val="00CD76EF"/>
    <w:rsid w:val="00CE0373"/>
    <w:rsid w:val="00CE0CDD"/>
    <w:rsid w:val="00CE0E2D"/>
    <w:rsid w:val="00CE17B9"/>
    <w:rsid w:val="00CE4641"/>
    <w:rsid w:val="00CE65F9"/>
    <w:rsid w:val="00CF0B8A"/>
    <w:rsid w:val="00CF0D40"/>
    <w:rsid w:val="00CF133C"/>
    <w:rsid w:val="00CF7763"/>
    <w:rsid w:val="00D01093"/>
    <w:rsid w:val="00D0224E"/>
    <w:rsid w:val="00D034AD"/>
    <w:rsid w:val="00D05BA7"/>
    <w:rsid w:val="00D067E0"/>
    <w:rsid w:val="00D06970"/>
    <w:rsid w:val="00D07E20"/>
    <w:rsid w:val="00D14597"/>
    <w:rsid w:val="00D165B3"/>
    <w:rsid w:val="00D17838"/>
    <w:rsid w:val="00D23020"/>
    <w:rsid w:val="00D242AF"/>
    <w:rsid w:val="00D269A6"/>
    <w:rsid w:val="00D27C97"/>
    <w:rsid w:val="00D3100A"/>
    <w:rsid w:val="00D36303"/>
    <w:rsid w:val="00D40034"/>
    <w:rsid w:val="00D42EB6"/>
    <w:rsid w:val="00D4622B"/>
    <w:rsid w:val="00D46549"/>
    <w:rsid w:val="00D47066"/>
    <w:rsid w:val="00D51051"/>
    <w:rsid w:val="00D52DC0"/>
    <w:rsid w:val="00D62CD8"/>
    <w:rsid w:val="00D6547E"/>
    <w:rsid w:val="00D66B94"/>
    <w:rsid w:val="00D67E1B"/>
    <w:rsid w:val="00D70BE5"/>
    <w:rsid w:val="00D71711"/>
    <w:rsid w:val="00D727FF"/>
    <w:rsid w:val="00D74316"/>
    <w:rsid w:val="00D769C1"/>
    <w:rsid w:val="00D814F6"/>
    <w:rsid w:val="00D84F2F"/>
    <w:rsid w:val="00D860CE"/>
    <w:rsid w:val="00D86A6B"/>
    <w:rsid w:val="00D878A1"/>
    <w:rsid w:val="00D9150E"/>
    <w:rsid w:val="00D91A20"/>
    <w:rsid w:val="00D93ADB"/>
    <w:rsid w:val="00DA290B"/>
    <w:rsid w:val="00DA2F33"/>
    <w:rsid w:val="00DA404E"/>
    <w:rsid w:val="00DB0EDD"/>
    <w:rsid w:val="00DB14C0"/>
    <w:rsid w:val="00DB167D"/>
    <w:rsid w:val="00DB4B27"/>
    <w:rsid w:val="00DB5587"/>
    <w:rsid w:val="00DC1254"/>
    <w:rsid w:val="00DC1A39"/>
    <w:rsid w:val="00DC3EF9"/>
    <w:rsid w:val="00DC3F89"/>
    <w:rsid w:val="00DC6375"/>
    <w:rsid w:val="00DD4157"/>
    <w:rsid w:val="00DD4F47"/>
    <w:rsid w:val="00DE15D4"/>
    <w:rsid w:val="00DE1C9D"/>
    <w:rsid w:val="00DE4F63"/>
    <w:rsid w:val="00DE67CF"/>
    <w:rsid w:val="00DF0F7B"/>
    <w:rsid w:val="00DF593F"/>
    <w:rsid w:val="00E01E46"/>
    <w:rsid w:val="00E02F9D"/>
    <w:rsid w:val="00E03322"/>
    <w:rsid w:val="00E03416"/>
    <w:rsid w:val="00E041B9"/>
    <w:rsid w:val="00E04491"/>
    <w:rsid w:val="00E04B2B"/>
    <w:rsid w:val="00E10344"/>
    <w:rsid w:val="00E1422D"/>
    <w:rsid w:val="00E146D8"/>
    <w:rsid w:val="00E151D7"/>
    <w:rsid w:val="00E16269"/>
    <w:rsid w:val="00E165A4"/>
    <w:rsid w:val="00E21A07"/>
    <w:rsid w:val="00E2239B"/>
    <w:rsid w:val="00E24CD8"/>
    <w:rsid w:val="00E2684C"/>
    <w:rsid w:val="00E31645"/>
    <w:rsid w:val="00E32069"/>
    <w:rsid w:val="00E33F75"/>
    <w:rsid w:val="00E359D7"/>
    <w:rsid w:val="00E368EC"/>
    <w:rsid w:val="00E40B14"/>
    <w:rsid w:val="00E42573"/>
    <w:rsid w:val="00E44266"/>
    <w:rsid w:val="00E4437C"/>
    <w:rsid w:val="00E444F6"/>
    <w:rsid w:val="00E46783"/>
    <w:rsid w:val="00E46DC6"/>
    <w:rsid w:val="00E47BE4"/>
    <w:rsid w:val="00E50DD4"/>
    <w:rsid w:val="00E51146"/>
    <w:rsid w:val="00E51E2C"/>
    <w:rsid w:val="00E5242E"/>
    <w:rsid w:val="00E53438"/>
    <w:rsid w:val="00E54027"/>
    <w:rsid w:val="00E56BE5"/>
    <w:rsid w:val="00E56D05"/>
    <w:rsid w:val="00E60B60"/>
    <w:rsid w:val="00E7046C"/>
    <w:rsid w:val="00E70813"/>
    <w:rsid w:val="00E71204"/>
    <w:rsid w:val="00E73949"/>
    <w:rsid w:val="00E760EE"/>
    <w:rsid w:val="00E80D48"/>
    <w:rsid w:val="00E820CB"/>
    <w:rsid w:val="00E82F42"/>
    <w:rsid w:val="00E830AD"/>
    <w:rsid w:val="00E85376"/>
    <w:rsid w:val="00E85B05"/>
    <w:rsid w:val="00E869DE"/>
    <w:rsid w:val="00E93B70"/>
    <w:rsid w:val="00E95FE0"/>
    <w:rsid w:val="00E960F7"/>
    <w:rsid w:val="00EA243E"/>
    <w:rsid w:val="00EA31EB"/>
    <w:rsid w:val="00EA4B63"/>
    <w:rsid w:val="00EB1BE0"/>
    <w:rsid w:val="00EB25AF"/>
    <w:rsid w:val="00EB4A34"/>
    <w:rsid w:val="00EB5434"/>
    <w:rsid w:val="00EC19C6"/>
    <w:rsid w:val="00EC55E0"/>
    <w:rsid w:val="00EC5FD2"/>
    <w:rsid w:val="00ED2222"/>
    <w:rsid w:val="00ED5576"/>
    <w:rsid w:val="00EE14AC"/>
    <w:rsid w:val="00EE65FC"/>
    <w:rsid w:val="00EF144A"/>
    <w:rsid w:val="00EF4A18"/>
    <w:rsid w:val="00EF4A6C"/>
    <w:rsid w:val="00EF5893"/>
    <w:rsid w:val="00EF6932"/>
    <w:rsid w:val="00EF71F9"/>
    <w:rsid w:val="00EF73B6"/>
    <w:rsid w:val="00F0232C"/>
    <w:rsid w:val="00F03CFF"/>
    <w:rsid w:val="00F05304"/>
    <w:rsid w:val="00F07E91"/>
    <w:rsid w:val="00F10A12"/>
    <w:rsid w:val="00F13A63"/>
    <w:rsid w:val="00F23F7C"/>
    <w:rsid w:val="00F27B5D"/>
    <w:rsid w:val="00F27E9B"/>
    <w:rsid w:val="00F3142E"/>
    <w:rsid w:val="00F348E2"/>
    <w:rsid w:val="00F360E5"/>
    <w:rsid w:val="00F36C4B"/>
    <w:rsid w:val="00F3783A"/>
    <w:rsid w:val="00F40C4D"/>
    <w:rsid w:val="00F410BB"/>
    <w:rsid w:val="00F46D5C"/>
    <w:rsid w:val="00F47511"/>
    <w:rsid w:val="00F479B0"/>
    <w:rsid w:val="00F531E2"/>
    <w:rsid w:val="00F64D98"/>
    <w:rsid w:val="00F65814"/>
    <w:rsid w:val="00F67B3F"/>
    <w:rsid w:val="00F7315E"/>
    <w:rsid w:val="00F77C7E"/>
    <w:rsid w:val="00F8094C"/>
    <w:rsid w:val="00F8472A"/>
    <w:rsid w:val="00F86808"/>
    <w:rsid w:val="00F920CF"/>
    <w:rsid w:val="00F92605"/>
    <w:rsid w:val="00F93DFA"/>
    <w:rsid w:val="00F93FB7"/>
    <w:rsid w:val="00F94652"/>
    <w:rsid w:val="00FA5751"/>
    <w:rsid w:val="00FB0C11"/>
    <w:rsid w:val="00FB185F"/>
    <w:rsid w:val="00FB4681"/>
    <w:rsid w:val="00FB66D1"/>
    <w:rsid w:val="00FB772B"/>
    <w:rsid w:val="00FB7DE0"/>
    <w:rsid w:val="00FC05A6"/>
    <w:rsid w:val="00FC2D52"/>
    <w:rsid w:val="00FC3CDE"/>
    <w:rsid w:val="00FD0339"/>
    <w:rsid w:val="00FD0660"/>
    <w:rsid w:val="00FD0C27"/>
    <w:rsid w:val="00FD1BAB"/>
    <w:rsid w:val="00FD1C08"/>
    <w:rsid w:val="00FD2D94"/>
    <w:rsid w:val="00FD304B"/>
    <w:rsid w:val="00FD7755"/>
    <w:rsid w:val="00FE3D79"/>
    <w:rsid w:val="00FE5B99"/>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FDC5602-39AD-D64E-9040-B6F98C43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F40C4D"/>
    <w:pPr>
      <w:widowControl/>
      <w:spacing w:after="100"/>
      <w:jc w:val="left"/>
    </w:pPr>
    <w:rPr>
      <w:kern w:val="0"/>
      <w:sz w:val="20"/>
      <w:lang w:val="en-GB" w:eastAsia="x-none"/>
    </w:rPr>
  </w:style>
  <w:style w:type="character" w:customStyle="1" w:styleId="FootnoteTextChar">
    <w:name w:val="Footnote Text Char"/>
    <w:link w:val="FootnoteText"/>
    <w:uiPriority w:val="99"/>
    <w:rsid w:val="00F40C4D"/>
    <w:rPr>
      <w:rFonts w:ascii="Times New Roman" w:eastAsia="SimSun" w:hAnsi="Times New Roman"/>
      <w:lang w:val="en-GB" w:eastAsia="x-none"/>
    </w:rPr>
  </w:style>
  <w:style w:type="character" w:styleId="FootnoteReference">
    <w:name w:val="footnote reference"/>
    <w:uiPriority w:val="99"/>
    <w:unhideWhenUsed/>
    <w:rsid w:val="001B3389"/>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1B3389"/>
    <w:pPr>
      <w:widowControl/>
      <w:numPr>
        <w:numId w:val="38"/>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1B3389"/>
    <w:rPr>
      <w:rFonts w:ascii="Times New Roman" w:eastAsia="SimSun" w:hAnsi="Times New Roman"/>
      <w:sz w:val="28"/>
      <w:lang w:val="en-GB"/>
    </w:rPr>
  </w:style>
  <w:style w:type="paragraph" w:customStyle="1" w:styleId="H-1">
    <w:name w:val="H-1"/>
    <w:basedOn w:val="Normal"/>
    <w:rsid w:val="001B3389"/>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1B3389"/>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1B3389"/>
    <w:pPr>
      <w:widowControl/>
      <w:tabs>
        <w:tab w:val="left" w:pos="1440"/>
        <w:tab w:val="left" w:pos="2160"/>
        <w:tab w:val="center" w:pos="2880"/>
        <w:tab w:val="center" w:pos="4320"/>
        <w:tab w:val="right" w:pos="9072"/>
      </w:tabs>
      <w:snapToGrid w:val="0"/>
      <w:spacing w:before="160" w:after="240"/>
      <w:ind w:left="1440" w:right="720"/>
    </w:pPr>
    <w:rPr>
      <w:sz w:val="24"/>
    </w:rPr>
  </w:style>
  <w:style w:type="character" w:styleId="Hyperlink">
    <w:name w:val="Hyperlink"/>
    <w:uiPriority w:val="99"/>
    <w:semiHidden/>
    <w:unhideWhenUsed/>
    <w:rsid w:val="00764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CF80F-38A7-4F5B-BAAF-636CA35F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2021-05-04T06:25:00Z</cp:lastPrinted>
  <dcterms:created xsi:type="dcterms:W3CDTF">2023-10-14T01:14:00Z</dcterms:created>
  <dcterms:modified xsi:type="dcterms:W3CDTF">2023-10-14T01:14:00Z</dcterms:modified>
</cp:coreProperties>
</file>