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8EC" w:rsidRDefault="00124068" w:rsidP="00782AE3">
      <w:pPr>
        <w:jc w:val="right"/>
        <w:rPr>
          <w:color w:val="000000"/>
          <w:sz w:val="28"/>
          <w:szCs w:val="28"/>
        </w:rPr>
      </w:pPr>
      <w:r w:rsidRPr="0007522E">
        <w:rPr>
          <w:color w:val="000000"/>
          <w:sz w:val="28"/>
          <w:szCs w:val="28"/>
        </w:rPr>
        <w:t xml:space="preserve"> </w:t>
      </w:r>
      <w:r w:rsidR="00A115C2" w:rsidRPr="0007522E">
        <w:rPr>
          <w:color w:val="000000"/>
          <w:sz w:val="28"/>
          <w:szCs w:val="28"/>
        </w:rPr>
        <w:t>DC</w:t>
      </w:r>
      <w:r w:rsidR="00B66C3F">
        <w:rPr>
          <w:rFonts w:hint="eastAsia"/>
          <w:color w:val="000000"/>
          <w:sz w:val="28"/>
          <w:szCs w:val="28"/>
        </w:rPr>
        <w:t>PI</w:t>
      </w:r>
      <w:r w:rsidR="00A115C2" w:rsidRPr="0007522E">
        <w:rPr>
          <w:rFonts w:eastAsia="PMingLiU"/>
          <w:color w:val="000000"/>
          <w:sz w:val="28"/>
          <w:szCs w:val="28"/>
          <w:lang w:eastAsia="zh-HK"/>
        </w:rPr>
        <w:t xml:space="preserve"> </w:t>
      </w:r>
      <w:r w:rsidR="00A27063">
        <w:rPr>
          <w:rFonts w:eastAsia="PMingLiU"/>
          <w:color w:val="000000"/>
          <w:sz w:val="28"/>
          <w:szCs w:val="28"/>
          <w:lang w:eastAsia="zh-HK"/>
        </w:rPr>
        <w:t>1230</w:t>
      </w:r>
      <w:r w:rsidR="005E08FA">
        <w:rPr>
          <w:color w:val="000000"/>
          <w:sz w:val="28"/>
          <w:szCs w:val="28"/>
        </w:rPr>
        <w:t>/20</w:t>
      </w:r>
      <w:r w:rsidR="00A27063">
        <w:rPr>
          <w:color w:val="000000"/>
          <w:sz w:val="28"/>
          <w:szCs w:val="28"/>
        </w:rPr>
        <w:t>19</w:t>
      </w:r>
    </w:p>
    <w:p w:rsidR="001E40F1" w:rsidRDefault="001E40F1" w:rsidP="00782AE3">
      <w:pPr>
        <w:jc w:val="right"/>
        <w:rPr>
          <w:color w:val="000000"/>
          <w:sz w:val="28"/>
          <w:szCs w:val="28"/>
        </w:rPr>
      </w:pPr>
      <w:r w:rsidRPr="001E40F1">
        <w:rPr>
          <w:color w:val="000000"/>
          <w:sz w:val="28"/>
          <w:szCs w:val="28"/>
        </w:rPr>
        <w:t xml:space="preserve">[2021] HKDC </w:t>
      </w:r>
      <w:r w:rsidR="00C965F2">
        <w:rPr>
          <w:color w:val="000000"/>
          <w:sz w:val="28"/>
          <w:szCs w:val="28"/>
        </w:rPr>
        <w:t>205</w:t>
      </w:r>
    </w:p>
    <w:p w:rsidR="00816510" w:rsidRPr="000977AC" w:rsidRDefault="00816510" w:rsidP="0007522E">
      <w:pPr>
        <w:spacing w:line="360" w:lineRule="auto"/>
        <w:jc w:val="right"/>
        <w:rPr>
          <w:rFonts w:eastAsia="PMingLiU" w:hint="eastAsia"/>
          <w:color w:val="000000"/>
          <w:sz w:val="28"/>
          <w:szCs w:val="28"/>
          <w:lang w:eastAsia="zh-HK"/>
        </w:rPr>
      </w:pPr>
    </w:p>
    <w:p w:rsidR="005E08FA" w:rsidRDefault="00B616D5" w:rsidP="005E08FA">
      <w:pPr>
        <w:spacing w:line="360" w:lineRule="auto"/>
        <w:jc w:val="center"/>
        <w:rPr>
          <w:b/>
          <w:color w:val="000000"/>
          <w:sz w:val="28"/>
          <w:szCs w:val="28"/>
        </w:rPr>
      </w:pPr>
      <w:r w:rsidRPr="0007522E">
        <w:rPr>
          <w:b/>
          <w:color w:val="000000"/>
          <w:sz w:val="28"/>
          <w:szCs w:val="28"/>
        </w:rPr>
        <w:t xml:space="preserve">IN THE </w:t>
      </w:r>
      <w:r w:rsidR="00CA35DE" w:rsidRPr="0007522E">
        <w:rPr>
          <w:b/>
          <w:color w:val="000000"/>
          <w:sz w:val="28"/>
          <w:szCs w:val="28"/>
        </w:rPr>
        <w:t>DISTRICT COURT</w:t>
      </w:r>
      <w:r w:rsidR="005E08FA">
        <w:rPr>
          <w:b/>
          <w:color w:val="000000"/>
          <w:sz w:val="28"/>
          <w:szCs w:val="28"/>
        </w:rPr>
        <w:t xml:space="preserve"> OF THE</w:t>
      </w:r>
    </w:p>
    <w:p w:rsidR="00CA35DE" w:rsidRPr="0007522E" w:rsidRDefault="00B616D5" w:rsidP="005E08FA">
      <w:pPr>
        <w:spacing w:line="360" w:lineRule="auto"/>
        <w:jc w:val="center"/>
        <w:rPr>
          <w:b/>
          <w:color w:val="000000"/>
          <w:sz w:val="28"/>
          <w:szCs w:val="28"/>
        </w:rPr>
      </w:pPr>
      <w:r w:rsidRPr="0007522E">
        <w:rPr>
          <w:b/>
          <w:color w:val="000000"/>
          <w:sz w:val="28"/>
          <w:szCs w:val="28"/>
        </w:rPr>
        <w:t>HONG KONG SPECIAL ADMINISTRATIVE REGION</w:t>
      </w:r>
    </w:p>
    <w:p w:rsidR="00B66C3F" w:rsidRDefault="00B66C3F" w:rsidP="00B66C3F">
      <w:pPr>
        <w:spacing w:line="360" w:lineRule="auto"/>
        <w:jc w:val="center"/>
        <w:rPr>
          <w:color w:val="000000"/>
          <w:sz w:val="28"/>
          <w:szCs w:val="28"/>
        </w:rPr>
      </w:pPr>
      <w:r>
        <w:rPr>
          <w:rFonts w:eastAsia="PMingLiU"/>
          <w:color w:val="000000"/>
          <w:sz w:val="28"/>
          <w:szCs w:val="28"/>
          <w:lang w:eastAsia="zh-HK"/>
        </w:rPr>
        <w:t xml:space="preserve">PERSONAL INJURIES ACTION </w:t>
      </w:r>
      <w:r w:rsidR="00816510">
        <w:rPr>
          <w:color w:val="000000"/>
          <w:sz w:val="28"/>
          <w:szCs w:val="28"/>
        </w:rPr>
        <w:t xml:space="preserve">NO </w:t>
      </w:r>
      <w:r w:rsidR="00A27063">
        <w:rPr>
          <w:color w:val="000000"/>
          <w:sz w:val="28"/>
          <w:szCs w:val="28"/>
        </w:rPr>
        <w:t xml:space="preserve">1230 </w:t>
      </w:r>
      <w:r w:rsidR="00816510">
        <w:rPr>
          <w:color w:val="000000"/>
          <w:sz w:val="28"/>
          <w:szCs w:val="28"/>
        </w:rPr>
        <w:t>OF 20</w:t>
      </w:r>
      <w:r w:rsidR="00A27063">
        <w:rPr>
          <w:color w:val="000000"/>
          <w:sz w:val="28"/>
          <w:szCs w:val="28"/>
        </w:rPr>
        <w:t>19</w:t>
      </w:r>
    </w:p>
    <w:p w:rsidR="00A27063" w:rsidRPr="00DB58B3" w:rsidRDefault="00A27063" w:rsidP="00DB58B3">
      <w:pPr>
        <w:spacing w:line="360" w:lineRule="auto"/>
        <w:jc w:val="center"/>
        <w:rPr>
          <w:color w:val="000000"/>
          <w:sz w:val="28"/>
          <w:szCs w:val="28"/>
        </w:rPr>
      </w:pPr>
      <w:r>
        <w:rPr>
          <w:color w:val="000000"/>
          <w:sz w:val="28"/>
          <w:szCs w:val="28"/>
        </w:rPr>
        <w:t>____________</w:t>
      </w:r>
      <w:r w:rsidR="003F07B1">
        <w:rPr>
          <w:color w:val="000000"/>
          <w:sz w:val="28"/>
          <w:szCs w:val="28"/>
        </w:rPr>
        <w:t>______</w:t>
      </w:r>
    </w:p>
    <w:p w:rsidR="00816510" w:rsidRDefault="00816510" w:rsidP="00816510">
      <w:pPr>
        <w:widowControl/>
        <w:snapToGrid w:val="0"/>
        <w:spacing w:after="100"/>
        <w:rPr>
          <w:sz w:val="28"/>
          <w:szCs w:val="28"/>
          <w:lang w:val="en-GB"/>
        </w:rPr>
      </w:pPr>
      <w:r w:rsidRPr="00816510">
        <w:rPr>
          <w:sz w:val="28"/>
          <w:szCs w:val="28"/>
          <w:lang w:val="en-GB"/>
        </w:rPr>
        <w:t>BETWEEN</w:t>
      </w:r>
    </w:p>
    <w:p w:rsidR="00816510" w:rsidRPr="00816510" w:rsidRDefault="00816510" w:rsidP="000729D3">
      <w:pPr>
        <w:tabs>
          <w:tab w:val="left" w:pos="900"/>
          <w:tab w:val="center" w:pos="3960"/>
          <w:tab w:val="right" w:pos="8400"/>
        </w:tabs>
        <w:ind w:right="50"/>
        <w:rPr>
          <w:sz w:val="28"/>
          <w:szCs w:val="28"/>
          <w:lang w:eastAsia="zh-TW"/>
        </w:rPr>
      </w:pPr>
      <w:r w:rsidRPr="00816510">
        <w:rPr>
          <w:sz w:val="28"/>
          <w:szCs w:val="28"/>
        </w:rPr>
        <w:tab/>
      </w:r>
      <w:r w:rsidRPr="00816510">
        <w:rPr>
          <w:sz w:val="28"/>
          <w:szCs w:val="28"/>
        </w:rPr>
        <w:tab/>
      </w:r>
      <w:r w:rsidR="005E08FA">
        <w:rPr>
          <w:sz w:val="28"/>
          <w:szCs w:val="28"/>
        </w:rPr>
        <w:t xml:space="preserve"> </w:t>
      </w:r>
      <w:r w:rsidR="00A27063">
        <w:rPr>
          <w:sz w:val="28"/>
          <w:szCs w:val="28"/>
        </w:rPr>
        <w:t>CHAN TAT YAN</w:t>
      </w:r>
      <w:r w:rsidRPr="00816510">
        <w:rPr>
          <w:rFonts w:eastAsia="PMingLiU"/>
          <w:sz w:val="28"/>
          <w:szCs w:val="28"/>
          <w:lang w:val="en-GB"/>
        </w:rPr>
        <w:tab/>
      </w:r>
      <w:r w:rsidRPr="0007522E">
        <w:rPr>
          <w:rFonts w:eastAsia="PMingLiU"/>
          <w:color w:val="000000"/>
          <w:sz w:val="28"/>
          <w:szCs w:val="28"/>
          <w:lang w:eastAsia="zh-HK"/>
        </w:rPr>
        <w:t>Plaintiff</w:t>
      </w:r>
    </w:p>
    <w:p w:rsidR="00816510" w:rsidRPr="00816510" w:rsidRDefault="00816510" w:rsidP="000729D3">
      <w:pPr>
        <w:tabs>
          <w:tab w:val="left" w:pos="900"/>
          <w:tab w:val="center" w:pos="3960"/>
          <w:tab w:val="right" w:pos="8400"/>
        </w:tabs>
        <w:spacing w:line="360" w:lineRule="auto"/>
        <w:ind w:right="43"/>
        <w:rPr>
          <w:sz w:val="28"/>
          <w:szCs w:val="28"/>
          <w:lang w:eastAsia="zh-TW"/>
        </w:rPr>
      </w:pPr>
    </w:p>
    <w:p w:rsidR="00816510" w:rsidRPr="00816510" w:rsidRDefault="00816510" w:rsidP="000729D3">
      <w:pPr>
        <w:tabs>
          <w:tab w:val="left" w:pos="1710"/>
          <w:tab w:val="center" w:pos="3960"/>
          <w:tab w:val="right" w:pos="8400"/>
        </w:tabs>
        <w:ind w:right="43"/>
        <w:rPr>
          <w:sz w:val="28"/>
          <w:szCs w:val="28"/>
        </w:rPr>
      </w:pPr>
      <w:r w:rsidRPr="00816510">
        <w:rPr>
          <w:sz w:val="28"/>
          <w:szCs w:val="28"/>
        </w:rPr>
        <w:tab/>
      </w:r>
      <w:r w:rsidRPr="00816510">
        <w:rPr>
          <w:sz w:val="28"/>
          <w:szCs w:val="28"/>
        </w:rPr>
        <w:tab/>
        <w:t>and</w:t>
      </w:r>
    </w:p>
    <w:p w:rsidR="00816510" w:rsidRPr="00816510" w:rsidRDefault="00816510" w:rsidP="000729D3">
      <w:pPr>
        <w:tabs>
          <w:tab w:val="left" w:pos="1710"/>
          <w:tab w:val="center" w:pos="3960"/>
          <w:tab w:val="right" w:pos="8400"/>
        </w:tabs>
        <w:spacing w:after="120"/>
        <w:ind w:right="43"/>
        <w:rPr>
          <w:sz w:val="28"/>
          <w:szCs w:val="28"/>
        </w:rPr>
      </w:pPr>
    </w:p>
    <w:p w:rsidR="00816510" w:rsidRDefault="00816510" w:rsidP="000729D3">
      <w:pPr>
        <w:tabs>
          <w:tab w:val="left" w:pos="900"/>
          <w:tab w:val="center" w:pos="3960"/>
          <w:tab w:val="center" w:pos="4140"/>
          <w:tab w:val="right" w:pos="8400"/>
        </w:tabs>
        <w:ind w:left="1714" w:right="43" w:hanging="1714"/>
        <w:rPr>
          <w:color w:val="000000"/>
          <w:sz w:val="28"/>
          <w:szCs w:val="28"/>
        </w:rPr>
      </w:pPr>
      <w:r w:rsidRPr="00816510">
        <w:rPr>
          <w:sz w:val="28"/>
          <w:szCs w:val="28"/>
        </w:rPr>
        <w:tab/>
      </w:r>
      <w:r w:rsidRPr="00816510">
        <w:rPr>
          <w:sz w:val="28"/>
          <w:szCs w:val="28"/>
          <w:lang w:eastAsia="zh-TW"/>
        </w:rPr>
        <w:tab/>
      </w:r>
      <w:r w:rsidRPr="00816510">
        <w:rPr>
          <w:sz w:val="28"/>
          <w:szCs w:val="28"/>
          <w:lang w:eastAsia="zh-TW"/>
        </w:rPr>
        <w:tab/>
      </w:r>
      <w:r w:rsidR="005E08FA">
        <w:rPr>
          <w:sz w:val="28"/>
          <w:szCs w:val="28"/>
        </w:rPr>
        <w:t xml:space="preserve"> </w:t>
      </w:r>
      <w:r w:rsidR="00A27063" w:rsidRPr="00A27063">
        <w:rPr>
          <w:sz w:val="28"/>
          <w:szCs w:val="28"/>
        </w:rPr>
        <w:t xml:space="preserve">LO YIN YEE  </w:t>
      </w:r>
      <w:r w:rsidRPr="00816510">
        <w:rPr>
          <w:rFonts w:hint="eastAsia"/>
          <w:sz w:val="28"/>
          <w:szCs w:val="28"/>
        </w:rPr>
        <w:t xml:space="preserve"> </w:t>
      </w:r>
      <w:r>
        <w:rPr>
          <w:sz w:val="28"/>
          <w:szCs w:val="28"/>
        </w:rPr>
        <w:tab/>
      </w:r>
      <w:r w:rsidR="00A27063">
        <w:rPr>
          <w:sz w:val="28"/>
          <w:szCs w:val="28"/>
        </w:rPr>
        <w:t>1</w:t>
      </w:r>
      <w:r w:rsidR="00A27063" w:rsidRPr="00A27063">
        <w:rPr>
          <w:sz w:val="28"/>
          <w:szCs w:val="28"/>
          <w:vertAlign w:val="superscript"/>
        </w:rPr>
        <w:t>st</w:t>
      </w:r>
      <w:r w:rsidR="00A27063">
        <w:rPr>
          <w:sz w:val="28"/>
          <w:szCs w:val="28"/>
        </w:rPr>
        <w:t xml:space="preserve"> </w:t>
      </w:r>
      <w:r w:rsidRPr="0007522E">
        <w:rPr>
          <w:rFonts w:eastAsia="PMingLiU"/>
          <w:color w:val="000000"/>
          <w:sz w:val="28"/>
          <w:szCs w:val="28"/>
          <w:lang w:eastAsia="zh-HK"/>
        </w:rPr>
        <w:t>Defendan</w:t>
      </w:r>
      <w:r w:rsidRPr="0007522E">
        <w:rPr>
          <w:color w:val="000000"/>
          <w:sz w:val="28"/>
          <w:szCs w:val="28"/>
        </w:rPr>
        <w:t>t</w:t>
      </w:r>
    </w:p>
    <w:p w:rsidR="001526E7" w:rsidRDefault="001526E7" w:rsidP="000729D3">
      <w:pPr>
        <w:tabs>
          <w:tab w:val="left" w:pos="900"/>
          <w:tab w:val="center" w:pos="3960"/>
          <w:tab w:val="center" w:pos="4140"/>
          <w:tab w:val="right" w:pos="8400"/>
        </w:tabs>
        <w:ind w:left="1714" w:right="43" w:hanging="1714"/>
        <w:rPr>
          <w:color w:val="000000"/>
          <w:sz w:val="28"/>
          <w:szCs w:val="28"/>
        </w:rPr>
      </w:pPr>
    </w:p>
    <w:p w:rsidR="00A27063" w:rsidRDefault="00A27063" w:rsidP="000729D3">
      <w:pPr>
        <w:tabs>
          <w:tab w:val="left" w:pos="900"/>
          <w:tab w:val="center" w:pos="3960"/>
          <w:tab w:val="center" w:pos="4140"/>
          <w:tab w:val="right" w:pos="8400"/>
        </w:tabs>
        <w:ind w:left="1714" w:right="43" w:hanging="1714"/>
        <w:rPr>
          <w:sz w:val="28"/>
          <w:szCs w:val="28"/>
        </w:rPr>
      </w:pPr>
      <w:r>
        <w:rPr>
          <w:sz w:val="28"/>
          <w:szCs w:val="28"/>
        </w:rPr>
        <w:tab/>
      </w:r>
      <w:r>
        <w:rPr>
          <w:sz w:val="28"/>
          <w:szCs w:val="28"/>
        </w:rPr>
        <w:tab/>
        <w:t>ZURICH INSURANCE COMPANY LTD</w:t>
      </w:r>
      <w:r w:rsidRPr="00A27063">
        <w:rPr>
          <w:sz w:val="28"/>
          <w:szCs w:val="28"/>
        </w:rPr>
        <w:t xml:space="preserve"> </w:t>
      </w:r>
      <w:r>
        <w:rPr>
          <w:sz w:val="28"/>
          <w:szCs w:val="28"/>
        </w:rPr>
        <w:tab/>
        <w:t>2</w:t>
      </w:r>
      <w:r w:rsidRPr="00A27063">
        <w:rPr>
          <w:sz w:val="28"/>
          <w:szCs w:val="28"/>
          <w:vertAlign w:val="superscript"/>
        </w:rPr>
        <w:t>nd</w:t>
      </w:r>
      <w:r>
        <w:rPr>
          <w:sz w:val="28"/>
          <w:szCs w:val="28"/>
        </w:rPr>
        <w:t xml:space="preserve"> Defendant</w:t>
      </w:r>
    </w:p>
    <w:p w:rsidR="00A27063" w:rsidRDefault="00A27063" w:rsidP="000729D3">
      <w:pPr>
        <w:tabs>
          <w:tab w:val="left" w:pos="900"/>
          <w:tab w:val="center" w:pos="3960"/>
          <w:tab w:val="center" w:pos="4140"/>
          <w:tab w:val="right" w:pos="8400"/>
        </w:tabs>
        <w:spacing w:after="100"/>
        <w:ind w:left="1714" w:right="43" w:hanging="1714"/>
        <w:rPr>
          <w:sz w:val="28"/>
          <w:szCs w:val="28"/>
        </w:rPr>
      </w:pPr>
    </w:p>
    <w:p w:rsidR="00A27063" w:rsidRDefault="00A27063" w:rsidP="000729D3">
      <w:pPr>
        <w:tabs>
          <w:tab w:val="left" w:pos="900"/>
          <w:tab w:val="center" w:pos="3960"/>
          <w:tab w:val="center" w:pos="4140"/>
          <w:tab w:val="right" w:pos="8400"/>
        </w:tabs>
        <w:spacing w:line="360" w:lineRule="auto"/>
        <w:ind w:left="1714" w:right="43" w:hanging="1714"/>
        <w:rPr>
          <w:sz w:val="28"/>
          <w:szCs w:val="28"/>
        </w:rPr>
      </w:pPr>
      <w:r>
        <w:rPr>
          <w:sz w:val="28"/>
          <w:szCs w:val="28"/>
        </w:rPr>
        <w:tab/>
      </w:r>
      <w:r>
        <w:rPr>
          <w:sz w:val="28"/>
          <w:szCs w:val="28"/>
        </w:rPr>
        <w:tab/>
      </w:r>
      <w:r>
        <w:rPr>
          <w:sz w:val="28"/>
          <w:szCs w:val="28"/>
        </w:rPr>
        <w:tab/>
        <w:t xml:space="preserve">and </w:t>
      </w:r>
    </w:p>
    <w:p w:rsidR="00A27063" w:rsidRDefault="00A27063" w:rsidP="000729D3">
      <w:pPr>
        <w:tabs>
          <w:tab w:val="left" w:pos="900"/>
          <w:tab w:val="center" w:pos="3960"/>
          <w:tab w:val="center" w:pos="4140"/>
          <w:tab w:val="right" w:pos="8400"/>
        </w:tabs>
        <w:ind w:left="1714" w:right="43" w:hanging="1714"/>
        <w:rPr>
          <w:sz w:val="28"/>
          <w:szCs w:val="28"/>
        </w:rPr>
      </w:pPr>
    </w:p>
    <w:p w:rsidR="00A27063" w:rsidRPr="00A27063" w:rsidRDefault="00A27063" w:rsidP="000729D3">
      <w:pPr>
        <w:tabs>
          <w:tab w:val="left" w:pos="900"/>
          <w:tab w:val="center" w:pos="3960"/>
          <w:tab w:val="center" w:pos="4140"/>
          <w:tab w:val="right" w:pos="8400"/>
        </w:tabs>
        <w:ind w:left="1714" w:right="43" w:hanging="1714"/>
        <w:rPr>
          <w:sz w:val="28"/>
          <w:szCs w:val="28"/>
        </w:rPr>
      </w:pPr>
      <w:r>
        <w:rPr>
          <w:sz w:val="28"/>
          <w:szCs w:val="28"/>
        </w:rPr>
        <w:tab/>
      </w:r>
      <w:r>
        <w:rPr>
          <w:sz w:val="28"/>
          <w:szCs w:val="28"/>
        </w:rPr>
        <w:tab/>
      </w:r>
      <w:r>
        <w:rPr>
          <w:sz w:val="28"/>
          <w:szCs w:val="28"/>
        </w:rPr>
        <w:tab/>
      </w:r>
      <w:r w:rsidRPr="00A27063">
        <w:rPr>
          <w:sz w:val="28"/>
          <w:szCs w:val="28"/>
        </w:rPr>
        <w:t>CHAN KWING SHING</w:t>
      </w:r>
      <w:r>
        <w:rPr>
          <w:sz w:val="28"/>
          <w:szCs w:val="28"/>
        </w:rPr>
        <w:tab/>
        <w:t>Third Party</w:t>
      </w:r>
    </w:p>
    <w:p w:rsidR="009D728B" w:rsidRPr="00816510" w:rsidRDefault="00816510" w:rsidP="000729D3">
      <w:pPr>
        <w:tabs>
          <w:tab w:val="left" w:pos="900"/>
          <w:tab w:val="center" w:pos="3960"/>
          <w:tab w:val="center" w:pos="4140"/>
          <w:tab w:val="right" w:pos="8400"/>
        </w:tabs>
        <w:spacing w:after="100"/>
        <w:ind w:left="1714" w:right="43" w:hanging="1714"/>
        <w:rPr>
          <w:sz w:val="28"/>
          <w:szCs w:val="28"/>
          <w:lang w:eastAsia="zh-TW"/>
        </w:rPr>
      </w:pPr>
      <w:r>
        <w:rPr>
          <w:sz w:val="28"/>
          <w:szCs w:val="28"/>
        </w:rPr>
        <w:tab/>
      </w:r>
      <w:r>
        <w:rPr>
          <w:sz w:val="28"/>
          <w:szCs w:val="28"/>
        </w:rPr>
        <w:tab/>
      </w:r>
      <w:r w:rsidRPr="00816510">
        <w:rPr>
          <w:rFonts w:eastAsia="PMingLiU"/>
          <w:sz w:val="28"/>
          <w:szCs w:val="28"/>
          <w:lang w:val="en-GB"/>
        </w:rPr>
        <w:tab/>
      </w:r>
      <w:r w:rsidRPr="00816510">
        <w:rPr>
          <w:rFonts w:hint="eastAsia"/>
          <w:sz w:val="28"/>
          <w:szCs w:val="28"/>
          <w:lang w:eastAsia="zh-TW"/>
        </w:rPr>
        <w:t xml:space="preserve"> </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r w:rsidR="003F07B1">
        <w:rPr>
          <w:color w:val="000000"/>
          <w:sz w:val="28"/>
          <w:szCs w:val="28"/>
        </w:rPr>
        <w:t>______</w:t>
      </w:r>
    </w:p>
    <w:p w:rsidR="0098509A" w:rsidRDefault="0098509A" w:rsidP="0007522E">
      <w:pPr>
        <w:spacing w:line="360" w:lineRule="auto"/>
        <w:rPr>
          <w:rFonts w:eastAsia="PMingLiU"/>
          <w:sz w:val="28"/>
          <w:szCs w:val="28"/>
          <w:lang w:eastAsia="zh-HK"/>
        </w:rPr>
      </w:pPr>
    </w:p>
    <w:p w:rsidR="00C358CE" w:rsidRPr="0007522E" w:rsidRDefault="00C358CE" w:rsidP="0007522E">
      <w:pPr>
        <w:spacing w:line="360" w:lineRule="auto"/>
        <w:rPr>
          <w:rFonts w:eastAsia="PMingLiU"/>
          <w:sz w:val="28"/>
          <w:szCs w:val="28"/>
          <w:lang w:eastAsia="zh-HK"/>
        </w:rPr>
      </w:pPr>
    </w:p>
    <w:p w:rsidR="00973673" w:rsidRPr="0007522E" w:rsidRDefault="00CA35DE" w:rsidP="0007522E">
      <w:pPr>
        <w:spacing w:line="360" w:lineRule="auto"/>
        <w:rPr>
          <w:rFonts w:eastAsia="PMingLiU"/>
          <w:sz w:val="28"/>
          <w:szCs w:val="28"/>
          <w:lang w:eastAsia="zh-HK"/>
        </w:rPr>
      </w:pPr>
      <w:r w:rsidRPr="0007522E">
        <w:rPr>
          <w:sz w:val="28"/>
          <w:szCs w:val="28"/>
        </w:rPr>
        <w:t>Before</w:t>
      </w:r>
      <w:r w:rsidR="00973673" w:rsidRPr="0007522E">
        <w:rPr>
          <w:sz w:val="28"/>
          <w:szCs w:val="28"/>
        </w:rPr>
        <w:t>:</w:t>
      </w:r>
      <w:r w:rsidR="00973673" w:rsidRPr="0007522E">
        <w:rPr>
          <w:rFonts w:eastAsia="PMingLiU"/>
          <w:sz w:val="28"/>
          <w:szCs w:val="28"/>
          <w:lang w:eastAsia="zh-HK"/>
        </w:rPr>
        <w:t xml:space="preserve"> </w:t>
      </w:r>
      <w:r w:rsidR="00E830AD">
        <w:rPr>
          <w:sz w:val="28"/>
          <w:szCs w:val="28"/>
        </w:rPr>
        <w:t>Master</w:t>
      </w:r>
      <w:r w:rsidRPr="0007522E">
        <w:rPr>
          <w:sz w:val="28"/>
          <w:szCs w:val="28"/>
        </w:rPr>
        <w:t xml:space="preserve"> </w:t>
      </w:r>
      <w:r w:rsidR="00816510">
        <w:rPr>
          <w:sz w:val="28"/>
          <w:szCs w:val="28"/>
        </w:rPr>
        <w:t>Matthew Leung</w:t>
      </w:r>
      <w:r w:rsidR="00973673" w:rsidRPr="0007522E">
        <w:rPr>
          <w:sz w:val="28"/>
          <w:szCs w:val="28"/>
        </w:rPr>
        <w:t xml:space="preserve"> </w:t>
      </w:r>
      <w:r w:rsidRPr="0007522E">
        <w:rPr>
          <w:sz w:val="28"/>
          <w:szCs w:val="28"/>
        </w:rPr>
        <w:t xml:space="preserve">in </w:t>
      </w:r>
      <w:r w:rsidR="00C00748">
        <w:rPr>
          <w:rFonts w:hint="eastAsia"/>
          <w:sz w:val="28"/>
          <w:szCs w:val="28"/>
        </w:rPr>
        <w:t>Court</w:t>
      </w:r>
    </w:p>
    <w:p w:rsidR="00973673" w:rsidRDefault="00CA35DE" w:rsidP="0007522E">
      <w:pPr>
        <w:spacing w:line="360" w:lineRule="auto"/>
        <w:rPr>
          <w:sz w:val="28"/>
          <w:szCs w:val="28"/>
        </w:rPr>
      </w:pPr>
      <w:r w:rsidRPr="0007522E">
        <w:rPr>
          <w:sz w:val="28"/>
          <w:szCs w:val="28"/>
        </w:rPr>
        <w:t>Date</w:t>
      </w:r>
      <w:r w:rsidR="00973673" w:rsidRPr="0007522E">
        <w:rPr>
          <w:sz w:val="28"/>
          <w:szCs w:val="28"/>
        </w:rPr>
        <w:t xml:space="preserve"> of Hearing:</w:t>
      </w:r>
      <w:r w:rsidR="00602358" w:rsidRPr="0007522E">
        <w:rPr>
          <w:rFonts w:eastAsia="PMingLiU"/>
          <w:sz w:val="28"/>
          <w:szCs w:val="28"/>
          <w:lang w:eastAsia="zh-HK"/>
        </w:rPr>
        <w:t xml:space="preserve"> </w:t>
      </w:r>
      <w:r w:rsidR="00A27063">
        <w:rPr>
          <w:rFonts w:eastAsia="PMingLiU"/>
          <w:sz w:val="28"/>
          <w:szCs w:val="28"/>
          <w:lang w:eastAsia="zh-HK"/>
        </w:rPr>
        <w:t xml:space="preserve">16 February </w:t>
      </w:r>
      <w:r w:rsidR="00816510">
        <w:rPr>
          <w:sz w:val="28"/>
          <w:szCs w:val="28"/>
        </w:rPr>
        <w:t>2021</w:t>
      </w:r>
    </w:p>
    <w:p w:rsidR="002D2B4A" w:rsidRPr="0007522E" w:rsidRDefault="002D2B4A" w:rsidP="0007522E">
      <w:pPr>
        <w:spacing w:line="360" w:lineRule="auto"/>
        <w:rPr>
          <w:sz w:val="28"/>
          <w:szCs w:val="28"/>
        </w:rPr>
      </w:pPr>
      <w:r>
        <w:rPr>
          <w:sz w:val="28"/>
          <w:szCs w:val="28"/>
        </w:rPr>
        <w:t>Date of the 2</w:t>
      </w:r>
      <w:r w:rsidRPr="002D2B4A">
        <w:rPr>
          <w:sz w:val="28"/>
          <w:szCs w:val="28"/>
          <w:vertAlign w:val="superscript"/>
        </w:rPr>
        <w:t>nd</w:t>
      </w:r>
      <w:r>
        <w:rPr>
          <w:sz w:val="28"/>
          <w:szCs w:val="28"/>
        </w:rPr>
        <w:t xml:space="preserve"> Defendant’s Supplemental Submissions: 17 February 2021</w:t>
      </w:r>
    </w:p>
    <w:p w:rsidR="005F2909" w:rsidRPr="002A6B0E" w:rsidRDefault="00973673" w:rsidP="0007522E">
      <w:pPr>
        <w:spacing w:line="360" w:lineRule="auto"/>
        <w:rPr>
          <w:rFonts w:eastAsia="PMingLiU" w:hint="eastAsia"/>
          <w:sz w:val="28"/>
          <w:szCs w:val="28"/>
          <w:lang w:eastAsia="zh-HK"/>
        </w:rPr>
      </w:pPr>
      <w:r w:rsidRPr="0007522E">
        <w:rPr>
          <w:rFonts w:eastAsia="PMingLiU"/>
          <w:sz w:val="28"/>
          <w:szCs w:val="28"/>
          <w:lang w:eastAsia="zh-HK"/>
        </w:rPr>
        <w:t xml:space="preserve">Date of </w:t>
      </w:r>
      <w:r w:rsidR="00E830AD">
        <w:rPr>
          <w:sz w:val="28"/>
          <w:szCs w:val="28"/>
        </w:rPr>
        <w:t>Assessment of Damages</w:t>
      </w:r>
      <w:r w:rsidRPr="0007522E">
        <w:rPr>
          <w:rFonts w:eastAsia="PMingLiU"/>
          <w:sz w:val="28"/>
          <w:szCs w:val="28"/>
          <w:lang w:eastAsia="zh-HK"/>
        </w:rPr>
        <w:t xml:space="preserve">: </w:t>
      </w:r>
      <w:r w:rsidR="0006708D">
        <w:rPr>
          <w:rFonts w:eastAsia="PMingLiU"/>
          <w:sz w:val="28"/>
          <w:szCs w:val="28"/>
          <w:lang w:eastAsia="zh-HK"/>
        </w:rPr>
        <w:t xml:space="preserve">19 March </w:t>
      </w:r>
      <w:r w:rsidR="002A6B0E">
        <w:rPr>
          <w:rFonts w:eastAsia="PMingLiU"/>
          <w:sz w:val="28"/>
          <w:szCs w:val="28"/>
          <w:lang w:eastAsia="zh-HK"/>
        </w:rPr>
        <w:t>2021</w:t>
      </w:r>
    </w:p>
    <w:p w:rsidR="00816510" w:rsidRPr="005C5B9E" w:rsidRDefault="00816510" w:rsidP="0007522E">
      <w:pPr>
        <w:spacing w:line="360" w:lineRule="auto"/>
        <w:rPr>
          <w:rFonts w:eastAsia="PMingLiU" w:hint="eastAsia"/>
          <w:sz w:val="28"/>
          <w:szCs w:val="28"/>
          <w:lang w:eastAsia="zh-HK"/>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213"/>
      </w:tblGrid>
      <w:tr w:rsidR="00996748" w:rsidRPr="00900DAC" w:rsidTr="007817BD">
        <w:trPr>
          <w:trHeight w:val="76"/>
          <w:jc w:val="center"/>
        </w:trPr>
        <w:tc>
          <w:tcPr>
            <w:tcW w:w="4213" w:type="dxa"/>
            <w:tcBorders>
              <w:top w:val="single" w:sz="4" w:space="0" w:color="auto"/>
              <w:left w:val="nil"/>
              <w:bottom w:val="single" w:sz="4" w:space="0" w:color="auto"/>
              <w:right w:val="nil"/>
            </w:tcBorders>
          </w:tcPr>
          <w:p w:rsidR="00996748" w:rsidRPr="00996748" w:rsidRDefault="00996748" w:rsidP="001F6D25">
            <w:pPr>
              <w:keepNext/>
              <w:tabs>
                <w:tab w:val="center" w:pos="4320"/>
                <w:tab w:val="right" w:pos="9072"/>
              </w:tabs>
              <w:snapToGrid w:val="0"/>
              <w:spacing w:before="160" w:after="160"/>
              <w:jc w:val="center"/>
              <w:rPr>
                <w:sz w:val="28"/>
                <w:szCs w:val="28"/>
              </w:rPr>
            </w:pPr>
            <w:r>
              <w:rPr>
                <w:sz w:val="28"/>
                <w:szCs w:val="28"/>
              </w:rPr>
              <w:lastRenderedPageBreak/>
              <w:t>ASSESSMENT OF DAMAGES</w:t>
            </w:r>
          </w:p>
        </w:tc>
      </w:tr>
    </w:tbl>
    <w:p w:rsidR="008B6E3D" w:rsidRPr="005059B8" w:rsidRDefault="008B6E3D" w:rsidP="009676F6">
      <w:pPr>
        <w:pStyle w:val="H-1"/>
        <w:rPr>
          <w:b/>
        </w:rPr>
      </w:pPr>
      <w:r w:rsidRPr="005059B8">
        <w:rPr>
          <w:b/>
          <w:szCs w:val="28"/>
        </w:rPr>
        <w:t>Background of the proceedings</w:t>
      </w:r>
    </w:p>
    <w:p w:rsidR="008B6E3D" w:rsidRPr="008B6E3D" w:rsidRDefault="008B6E3D" w:rsidP="008B6E3D">
      <w:pPr>
        <w:pStyle w:val="Final"/>
      </w:pPr>
      <w:r w:rsidRPr="00293876">
        <w:t>By a Writ of Summons issued in the Court of First Instance dated 8 September 2017, the Plaintiff claimed against the 1</w:t>
      </w:r>
      <w:r w:rsidRPr="00293876">
        <w:rPr>
          <w:vertAlign w:val="superscript"/>
        </w:rPr>
        <w:t>st</w:t>
      </w:r>
      <w:r w:rsidRPr="00293876">
        <w:t xml:space="preserve"> Defendant (then the only Defendant) for damages for personal injury as a result of a traffic accident caused by the negligent driving on the 1</w:t>
      </w:r>
      <w:r w:rsidRPr="00293876">
        <w:rPr>
          <w:vertAlign w:val="superscript"/>
        </w:rPr>
        <w:t>st</w:t>
      </w:r>
      <w:r w:rsidRPr="00293876">
        <w:t xml:space="preserve"> Defendant’s part in respect of a private vehicle RX 6081 (“</w:t>
      </w:r>
      <w:r w:rsidRPr="005059B8">
        <w:rPr>
          <w:b/>
        </w:rPr>
        <w:t>the Vehicle</w:t>
      </w:r>
      <w:r w:rsidRPr="00293876">
        <w:t>”) on 25 July 2015 at Castle Peak Road, New Territories.</w:t>
      </w:r>
    </w:p>
    <w:p w:rsidR="008B6E3D" w:rsidRPr="008B6E3D" w:rsidRDefault="008B6E3D" w:rsidP="008B6E3D">
      <w:pPr>
        <w:pStyle w:val="Final"/>
      </w:pPr>
      <w:r w:rsidRPr="00293876">
        <w:t xml:space="preserve">By an Order </w:t>
      </w:r>
      <w:r>
        <w:t>of</w:t>
      </w:r>
      <w:r w:rsidRPr="00293876">
        <w:t xml:space="preserve"> Master Roy Yu dated 19 September 2018, </w:t>
      </w:r>
      <w:r w:rsidR="005059B8">
        <w:t xml:space="preserve">leave was granted to the insurer to be joined as </w:t>
      </w:r>
      <w:r w:rsidRPr="00293876">
        <w:t>the 2</w:t>
      </w:r>
      <w:r w:rsidRPr="00293876">
        <w:rPr>
          <w:vertAlign w:val="superscript"/>
        </w:rPr>
        <w:t>nd</w:t>
      </w:r>
      <w:r w:rsidRPr="00293876">
        <w:t xml:space="preserve"> Defendant</w:t>
      </w:r>
      <w:r w:rsidR="005059B8">
        <w:t xml:space="preserve"> in these proceedings</w:t>
      </w:r>
      <w:r w:rsidRPr="00293876">
        <w:t>.</w:t>
      </w:r>
    </w:p>
    <w:p w:rsidR="008B6E3D" w:rsidRPr="008B6E3D" w:rsidRDefault="008B6E3D" w:rsidP="008B6E3D">
      <w:pPr>
        <w:pStyle w:val="Final"/>
      </w:pPr>
      <w:r w:rsidRPr="00293876">
        <w:t>On 22 October 2018, the 2</w:t>
      </w:r>
      <w:r w:rsidRPr="00293876">
        <w:rPr>
          <w:vertAlign w:val="superscript"/>
        </w:rPr>
        <w:t>nd</w:t>
      </w:r>
      <w:r w:rsidRPr="00293876">
        <w:t xml:space="preserve"> Defendant issued a Notice of Contribution and/or Indemnity against the 1</w:t>
      </w:r>
      <w:r w:rsidRPr="00293876">
        <w:rPr>
          <w:vertAlign w:val="superscript"/>
        </w:rPr>
        <w:t>st</w:t>
      </w:r>
      <w:r w:rsidRPr="00293876">
        <w:t xml:space="preserve"> Defendant, and also issued a Third Party Notice against the registered owner of the Vehicle.</w:t>
      </w:r>
    </w:p>
    <w:p w:rsidR="008B6E3D" w:rsidRPr="008B6E3D" w:rsidRDefault="008B6E3D" w:rsidP="008B6E3D">
      <w:pPr>
        <w:pStyle w:val="Final"/>
      </w:pPr>
      <w:r w:rsidRPr="00293876">
        <w:t>The case was subsequently transferred to the District Court by an Order dated 25 March 2019.  Leave be granted by the District Court on 10 June 2019 to the Plaintiff to accept the sanctioned payments in the total sum of HK$400,000 paid into Court by the 2</w:t>
      </w:r>
      <w:r w:rsidRPr="00293876">
        <w:rPr>
          <w:vertAlign w:val="superscript"/>
        </w:rPr>
        <w:t>nd</w:t>
      </w:r>
      <w:r w:rsidRPr="00293876">
        <w:t xml:space="preserve"> Defendant in full and final settlement of the Plaintiff’s claim.</w:t>
      </w:r>
    </w:p>
    <w:p w:rsidR="008B6E3D" w:rsidRPr="008B6E3D" w:rsidRDefault="008B6E3D" w:rsidP="008B6E3D">
      <w:pPr>
        <w:pStyle w:val="Final"/>
      </w:pPr>
      <w:r w:rsidRPr="00293876">
        <w:t xml:space="preserve">By an Order </w:t>
      </w:r>
      <w:r>
        <w:t>of</w:t>
      </w:r>
      <w:r w:rsidRPr="00293876">
        <w:t xml:space="preserve"> Master Peony Wong dated 4 November 2019, interlocutory judgment in the Contribution and Indemnity Proceedings was entered against the 1</w:t>
      </w:r>
      <w:r w:rsidRPr="00293876">
        <w:rPr>
          <w:vertAlign w:val="superscript"/>
        </w:rPr>
        <w:t>st</w:t>
      </w:r>
      <w:r w:rsidRPr="00293876">
        <w:t xml:space="preserve"> Defendant in favour of the 2</w:t>
      </w:r>
      <w:r w:rsidRPr="00293876">
        <w:rPr>
          <w:vertAlign w:val="superscript"/>
        </w:rPr>
        <w:t>nd</w:t>
      </w:r>
      <w:r w:rsidRPr="00293876">
        <w:t xml:space="preserve"> Defendant leaving damages to be assessed.  Further, interlocutory judgment in the </w:t>
      </w:r>
      <w:r w:rsidRPr="00293876">
        <w:lastRenderedPageBreak/>
        <w:t xml:space="preserve">Third Party Proceedings </w:t>
      </w:r>
      <w:r>
        <w:t>was</w:t>
      </w:r>
      <w:r w:rsidRPr="00293876">
        <w:t xml:space="preserve"> entered against the Third Party in favour of the 2</w:t>
      </w:r>
      <w:r w:rsidRPr="00293876">
        <w:rPr>
          <w:vertAlign w:val="superscript"/>
        </w:rPr>
        <w:t>nd</w:t>
      </w:r>
      <w:r w:rsidRPr="00293876">
        <w:t xml:space="preserve"> Defendant leaving damages to be assessed.</w:t>
      </w:r>
    </w:p>
    <w:p w:rsidR="008B6E3D" w:rsidRPr="008B6E3D" w:rsidRDefault="008B6E3D" w:rsidP="008B6E3D">
      <w:pPr>
        <w:pStyle w:val="Final"/>
      </w:pPr>
      <w:r w:rsidRPr="00293876">
        <w:t>This is the assessment of damages pursuant to the said Interlocutory Judgments.</w:t>
      </w:r>
    </w:p>
    <w:p w:rsidR="008B6E3D" w:rsidRPr="008B6E3D" w:rsidRDefault="008B6E3D" w:rsidP="008B6E3D">
      <w:pPr>
        <w:pStyle w:val="Final"/>
      </w:pPr>
      <w:r w:rsidRPr="00293876">
        <w:t xml:space="preserve">On 9 September 2020, the Court set down this action for assessment of damages for 16 February 2021.  On 30 October 2020, the Plaintiff issued the Notice of Appointment </w:t>
      </w:r>
      <w:r>
        <w:t>for</w:t>
      </w:r>
      <w:r w:rsidRPr="00293876">
        <w:t xml:space="preserve"> Assessment of Damages.  The Notice was served on the </w:t>
      </w:r>
      <w:r>
        <w:t>1</w:t>
      </w:r>
      <w:r w:rsidRPr="007B12FB">
        <w:rPr>
          <w:vertAlign w:val="superscript"/>
        </w:rPr>
        <w:t>st</w:t>
      </w:r>
      <w:r>
        <w:t xml:space="preserve"> </w:t>
      </w:r>
      <w:r w:rsidRPr="00293876">
        <w:t xml:space="preserve">Defendant and the Third Party on 6 November 2020.  </w:t>
      </w:r>
      <w:r w:rsidRPr="00293876">
        <w:rPr>
          <w:rFonts w:hint="eastAsia"/>
        </w:rPr>
        <w:t xml:space="preserve">Affirmation of service was filed on </w:t>
      </w:r>
      <w:r w:rsidRPr="00293876">
        <w:t>17 November 2020</w:t>
      </w:r>
      <w:r w:rsidRPr="00293876">
        <w:rPr>
          <w:rFonts w:hint="eastAsia"/>
        </w:rPr>
        <w:t xml:space="preserve">.  </w:t>
      </w:r>
      <w:r w:rsidRPr="00293876">
        <w:t xml:space="preserve">The Court had also on 4 November 2020 sent </w:t>
      </w:r>
      <w:r w:rsidR="005059B8">
        <w:t>n</w:t>
      </w:r>
      <w:r w:rsidRPr="00293876">
        <w:t>otice</w:t>
      </w:r>
      <w:r w:rsidR="005059B8">
        <w:t>s</w:t>
      </w:r>
      <w:r w:rsidRPr="00293876">
        <w:t xml:space="preserve"> of hearing for the assessment of damages to the </w:t>
      </w:r>
      <w:r>
        <w:t>1</w:t>
      </w:r>
      <w:r w:rsidRPr="007B12FB">
        <w:rPr>
          <w:vertAlign w:val="superscript"/>
        </w:rPr>
        <w:t>st</w:t>
      </w:r>
      <w:r>
        <w:t xml:space="preserve"> </w:t>
      </w:r>
      <w:r w:rsidRPr="00293876">
        <w:t xml:space="preserve">Defendant and </w:t>
      </w:r>
      <w:r w:rsidR="005059B8">
        <w:t xml:space="preserve">to </w:t>
      </w:r>
      <w:r w:rsidRPr="00293876">
        <w:t>the Third Party</w:t>
      </w:r>
      <w:r w:rsidR="005059B8">
        <w:t xml:space="preserve"> respectively</w:t>
      </w:r>
      <w:r w:rsidRPr="00293876">
        <w:t>.</w:t>
      </w:r>
    </w:p>
    <w:p w:rsidR="008B6E3D" w:rsidRPr="008B6E3D" w:rsidRDefault="008B6E3D" w:rsidP="008B6E3D">
      <w:pPr>
        <w:pStyle w:val="Final"/>
      </w:pPr>
      <w:r>
        <w:t>The 1</w:t>
      </w:r>
      <w:r w:rsidRPr="007B12FB">
        <w:rPr>
          <w:vertAlign w:val="superscript"/>
        </w:rPr>
        <w:t>st</w:t>
      </w:r>
      <w:r>
        <w:t xml:space="preserve"> Defendant was present at the assessment hearing.  She raised no objection to the assessment hearing being conducted in </w:t>
      </w:r>
      <w:r w:rsidR="00C358CE">
        <w:t>p</w:t>
      </w:r>
      <w:r>
        <w:t>unti language while the Judgment shall be written in English.  At the beginning of the assessment hearing, I explained to the 1</w:t>
      </w:r>
      <w:r w:rsidRPr="007B12FB">
        <w:rPr>
          <w:vertAlign w:val="superscript"/>
        </w:rPr>
        <w:t>st</w:t>
      </w:r>
      <w:r>
        <w:t xml:space="preserve"> Defendant about the procedure</w:t>
      </w:r>
      <w:r w:rsidR="002D2B4A">
        <w:t xml:space="preserve"> of the assessment hearing</w:t>
      </w:r>
      <w:r>
        <w:t>, including her right to cross examine the witness called by the 2</w:t>
      </w:r>
      <w:r w:rsidRPr="007B12FB">
        <w:rPr>
          <w:vertAlign w:val="superscript"/>
        </w:rPr>
        <w:t>nd</w:t>
      </w:r>
      <w:r>
        <w:t xml:space="preserve"> Defendant and the right to make final submissions.  </w:t>
      </w:r>
    </w:p>
    <w:p w:rsidR="008B6E3D" w:rsidRDefault="008B6E3D" w:rsidP="008B6E3D">
      <w:pPr>
        <w:pStyle w:val="Final"/>
      </w:pPr>
      <w:r w:rsidRPr="00293876">
        <w:t xml:space="preserve">The Third Party did not attend the assessment hearing.  I was satisfied that notice of the assessment hearing had been duly served on the Third Party, and it </w:t>
      </w:r>
      <w:r w:rsidRPr="00293876">
        <w:rPr>
          <w:rFonts w:hint="eastAsia"/>
        </w:rPr>
        <w:t>wa</w:t>
      </w:r>
      <w:r w:rsidRPr="00293876">
        <w:t xml:space="preserve">s </w:t>
      </w:r>
      <w:r>
        <w:t>his</w:t>
      </w:r>
      <w:r w:rsidRPr="00293876">
        <w:t xml:space="preserve"> choice not to attend the assessment hearing.  I proceeded with the assessment of damages in this case in the absence of the Third Party.</w:t>
      </w:r>
    </w:p>
    <w:p w:rsidR="008B6E3D" w:rsidRPr="00AD01FD" w:rsidRDefault="008B6E3D" w:rsidP="008B6E3D">
      <w:pPr>
        <w:pStyle w:val="H-1"/>
        <w:rPr>
          <w:b/>
        </w:rPr>
      </w:pPr>
      <w:r w:rsidRPr="00AD01FD">
        <w:rPr>
          <w:b/>
        </w:rPr>
        <w:t xml:space="preserve">The </w:t>
      </w:r>
      <w:r w:rsidR="004E4967" w:rsidRPr="00AD01FD">
        <w:rPr>
          <w:b/>
        </w:rPr>
        <w:t>1</w:t>
      </w:r>
      <w:r w:rsidR="004E4967" w:rsidRPr="00AD01FD">
        <w:rPr>
          <w:b/>
          <w:vertAlign w:val="superscript"/>
        </w:rPr>
        <w:t>st</w:t>
      </w:r>
      <w:r w:rsidR="004E4967" w:rsidRPr="00AD01FD">
        <w:rPr>
          <w:b/>
        </w:rPr>
        <w:t xml:space="preserve"> Defendant’s</w:t>
      </w:r>
      <w:r w:rsidRPr="00AD01FD">
        <w:rPr>
          <w:b/>
        </w:rPr>
        <w:t xml:space="preserve"> case</w:t>
      </w:r>
    </w:p>
    <w:p w:rsidR="008B6E3D" w:rsidRPr="008B6E3D" w:rsidRDefault="008B6E3D" w:rsidP="008B6E3D">
      <w:pPr>
        <w:pStyle w:val="Final"/>
      </w:pPr>
      <w:r w:rsidRPr="00293876">
        <w:t>The Plaintiff and the 1</w:t>
      </w:r>
      <w:r w:rsidRPr="00293876">
        <w:rPr>
          <w:vertAlign w:val="superscript"/>
        </w:rPr>
        <w:t>st</w:t>
      </w:r>
      <w:r w:rsidRPr="00293876">
        <w:t xml:space="preserve"> Defendant were respectively a passenger and the driver of the Vehicle on 25 July 2015.  At about 4:30 a.m. on that day, while the 1</w:t>
      </w:r>
      <w:r w:rsidRPr="00293876">
        <w:rPr>
          <w:vertAlign w:val="superscript"/>
        </w:rPr>
        <w:t>st</w:t>
      </w:r>
      <w:r w:rsidRPr="00293876">
        <w:t xml:space="preserve"> Defendant was driving the Vehicle along Castle Peak Road, an unknown private car overtook the Vehicle but the 1</w:t>
      </w:r>
      <w:r w:rsidRPr="00293876">
        <w:rPr>
          <w:vertAlign w:val="superscript"/>
        </w:rPr>
        <w:t>st</w:t>
      </w:r>
      <w:r w:rsidRPr="00293876">
        <w:t xml:space="preserve"> Defendant</w:t>
      </w:r>
      <w:r w:rsidR="005059B8">
        <w:t>, in the course of avoiding collision with the car,</w:t>
      </w:r>
      <w:r w:rsidRPr="00293876">
        <w:t xml:space="preserve"> lost control of the Vehicle</w:t>
      </w:r>
      <w:r w:rsidR="005059B8">
        <w:t xml:space="preserve"> and</w:t>
      </w:r>
      <w:r w:rsidRPr="00293876">
        <w:t xml:space="preserve"> </w:t>
      </w:r>
      <w:r w:rsidR="005059B8">
        <w:t>bumped</w:t>
      </w:r>
      <w:r w:rsidRPr="00293876">
        <w:t xml:space="preserve"> into the crash barrier on a roundabout.</w:t>
      </w:r>
    </w:p>
    <w:p w:rsidR="008B6E3D" w:rsidRPr="008B6E3D" w:rsidRDefault="008B6E3D" w:rsidP="008B6E3D">
      <w:pPr>
        <w:pStyle w:val="Final"/>
      </w:pPr>
      <w:r w:rsidRPr="00293876">
        <w:t>The 1</w:t>
      </w:r>
      <w:r w:rsidRPr="00293876">
        <w:rPr>
          <w:vertAlign w:val="superscript"/>
        </w:rPr>
        <w:t>st</w:t>
      </w:r>
      <w:r w:rsidRPr="00293876">
        <w:t xml:space="preserve"> Defendant was convicted of the offence of driving a motor vehicle with alcohol concentration in breath exceeding the prescribed limit.  The 2</w:t>
      </w:r>
      <w:r w:rsidRPr="00293876">
        <w:rPr>
          <w:vertAlign w:val="superscript"/>
        </w:rPr>
        <w:t>nd</w:t>
      </w:r>
      <w:r w:rsidRPr="00293876">
        <w:t xml:space="preserve"> Defendant claimed that the accident was solely caused by the negligence of the 1</w:t>
      </w:r>
      <w:r w:rsidRPr="00293876">
        <w:rPr>
          <w:vertAlign w:val="superscript"/>
        </w:rPr>
        <w:t>st</w:t>
      </w:r>
      <w:r w:rsidRPr="00293876">
        <w:t xml:space="preserve"> Defendant.</w:t>
      </w:r>
    </w:p>
    <w:p w:rsidR="008B6E3D" w:rsidRPr="008B6E3D" w:rsidRDefault="008B6E3D" w:rsidP="008B6E3D">
      <w:pPr>
        <w:pStyle w:val="Final"/>
      </w:pPr>
      <w:r w:rsidRPr="00293876">
        <w:t>Moreover, the 2</w:t>
      </w:r>
      <w:r w:rsidRPr="00293876">
        <w:rPr>
          <w:vertAlign w:val="superscript"/>
        </w:rPr>
        <w:t>nd</w:t>
      </w:r>
      <w:r w:rsidRPr="00293876">
        <w:t xml:space="preserve"> Defendant claimed against the Third Party, who was the owner of the Vehicle, for an indemnity under the Motor Vehicles Insurance (Third Party Risks) Ordinance, Cap 272, and the relevant clauses of the insurance policy.</w:t>
      </w:r>
    </w:p>
    <w:p w:rsidR="008B6E3D" w:rsidRPr="008B6E3D" w:rsidRDefault="008B6E3D" w:rsidP="008B6E3D">
      <w:pPr>
        <w:pStyle w:val="Final"/>
      </w:pPr>
      <w:r w:rsidRPr="00293876">
        <w:t>The 2</w:t>
      </w:r>
      <w:r w:rsidRPr="00293876">
        <w:rPr>
          <w:vertAlign w:val="superscript"/>
        </w:rPr>
        <w:t>nd</w:t>
      </w:r>
      <w:r w:rsidRPr="00293876">
        <w:t xml:space="preserve"> Defendant relie</w:t>
      </w:r>
      <w:r w:rsidR="004E4967">
        <w:t>d</w:t>
      </w:r>
      <w:r w:rsidRPr="00293876">
        <w:t xml:space="preserve"> on section</w:t>
      </w:r>
      <w:r w:rsidR="005059B8">
        <w:t>s</w:t>
      </w:r>
      <w:r w:rsidRPr="00293876">
        <w:t xml:space="preserve"> 3 and 4 of the Civil Liability (Contribution) Ordinance, Cap. 377 for an indemnity or contribution against the 1</w:t>
      </w:r>
      <w:r w:rsidRPr="00293876">
        <w:rPr>
          <w:vertAlign w:val="superscript"/>
        </w:rPr>
        <w:t>st</w:t>
      </w:r>
      <w:r w:rsidRPr="00293876">
        <w:t xml:space="preserve"> Defendant and the Third Party.  The 2</w:t>
      </w:r>
      <w:r w:rsidRPr="00293876">
        <w:rPr>
          <w:vertAlign w:val="superscript"/>
        </w:rPr>
        <w:t>nd</w:t>
      </w:r>
      <w:r w:rsidRPr="00293876">
        <w:t xml:space="preserve"> Defendant further relie</w:t>
      </w:r>
      <w:r w:rsidR="005059B8">
        <w:t>d</w:t>
      </w:r>
      <w:r w:rsidRPr="00293876">
        <w:t xml:space="preserve"> on the contractual indemnity given by the Third Party in the Private Motor Car Insurance Policy dated 17 April 2015 and section 10 of the Motor Vehicles Insurance (Third Party Risks) Ordinance.</w:t>
      </w:r>
    </w:p>
    <w:p w:rsidR="008B6E3D" w:rsidRDefault="005059B8" w:rsidP="008B6E3D">
      <w:pPr>
        <w:pStyle w:val="Final"/>
      </w:pPr>
      <w:r>
        <w:t>T</w:t>
      </w:r>
      <w:r w:rsidR="008B6E3D" w:rsidRPr="00293876">
        <w:t xml:space="preserve">he Plaintiff’s claim and costs </w:t>
      </w:r>
      <w:r>
        <w:t>were settled by the 2</w:t>
      </w:r>
      <w:r w:rsidRPr="005059B8">
        <w:rPr>
          <w:vertAlign w:val="superscript"/>
        </w:rPr>
        <w:t>nd</w:t>
      </w:r>
      <w:r>
        <w:t xml:space="preserve"> Defendant </w:t>
      </w:r>
      <w:r w:rsidR="008B6E3D" w:rsidRPr="00293876">
        <w:t xml:space="preserve">in the respective sums of $400,000 and $180,000 and </w:t>
      </w:r>
      <w:r>
        <w:t>the 2</w:t>
      </w:r>
      <w:r w:rsidRPr="005059B8">
        <w:rPr>
          <w:vertAlign w:val="superscript"/>
        </w:rPr>
        <w:t>nd</w:t>
      </w:r>
      <w:r>
        <w:t xml:space="preserve"> Defendant </w:t>
      </w:r>
      <w:r w:rsidR="008B6E3D" w:rsidRPr="00293876">
        <w:t>incurred legal costs in the sum of $160,000 in defending the Plaintiff’s claim.  The 2</w:t>
      </w:r>
      <w:r w:rsidR="008B6E3D" w:rsidRPr="00293876">
        <w:rPr>
          <w:vertAlign w:val="superscript"/>
        </w:rPr>
        <w:t>nd</w:t>
      </w:r>
      <w:r w:rsidR="008B6E3D" w:rsidRPr="00293876">
        <w:t xml:space="preserve"> Defendant claims against the 1</w:t>
      </w:r>
      <w:r w:rsidR="008B6E3D" w:rsidRPr="00293876">
        <w:rPr>
          <w:vertAlign w:val="superscript"/>
        </w:rPr>
        <w:t>st</w:t>
      </w:r>
      <w:r w:rsidR="008B6E3D" w:rsidRPr="00293876">
        <w:t xml:space="preserve"> Defendant and against the Third Party for indemnity at a total sum of $740,000 (i.e. $400,000 + $180,000 + $160,000) with interest.</w:t>
      </w:r>
    </w:p>
    <w:p w:rsidR="008B6E3D" w:rsidRPr="005059B8" w:rsidRDefault="008B6E3D" w:rsidP="008B6E3D">
      <w:pPr>
        <w:pStyle w:val="H-1"/>
        <w:rPr>
          <w:b/>
        </w:rPr>
      </w:pPr>
      <w:r w:rsidRPr="005059B8">
        <w:rPr>
          <w:b/>
        </w:rPr>
        <w:t xml:space="preserve">The Law </w:t>
      </w:r>
    </w:p>
    <w:p w:rsidR="008B6E3D" w:rsidRPr="008B6E3D" w:rsidRDefault="008B6E3D" w:rsidP="008B6E3D">
      <w:pPr>
        <w:pStyle w:val="Final"/>
        <w:rPr>
          <w:shd w:val="clear" w:color="auto" w:fill="FFFFFF"/>
        </w:rPr>
      </w:pPr>
      <w:r w:rsidRPr="00293876">
        <w:rPr>
          <w:rFonts w:hint="eastAsia"/>
        </w:rPr>
        <w:t>Section 3(</w:t>
      </w:r>
      <w:r w:rsidRPr="00293876">
        <w:t>1</w:t>
      </w:r>
      <w:r w:rsidRPr="00293876">
        <w:rPr>
          <w:rFonts w:hint="eastAsia"/>
        </w:rPr>
        <w:t>) of the Civil Liability (Contribution) Ordinance, Cap. 377</w:t>
      </w:r>
      <w:r w:rsidRPr="00293876">
        <w:t xml:space="preserve"> (“</w:t>
      </w:r>
      <w:r w:rsidRPr="002D015B">
        <w:rPr>
          <w:b/>
        </w:rPr>
        <w:t>the Ordinance</w:t>
      </w:r>
      <w:r w:rsidRPr="00293876">
        <w:t>”)</w:t>
      </w:r>
      <w:r w:rsidRPr="00293876">
        <w:rPr>
          <w:rFonts w:hint="eastAsia"/>
        </w:rPr>
        <w:t>, stipulates that</w:t>
      </w:r>
      <w:r w:rsidRPr="00293876">
        <w:rPr>
          <w:shd w:val="clear" w:color="auto" w:fill="FFFFFF"/>
        </w:rPr>
        <w:t xml:space="preserve"> any person liable in respect of any damage suffered by another person may recover contribution from any other person liable in respect of the same damage (whether jointly with him or otherwise).</w:t>
      </w:r>
    </w:p>
    <w:p w:rsidR="008B6E3D" w:rsidRPr="008B6E3D" w:rsidRDefault="008B6E3D" w:rsidP="008B6E3D">
      <w:pPr>
        <w:pStyle w:val="Final"/>
      </w:pPr>
      <w:r w:rsidRPr="00293876">
        <w:rPr>
          <w:rFonts w:hint="eastAsia"/>
        </w:rPr>
        <w:t>Section 3(4) of the Ordinance</w:t>
      </w:r>
      <w:r w:rsidRPr="00293876">
        <w:t xml:space="preserve"> provides that a person who has made or agreed to make any payment in </w:t>
      </w:r>
      <w:r w:rsidRPr="005059B8">
        <w:rPr>
          <w:i/>
        </w:rPr>
        <w:t>bona fide</w:t>
      </w:r>
      <w:r w:rsidRPr="00293876">
        <w:t xml:space="preserve"> settlement or compromise of any claim made against him in respect of any damage shall be entitled to recover contribution without regard to whether or not he himself is or ever was liable in respect of the damage, provided that he would have been liable assuming that the factual basis of the claim against him could be established.</w:t>
      </w:r>
    </w:p>
    <w:p w:rsidR="008B6E3D" w:rsidRPr="008B6E3D" w:rsidRDefault="008B6E3D" w:rsidP="008B6E3D">
      <w:pPr>
        <w:pStyle w:val="Final"/>
      </w:pPr>
      <w:r w:rsidRPr="00293876">
        <w:t>Section 3(5) provides that on assessing any contribution under that section, the court shall disregard any part of the payment in respect of which the contribution is sought which appears to the court to be excessive.</w:t>
      </w:r>
    </w:p>
    <w:p w:rsidR="008B6E3D" w:rsidRPr="008B6E3D" w:rsidRDefault="008B6E3D" w:rsidP="008B6E3D">
      <w:pPr>
        <w:pStyle w:val="Final"/>
      </w:pPr>
      <w:r w:rsidRPr="00293876">
        <w:t xml:space="preserve">Section 4(1) provides, </w:t>
      </w:r>
      <w:r w:rsidRPr="005059B8">
        <w:rPr>
          <w:i/>
        </w:rPr>
        <w:t>inter alia</w:t>
      </w:r>
      <w:r w:rsidRPr="00293876">
        <w:t>, that in any proceedings for contribution under section 3</w:t>
      </w:r>
      <w:r w:rsidR="005059B8">
        <w:t>,</w:t>
      </w:r>
      <w:r w:rsidRPr="00293876">
        <w:t xml:space="preserve"> the amount of the contribution recoverable from any person shall be such as may be found by the court to be just and equitable having regard to the extent of that person’s responsibility for the damage in question.</w:t>
      </w:r>
    </w:p>
    <w:p w:rsidR="008B6E3D" w:rsidRDefault="008B6E3D" w:rsidP="008B6E3D">
      <w:pPr>
        <w:pStyle w:val="Final"/>
      </w:pPr>
      <w:r w:rsidRPr="00293876">
        <w:t>Further, the relevant common law principles in assessing the 2</w:t>
      </w:r>
      <w:r w:rsidRPr="00293876">
        <w:rPr>
          <w:vertAlign w:val="superscript"/>
        </w:rPr>
        <w:t>nd</w:t>
      </w:r>
      <w:r w:rsidRPr="00293876">
        <w:t xml:space="preserve"> Defendant’s damages in the present context can be found in paragraph 21-057 of McGregor on Damages, 21</w:t>
      </w:r>
      <w:r w:rsidRPr="00293876">
        <w:rPr>
          <w:vertAlign w:val="superscript"/>
        </w:rPr>
        <w:t>st</w:t>
      </w:r>
      <w:r w:rsidRPr="00293876">
        <w:t xml:space="preserve"> </w:t>
      </w:r>
      <w:r w:rsidR="004E4967">
        <w:t>e</w:t>
      </w:r>
      <w:r w:rsidRPr="00293876">
        <w:t>d</w:t>
      </w:r>
      <w:r w:rsidR="00125C04">
        <w:t>n</w:t>
      </w:r>
      <w:r w:rsidRPr="00293876">
        <w:t xml:space="preserve">, which stated, </w:t>
      </w:r>
      <w:r w:rsidRPr="00293876">
        <w:rPr>
          <w:i/>
        </w:rPr>
        <w:t>inter alia</w:t>
      </w:r>
      <w:r w:rsidRPr="00293876">
        <w:t>, as follows:</w:t>
      </w:r>
    </w:p>
    <w:p w:rsidR="008B6E3D" w:rsidRDefault="008B6E3D" w:rsidP="008B6E3D">
      <w:pPr>
        <w:pStyle w:val="Quotation"/>
      </w:pPr>
      <w:r w:rsidRPr="00293876">
        <w:rPr>
          <w:szCs w:val="28"/>
        </w:rPr>
        <w:t xml:space="preserve">“(a) Settlements. Where the now claimant has made a payment by way of settlement of a claim brought against them, they can recover this amount as damages from the now defendant provided that the settlement represented a reasonable figure.  </w:t>
      </w:r>
      <w:r>
        <w:rPr>
          <w:b/>
          <w:i/>
          <w:szCs w:val="28"/>
        </w:rPr>
        <w:t>Biggin v</w:t>
      </w:r>
      <w:r w:rsidRPr="00293876">
        <w:rPr>
          <w:b/>
          <w:i/>
          <w:szCs w:val="28"/>
        </w:rPr>
        <w:t xml:space="preserve"> Permanite</w:t>
      </w:r>
      <w:r w:rsidRPr="00293876">
        <w:rPr>
          <w:szCs w:val="28"/>
        </w:rPr>
        <w:t xml:space="preserve">, which established this and that a settlement was a relevant consideration, is the leading case.  At the time when </w:t>
      </w:r>
      <w:r w:rsidRPr="00293876">
        <w:rPr>
          <w:b/>
          <w:i/>
          <w:szCs w:val="28"/>
        </w:rPr>
        <w:t>Biggin</w:t>
      </w:r>
      <w:r w:rsidRPr="00293876">
        <w:rPr>
          <w:szCs w:val="28"/>
        </w:rPr>
        <w:t xml:space="preserve"> was decided, over 60 years ago, settlements of damages claims were not so common but now that they are practically the order of the day, there has been a number of first-instance decisions on the matter around the turn of the century, some of which have relied heavily on </w:t>
      </w:r>
      <w:r w:rsidRPr="00293876">
        <w:rPr>
          <w:b/>
          <w:i/>
          <w:szCs w:val="28"/>
        </w:rPr>
        <w:t>Biggin</w:t>
      </w:r>
      <w:r w:rsidRPr="00293876">
        <w:rPr>
          <w:szCs w:val="28"/>
        </w:rPr>
        <w:t xml:space="preserve">.  Recovery of the amount paid out in settlement was allowed in </w:t>
      </w:r>
      <w:r w:rsidRPr="00293876">
        <w:rPr>
          <w:b/>
          <w:i/>
          <w:szCs w:val="28"/>
        </w:rPr>
        <w:t>General Feeds Inc Panama v Slobodna Plovidba Yugoslavia</w:t>
      </w:r>
      <w:r w:rsidRPr="00293876">
        <w:rPr>
          <w:szCs w:val="28"/>
        </w:rPr>
        <w:t xml:space="preserve">, the court holding that it was for the claimant to prove that the fact and the amount of settlement were reasonable in all the circumstances.  Similarly, in </w:t>
      </w:r>
      <w:r w:rsidRPr="00293876">
        <w:rPr>
          <w:b/>
          <w:i/>
          <w:szCs w:val="28"/>
        </w:rPr>
        <w:t>Ascon Contracting Ltd v Alfred McAlpine Construction Isle of Man Ltd</w:t>
      </w:r>
      <w:r w:rsidRPr="00293876">
        <w:rPr>
          <w:szCs w:val="28"/>
        </w:rPr>
        <w:t xml:space="preserve"> main contractors claiming from their subcontractors the amount in liquidated damages they had paid their employer were required to show that such payment had been made in reasonable settlement of the employer’s claim.  In </w:t>
      </w:r>
      <w:r w:rsidRPr="00293876">
        <w:rPr>
          <w:b/>
          <w:i/>
          <w:szCs w:val="28"/>
        </w:rPr>
        <w:t>Contigroup Companies Inc v Glencore AG</w:t>
      </w:r>
      <w:r w:rsidRPr="00293876">
        <w:rPr>
          <w:szCs w:val="28"/>
        </w:rPr>
        <w:t xml:space="preserve">, where there was delay in delivery of goods sold, the amount paid in settlement was held to be reasonable and therefore recoverable. </w:t>
      </w:r>
      <w:r w:rsidRPr="00293876">
        <w:rPr>
          <w:b/>
          <w:i/>
          <w:szCs w:val="28"/>
        </w:rPr>
        <w:t xml:space="preserve">Siemens Building Technologies FE Ltd v Supershield Ltd </w:t>
      </w:r>
      <w:r w:rsidRPr="00293876">
        <w:rPr>
          <w:szCs w:val="28"/>
        </w:rPr>
        <w:t xml:space="preserve">takes us to the Court of Appeal where </w:t>
      </w:r>
      <w:r w:rsidRPr="00293876">
        <w:rPr>
          <w:b/>
          <w:i/>
          <w:szCs w:val="28"/>
        </w:rPr>
        <w:t>Biggin</w:t>
      </w:r>
      <w:r w:rsidRPr="00293876">
        <w:rPr>
          <w:szCs w:val="28"/>
        </w:rPr>
        <w:t xml:space="preserve"> again made its inevitable appearance and again the amount paid in settlement was held to be recoverable as reasonable.”</w:t>
      </w:r>
    </w:p>
    <w:p w:rsidR="008B6E3D" w:rsidRPr="005059B8" w:rsidRDefault="008B6E3D" w:rsidP="008B6E3D">
      <w:pPr>
        <w:pStyle w:val="H-1"/>
        <w:rPr>
          <w:b/>
          <w:lang w:val="en-US"/>
        </w:rPr>
      </w:pPr>
      <w:r w:rsidRPr="005059B8">
        <w:rPr>
          <w:b/>
          <w:lang w:val="en-US"/>
        </w:rPr>
        <w:t>The Plaintiff’s injury</w:t>
      </w:r>
    </w:p>
    <w:p w:rsidR="008B6E3D" w:rsidRPr="008B6E3D" w:rsidRDefault="005059B8" w:rsidP="008B6E3D">
      <w:pPr>
        <w:pStyle w:val="Final"/>
      </w:pPr>
      <w:r>
        <w:t xml:space="preserve">The </w:t>
      </w:r>
      <w:r w:rsidR="008B6E3D" w:rsidRPr="00293876">
        <w:t>Plaintiff was aged 37 at the time of the accident (25 July 2015).  After the car accident, he was sent to the A&amp;E Department of Yan Chai Hospital for treatment.  Medical examination revealed that the Plaintiff suffered from tenderness over his right upper arm, right chest and right lower leg.  Radiological examination revealed fracture of the shaft of his right humerus.  Tramadol injection was given and he was admitted to the orthopaedic ward of the Hospital.</w:t>
      </w:r>
    </w:p>
    <w:p w:rsidR="008B6E3D" w:rsidRPr="008B6E3D" w:rsidRDefault="008B6E3D" w:rsidP="008B6E3D">
      <w:pPr>
        <w:pStyle w:val="Final"/>
      </w:pPr>
      <w:r w:rsidRPr="00293876">
        <w:t xml:space="preserve">The Plaintiff was hospitalized for 3 days and was referred to occupational therapy for the application of right humeral brace.  </w:t>
      </w:r>
    </w:p>
    <w:p w:rsidR="008B6E3D" w:rsidRPr="008B6E3D" w:rsidRDefault="008B6E3D" w:rsidP="008B6E3D">
      <w:pPr>
        <w:pStyle w:val="Final"/>
      </w:pPr>
      <w:r w:rsidRPr="00293876">
        <w:t>The Plaintiff was admitted to St Teresa’s Hospital on 8 August 2015 for open reduction and plating.  Due to persistent neck pain, he received follow up medical treatment from private doctor between 20 August 2015 and 13 August 2016.</w:t>
      </w:r>
    </w:p>
    <w:p w:rsidR="008B6E3D" w:rsidRPr="008B6E3D" w:rsidRDefault="008B6E3D" w:rsidP="008B6E3D">
      <w:pPr>
        <w:pStyle w:val="Final"/>
      </w:pPr>
      <w:r w:rsidRPr="00293876">
        <w:t xml:space="preserve">The Plaintiff relied upon the medical expert evidence from Dr Fu Wai Kee in the </w:t>
      </w:r>
      <w:r w:rsidR="005059B8">
        <w:t>M</w:t>
      </w:r>
      <w:r w:rsidRPr="00293876">
        <w:t xml:space="preserve">ain </w:t>
      </w:r>
      <w:r w:rsidR="005059B8">
        <w:t>A</w:t>
      </w:r>
      <w:r w:rsidRPr="00293876">
        <w:t>ction.  Dr Fu commented that the Plaintiff’s condition was compatible with the diagnosis of fracture of the shaft of right humerus and it should be due to the accident.  The Plaintiff sustained right leg abrasion injury and chest contusion.  Dr Fu took the view that the sick leave granted to the Plaintiff from 25 July 2015 to 9 September 2016 was appropriate and the permanent impairment suffered by the Plaintiff should be 3%.</w:t>
      </w:r>
    </w:p>
    <w:p w:rsidR="008B6E3D" w:rsidRDefault="008B6E3D" w:rsidP="008B6E3D">
      <w:pPr>
        <w:pStyle w:val="Final"/>
      </w:pPr>
      <w:r w:rsidRPr="00293876">
        <w:t>In the Revised Statement of Damages, the Plaintiff claimed the following:</w:t>
      </w:r>
    </w:p>
    <w:tbl>
      <w:tblPr>
        <w:tblW w:w="0" w:type="auto"/>
        <w:tblInd w:w="288" w:type="dxa"/>
        <w:tblLook w:val="04A0" w:firstRow="1" w:lastRow="0" w:firstColumn="1" w:lastColumn="0" w:noHBand="0" w:noVBand="1"/>
      </w:tblPr>
      <w:tblGrid>
        <w:gridCol w:w="786"/>
        <w:gridCol w:w="3600"/>
        <w:gridCol w:w="2430"/>
      </w:tblGrid>
      <w:tr w:rsidR="008B6E3D" w:rsidRPr="00293876" w:rsidTr="008A3FD7">
        <w:tc>
          <w:tcPr>
            <w:tcW w:w="786" w:type="dxa"/>
            <w:shd w:val="clear" w:color="auto" w:fill="auto"/>
          </w:tcPr>
          <w:p w:rsidR="008B6E3D" w:rsidRPr="008A3FD7" w:rsidRDefault="008B6E3D" w:rsidP="008A3FD7">
            <w:pPr>
              <w:ind w:left="360"/>
              <w:rPr>
                <w:sz w:val="28"/>
                <w:szCs w:val="28"/>
              </w:rPr>
            </w:pPr>
            <w:r w:rsidRPr="008A3FD7">
              <w:rPr>
                <w:sz w:val="28"/>
                <w:szCs w:val="28"/>
              </w:rPr>
              <w:t>1.</w:t>
            </w:r>
          </w:p>
        </w:tc>
        <w:tc>
          <w:tcPr>
            <w:tcW w:w="3600" w:type="dxa"/>
            <w:shd w:val="clear" w:color="auto" w:fill="auto"/>
          </w:tcPr>
          <w:p w:rsidR="008B6E3D" w:rsidRPr="008A3FD7" w:rsidRDefault="008B6E3D" w:rsidP="008A3FD7">
            <w:pPr>
              <w:ind w:left="360"/>
              <w:rPr>
                <w:sz w:val="28"/>
                <w:szCs w:val="28"/>
              </w:rPr>
            </w:pPr>
            <w:r w:rsidRPr="008A3FD7">
              <w:rPr>
                <w:sz w:val="28"/>
                <w:szCs w:val="28"/>
              </w:rPr>
              <w:t>PSLA</w:t>
            </w:r>
          </w:p>
        </w:tc>
        <w:tc>
          <w:tcPr>
            <w:tcW w:w="2430" w:type="dxa"/>
            <w:shd w:val="clear" w:color="auto" w:fill="auto"/>
          </w:tcPr>
          <w:p w:rsidR="008B6E3D" w:rsidRPr="008A3FD7" w:rsidRDefault="008B6E3D" w:rsidP="008A3FD7">
            <w:pPr>
              <w:ind w:left="360"/>
              <w:rPr>
                <w:sz w:val="28"/>
                <w:szCs w:val="28"/>
              </w:rPr>
            </w:pPr>
            <w:r w:rsidRPr="008A3FD7">
              <w:rPr>
                <w:sz w:val="28"/>
                <w:szCs w:val="28"/>
              </w:rPr>
              <w:t>$350,000</w:t>
            </w:r>
          </w:p>
        </w:tc>
      </w:tr>
      <w:tr w:rsidR="008B6E3D" w:rsidRPr="00293876" w:rsidTr="008A3FD7">
        <w:tc>
          <w:tcPr>
            <w:tcW w:w="786" w:type="dxa"/>
            <w:shd w:val="clear" w:color="auto" w:fill="auto"/>
          </w:tcPr>
          <w:p w:rsidR="008B6E3D" w:rsidRPr="008A3FD7" w:rsidRDefault="008B6E3D" w:rsidP="008A3FD7">
            <w:pPr>
              <w:ind w:left="360"/>
              <w:rPr>
                <w:sz w:val="28"/>
                <w:szCs w:val="28"/>
              </w:rPr>
            </w:pPr>
            <w:r w:rsidRPr="008A3FD7">
              <w:rPr>
                <w:sz w:val="28"/>
                <w:szCs w:val="28"/>
              </w:rPr>
              <w:t>2.</w:t>
            </w:r>
          </w:p>
        </w:tc>
        <w:tc>
          <w:tcPr>
            <w:tcW w:w="3600" w:type="dxa"/>
            <w:shd w:val="clear" w:color="auto" w:fill="auto"/>
          </w:tcPr>
          <w:p w:rsidR="008B6E3D" w:rsidRPr="008A3FD7" w:rsidRDefault="008B6E3D" w:rsidP="008A3FD7">
            <w:pPr>
              <w:ind w:left="360"/>
              <w:rPr>
                <w:sz w:val="28"/>
                <w:szCs w:val="28"/>
              </w:rPr>
            </w:pPr>
            <w:r w:rsidRPr="008A3FD7">
              <w:rPr>
                <w:sz w:val="28"/>
                <w:szCs w:val="28"/>
              </w:rPr>
              <w:t>Pre-Trial Loss of Earnings</w:t>
            </w:r>
          </w:p>
        </w:tc>
        <w:tc>
          <w:tcPr>
            <w:tcW w:w="2430" w:type="dxa"/>
            <w:shd w:val="clear" w:color="auto" w:fill="auto"/>
          </w:tcPr>
          <w:p w:rsidR="008B6E3D" w:rsidRPr="008A3FD7" w:rsidRDefault="008B6E3D" w:rsidP="008A3FD7">
            <w:pPr>
              <w:ind w:left="360"/>
              <w:rPr>
                <w:sz w:val="28"/>
                <w:szCs w:val="28"/>
              </w:rPr>
            </w:pPr>
            <w:r w:rsidRPr="008A3FD7">
              <w:rPr>
                <w:sz w:val="28"/>
                <w:szCs w:val="28"/>
              </w:rPr>
              <w:t>$1,376,667</w:t>
            </w:r>
          </w:p>
        </w:tc>
      </w:tr>
      <w:tr w:rsidR="008B6E3D" w:rsidRPr="00293876" w:rsidTr="008A3FD7">
        <w:tc>
          <w:tcPr>
            <w:tcW w:w="786" w:type="dxa"/>
            <w:shd w:val="clear" w:color="auto" w:fill="auto"/>
          </w:tcPr>
          <w:p w:rsidR="008B6E3D" w:rsidRPr="008A3FD7" w:rsidRDefault="008B6E3D" w:rsidP="008A3FD7">
            <w:pPr>
              <w:ind w:left="360"/>
              <w:rPr>
                <w:sz w:val="28"/>
                <w:szCs w:val="28"/>
              </w:rPr>
            </w:pPr>
            <w:r w:rsidRPr="008A3FD7">
              <w:rPr>
                <w:sz w:val="28"/>
                <w:szCs w:val="28"/>
              </w:rPr>
              <w:t>3.</w:t>
            </w:r>
          </w:p>
        </w:tc>
        <w:tc>
          <w:tcPr>
            <w:tcW w:w="3600" w:type="dxa"/>
            <w:shd w:val="clear" w:color="auto" w:fill="auto"/>
          </w:tcPr>
          <w:p w:rsidR="008B6E3D" w:rsidRPr="008A3FD7" w:rsidRDefault="008B6E3D" w:rsidP="008A3FD7">
            <w:pPr>
              <w:ind w:left="360"/>
              <w:rPr>
                <w:sz w:val="28"/>
                <w:szCs w:val="28"/>
              </w:rPr>
            </w:pPr>
            <w:r w:rsidRPr="008A3FD7">
              <w:rPr>
                <w:sz w:val="28"/>
                <w:szCs w:val="28"/>
              </w:rPr>
              <w:t>Loss of Earning Capacity</w:t>
            </w:r>
          </w:p>
        </w:tc>
        <w:tc>
          <w:tcPr>
            <w:tcW w:w="2430" w:type="dxa"/>
            <w:shd w:val="clear" w:color="auto" w:fill="auto"/>
          </w:tcPr>
          <w:p w:rsidR="008B6E3D" w:rsidRPr="008A3FD7" w:rsidRDefault="008B6E3D" w:rsidP="008A3FD7">
            <w:pPr>
              <w:ind w:left="360"/>
              <w:rPr>
                <w:sz w:val="28"/>
                <w:szCs w:val="28"/>
              </w:rPr>
            </w:pPr>
            <w:r w:rsidRPr="008A3FD7">
              <w:rPr>
                <w:sz w:val="28"/>
                <w:szCs w:val="28"/>
              </w:rPr>
              <w:t>$300,000</w:t>
            </w:r>
          </w:p>
        </w:tc>
      </w:tr>
      <w:tr w:rsidR="008B6E3D" w:rsidRPr="00293876" w:rsidTr="008A3FD7">
        <w:tc>
          <w:tcPr>
            <w:tcW w:w="786" w:type="dxa"/>
            <w:shd w:val="clear" w:color="auto" w:fill="auto"/>
          </w:tcPr>
          <w:p w:rsidR="008B6E3D" w:rsidRPr="008A3FD7" w:rsidRDefault="008B6E3D" w:rsidP="008A3FD7">
            <w:pPr>
              <w:ind w:left="360"/>
              <w:rPr>
                <w:sz w:val="28"/>
                <w:szCs w:val="28"/>
              </w:rPr>
            </w:pPr>
            <w:r w:rsidRPr="008A3FD7">
              <w:rPr>
                <w:sz w:val="28"/>
                <w:szCs w:val="28"/>
              </w:rPr>
              <w:t>4.</w:t>
            </w:r>
          </w:p>
        </w:tc>
        <w:tc>
          <w:tcPr>
            <w:tcW w:w="3600" w:type="dxa"/>
            <w:shd w:val="clear" w:color="auto" w:fill="auto"/>
          </w:tcPr>
          <w:p w:rsidR="008B6E3D" w:rsidRPr="008A3FD7" w:rsidRDefault="008B6E3D" w:rsidP="008A3FD7">
            <w:pPr>
              <w:ind w:left="360"/>
              <w:rPr>
                <w:sz w:val="28"/>
                <w:szCs w:val="28"/>
              </w:rPr>
            </w:pPr>
            <w:r w:rsidRPr="008A3FD7">
              <w:rPr>
                <w:sz w:val="28"/>
                <w:szCs w:val="28"/>
              </w:rPr>
              <w:t>Future Medical Expenses</w:t>
            </w:r>
          </w:p>
        </w:tc>
        <w:tc>
          <w:tcPr>
            <w:tcW w:w="2430" w:type="dxa"/>
            <w:shd w:val="clear" w:color="auto" w:fill="auto"/>
          </w:tcPr>
          <w:p w:rsidR="008B6E3D" w:rsidRPr="008A3FD7" w:rsidRDefault="008B6E3D" w:rsidP="008A3FD7">
            <w:pPr>
              <w:ind w:left="360"/>
              <w:rPr>
                <w:sz w:val="28"/>
                <w:szCs w:val="28"/>
              </w:rPr>
            </w:pPr>
            <w:r w:rsidRPr="008A3FD7">
              <w:rPr>
                <w:sz w:val="28"/>
                <w:szCs w:val="28"/>
              </w:rPr>
              <w:t>$300,000</w:t>
            </w:r>
          </w:p>
        </w:tc>
      </w:tr>
      <w:tr w:rsidR="008B6E3D" w:rsidRPr="00293876" w:rsidTr="008A3FD7">
        <w:tc>
          <w:tcPr>
            <w:tcW w:w="786" w:type="dxa"/>
            <w:shd w:val="clear" w:color="auto" w:fill="auto"/>
          </w:tcPr>
          <w:p w:rsidR="008B6E3D" w:rsidRPr="008A3FD7" w:rsidRDefault="008B6E3D" w:rsidP="008A3FD7">
            <w:pPr>
              <w:ind w:left="360"/>
              <w:rPr>
                <w:sz w:val="28"/>
                <w:szCs w:val="28"/>
              </w:rPr>
            </w:pPr>
            <w:r w:rsidRPr="008A3FD7">
              <w:rPr>
                <w:sz w:val="28"/>
                <w:szCs w:val="28"/>
              </w:rPr>
              <w:t>5.</w:t>
            </w:r>
          </w:p>
        </w:tc>
        <w:tc>
          <w:tcPr>
            <w:tcW w:w="3600" w:type="dxa"/>
            <w:shd w:val="clear" w:color="auto" w:fill="auto"/>
          </w:tcPr>
          <w:p w:rsidR="008B6E3D" w:rsidRPr="008A3FD7" w:rsidRDefault="008B6E3D" w:rsidP="008A3FD7">
            <w:pPr>
              <w:ind w:left="360"/>
              <w:rPr>
                <w:sz w:val="28"/>
                <w:szCs w:val="28"/>
              </w:rPr>
            </w:pPr>
            <w:r w:rsidRPr="008A3FD7">
              <w:rPr>
                <w:sz w:val="28"/>
                <w:szCs w:val="28"/>
              </w:rPr>
              <w:t>Special damages</w:t>
            </w:r>
          </w:p>
        </w:tc>
        <w:tc>
          <w:tcPr>
            <w:tcW w:w="2430" w:type="dxa"/>
            <w:shd w:val="clear" w:color="auto" w:fill="auto"/>
          </w:tcPr>
          <w:p w:rsidR="008B6E3D" w:rsidRPr="008A3FD7" w:rsidRDefault="008B6E3D" w:rsidP="008A3FD7">
            <w:pPr>
              <w:ind w:left="360"/>
              <w:rPr>
                <w:sz w:val="28"/>
                <w:szCs w:val="28"/>
              </w:rPr>
            </w:pPr>
            <w:r w:rsidRPr="008A3FD7">
              <w:rPr>
                <w:sz w:val="28"/>
                <w:szCs w:val="28"/>
              </w:rPr>
              <w:t>$143,176</w:t>
            </w:r>
          </w:p>
        </w:tc>
      </w:tr>
      <w:tr w:rsidR="008B6E3D" w:rsidRPr="00125C04" w:rsidTr="008A3FD7">
        <w:tc>
          <w:tcPr>
            <w:tcW w:w="786" w:type="dxa"/>
            <w:shd w:val="clear" w:color="auto" w:fill="auto"/>
          </w:tcPr>
          <w:p w:rsidR="008B6E3D" w:rsidRPr="00125C04" w:rsidRDefault="008B6E3D" w:rsidP="008A3FD7">
            <w:pPr>
              <w:ind w:left="360"/>
              <w:rPr>
                <w:b/>
                <w:sz w:val="28"/>
                <w:szCs w:val="28"/>
              </w:rPr>
            </w:pPr>
          </w:p>
        </w:tc>
        <w:tc>
          <w:tcPr>
            <w:tcW w:w="3600" w:type="dxa"/>
            <w:shd w:val="clear" w:color="auto" w:fill="auto"/>
          </w:tcPr>
          <w:p w:rsidR="008B6E3D" w:rsidRPr="00125C04" w:rsidRDefault="008B6E3D" w:rsidP="008A3FD7">
            <w:pPr>
              <w:ind w:left="360"/>
              <w:rPr>
                <w:b/>
                <w:sz w:val="28"/>
                <w:szCs w:val="28"/>
              </w:rPr>
            </w:pPr>
            <w:r w:rsidRPr="00125C04">
              <w:rPr>
                <w:b/>
                <w:sz w:val="28"/>
                <w:szCs w:val="28"/>
              </w:rPr>
              <w:t>Total</w:t>
            </w:r>
          </w:p>
        </w:tc>
        <w:tc>
          <w:tcPr>
            <w:tcW w:w="2430" w:type="dxa"/>
            <w:shd w:val="clear" w:color="auto" w:fill="auto"/>
          </w:tcPr>
          <w:p w:rsidR="008B6E3D" w:rsidRPr="00125C04" w:rsidRDefault="008B6E3D" w:rsidP="008A3FD7">
            <w:pPr>
              <w:ind w:left="360"/>
              <w:rPr>
                <w:b/>
                <w:sz w:val="28"/>
                <w:szCs w:val="28"/>
              </w:rPr>
            </w:pPr>
            <w:r w:rsidRPr="00125C04">
              <w:rPr>
                <w:b/>
                <w:sz w:val="28"/>
                <w:szCs w:val="28"/>
              </w:rPr>
              <w:t>$2,469,843</w:t>
            </w:r>
          </w:p>
        </w:tc>
      </w:tr>
    </w:tbl>
    <w:p w:rsidR="008B6E3D" w:rsidRPr="0050367E" w:rsidRDefault="008B6E3D" w:rsidP="008B6E3D">
      <w:pPr>
        <w:rPr>
          <w:sz w:val="28"/>
          <w:szCs w:val="28"/>
        </w:rPr>
      </w:pPr>
    </w:p>
    <w:p w:rsidR="008B6E3D" w:rsidRPr="005059B8" w:rsidRDefault="008B6E3D" w:rsidP="008B6E3D">
      <w:pPr>
        <w:pStyle w:val="H-1"/>
        <w:rPr>
          <w:b/>
        </w:rPr>
      </w:pPr>
      <w:r w:rsidRPr="005059B8">
        <w:rPr>
          <w:rFonts w:hint="eastAsia"/>
          <w:b/>
        </w:rPr>
        <w:t>Was the Settlement Reasonable?</w:t>
      </w:r>
    </w:p>
    <w:p w:rsidR="008B6E3D" w:rsidRPr="008B6E3D" w:rsidRDefault="008B6E3D" w:rsidP="008B6E3D">
      <w:pPr>
        <w:pStyle w:val="Final"/>
      </w:pPr>
      <w:r>
        <w:t>In</w:t>
      </w:r>
      <w:r w:rsidRPr="00293876">
        <w:t xml:space="preserve"> assessing the loss </w:t>
      </w:r>
      <w:r>
        <w:t xml:space="preserve">and damage </w:t>
      </w:r>
      <w:r w:rsidRPr="00293876">
        <w:t>of the 2</w:t>
      </w:r>
      <w:r w:rsidRPr="008B6E3D">
        <w:rPr>
          <w:vertAlign w:val="superscript"/>
        </w:rPr>
        <w:t>nd</w:t>
      </w:r>
      <w:r w:rsidRPr="00293876">
        <w:t xml:space="preserve"> Defendant, this Court is not strictly bound by the </w:t>
      </w:r>
      <w:bookmarkStart w:id="0" w:name="ctx30"/>
      <w:r w:rsidRPr="00293876">
        <w:t>settlement</w:t>
      </w:r>
      <w:bookmarkEnd w:id="0"/>
      <w:r w:rsidRPr="00293876">
        <w:t xml:space="preserve"> sum </w:t>
      </w:r>
      <w:r>
        <w:t>but do</w:t>
      </w:r>
      <w:r w:rsidRPr="00293876">
        <w:t xml:space="preserve"> retain the discretion to disallow any excessive </w:t>
      </w:r>
      <w:r>
        <w:t>amount</w:t>
      </w:r>
      <w:r w:rsidRPr="00293876">
        <w:t xml:space="preserve">.     </w:t>
      </w:r>
    </w:p>
    <w:p w:rsidR="002D2B4A" w:rsidRDefault="008B6E3D" w:rsidP="008B6E3D">
      <w:pPr>
        <w:pStyle w:val="Final"/>
      </w:pPr>
      <w:r w:rsidRPr="00293876">
        <w:t>The 2</w:t>
      </w:r>
      <w:r w:rsidRPr="00293876">
        <w:rPr>
          <w:vertAlign w:val="superscript"/>
        </w:rPr>
        <w:t>nd</w:t>
      </w:r>
      <w:r w:rsidRPr="00293876">
        <w:t xml:space="preserve"> Defendant called one witness, i.e. Mr </w:t>
      </w:r>
      <w:r w:rsidRPr="00293876">
        <w:rPr>
          <w:rFonts w:eastAsia="PMingLiU" w:hint="eastAsia"/>
          <w:lang w:eastAsia="zh-TW"/>
        </w:rPr>
        <w:t>盧俊諾</w:t>
      </w:r>
      <w:r w:rsidRPr="00293876">
        <w:t>, a staff member of the Claims Department of the 2</w:t>
      </w:r>
      <w:r w:rsidRPr="00293876">
        <w:rPr>
          <w:vertAlign w:val="superscript"/>
        </w:rPr>
        <w:t>nd</w:t>
      </w:r>
      <w:r w:rsidRPr="00293876">
        <w:t xml:space="preserve"> Defendant to confirm the settlement payment.  </w:t>
      </w:r>
      <w:r>
        <w:t>No cross examination was made by the 1</w:t>
      </w:r>
      <w:r w:rsidRPr="005204AF">
        <w:rPr>
          <w:vertAlign w:val="superscript"/>
        </w:rPr>
        <w:t>st</w:t>
      </w:r>
      <w:r>
        <w:t xml:space="preserve"> Defendant.  </w:t>
      </w:r>
      <w:r w:rsidRPr="00293876">
        <w:t xml:space="preserve">Since </w:t>
      </w:r>
      <w:r w:rsidR="005059B8">
        <w:t>the</w:t>
      </w:r>
      <w:r w:rsidRPr="00293876">
        <w:t xml:space="preserve"> evidence</w:t>
      </w:r>
      <w:r>
        <w:t xml:space="preserve"> </w:t>
      </w:r>
      <w:r w:rsidR="005059B8">
        <w:t xml:space="preserve">of the witness </w:t>
      </w:r>
      <w:r>
        <w:t xml:space="preserve">is not contested, I accept </w:t>
      </w:r>
      <w:r w:rsidRPr="00293876">
        <w:t>his evidence</w:t>
      </w:r>
      <w:r>
        <w:t xml:space="preserve"> and find that t</w:t>
      </w:r>
      <w:r w:rsidRPr="00293876">
        <w:t xml:space="preserve">here is no evidence to suggest that the settlement is not </w:t>
      </w:r>
      <w:r w:rsidRPr="007817BD">
        <w:rPr>
          <w:i/>
        </w:rPr>
        <w:t>bona fide</w:t>
      </w:r>
      <w:r w:rsidRPr="00293876">
        <w:t>.   The</w:t>
      </w:r>
      <w:r w:rsidR="002D2B4A">
        <w:t xml:space="preserve"> remaining question is whether the settled amount is reasonable. </w:t>
      </w:r>
    </w:p>
    <w:p w:rsidR="008B6E3D" w:rsidRPr="005059B8" w:rsidRDefault="008B6E3D" w:rsidP="008B6E3D">
      <w:pPr>
        <w:pStyle w:val="H-1"/>
        <w:rPr>
          <w:b/>
        </w:rPr>
      </w:pPr>
      <w:r w:rsidRPr="005059B8">
        <w:rPr>
          <w:b/>
        </w:rPr>
        <w:t>PSLA</w:t>
      </w:r>
    </w:p>
    <w:p w:rsidR="008B6E3D" w:rsidRPr="008B6E3D" w:rsidRDefault="008B6E3D" w:rsidP="008B6E3D">
      <w:pPr>
        <w:pStyle w:val="Final"/>
      </w:pPr>
      <w:r w:rsidRPr="00293876">
        <w:t>The Plaintiff claimed a sum of $350,000 under this head.  Counsel for the 2</w:t>
      </w:r>
      <w:r w:rsidRPr="00293876">
        <w:rPr>
          <w:vertAlign w:val="superscript"/>
        </w:rPr>
        <w:t>nd</w:t>
      </w:r>
      <w:r w:rsidRPr="00293876">
        <w:t xml:space="preserve"> Defendant referred me to the following cases on PSLA.</w:t>
      </w:r>
    </w:p>
    <w:p w:rsidR="008B6E3D" w:rsidRPr="008B6E3D" w:rsidRDefault="008B6E3D" w:rsidP="008B6E3D">
      <w:pPr>
        <w:pStyle w:val="Final"/>
      </w:pPr>
      <w:r w:rsidRPr="00293876">
        <w:t xml:space="preserve">In </w:t>
      </w:r>
      <w:r>
        <w:rPr>
          <w:b/>
          <w:i/>
        </w:rPr>
        <w:t>Lam Kit Hong v</w:t>
      </w:r>
      <w:r w:rsidRPr="00293876">
        <w:rPr>
          <w:b/>
          <w:i/>
        </w:rPr>
        <w:t xml:space="preserve"> Paramatta Estate Management Ltd</w:t>
      </w:r>
      <w:r w:rsidRPr="00293876">
        <w:t>, DCPI 2165/2007 (unreported, 23 July 2009), the plaintiff suffered from fracture of the shaft of the right humerus and deformation of the right arm as a result of a slip and fall accident.  Open reduction and internal fixation was performed and he had been granted 68 days of sick leave.  PSLA was awarded at HK$230,000.  Counsel for the 2</w:t>
      </w:r>
      <w:r w:rsidRPr="00293876">
        <w:rPr>
          <w:vertAlign w:val="superscript"/>
        </w:rPr>
        <w:t>nd</w:t>
      </w:r>
      <w:r w:rsidRPr="00293876">
        <w:t xml:space="preserve"> Defendant submitted that the figure would be adjusted upward to HK$300,000 in the year 2019.</w:t>
      </w:r>
    </w:p>
    <w:p w:rsidR="008B6E3D" w:rsidRPr="008B6E3D" w:rsidRDefault="008B6E3D" w:rsidP="008B6E3D">
      <w:pPr>
        <w:pStyle w:val="Final"/>
      </w:pPr>
      <w:r w:rsidRPr="00293876">
        <w:t xml:space="preserve">In </w:t>
      </w:r>
      <w:r>
        <w:rPr>
          <w:b/>
          <w:i/>
        </w:rPr>
        <w:t>Lau Tsz Ha v</w:t>
      </w:r>
      <w:r w:rsidRPr="00293876">
        <w:rPr>
          <w:b/>
          <w:i/>
        </w:rPr>
        <w:t xml:space="preserve"> Chui Sang Choy</w:t>
      </w:r>
      <w:r w:rsidRPr="00293876">
        <w:t>, HCPI 489/2006 (unreported, 9 March 2010), the plaintiff suffered from fracture with displacement of upper end of humerus at right shoulder after a traffic accident.  Sick leave of 6 months was granted.  PSLA was assessed at HK$250,000 (about HK$300,000 as at 2019 as submitted by the 2</w:t>
      </w:r>
      <w:r w:rsidRPr="00293876">
        <w:rPr>
          <w:vertAlign w:val="superscript"/>
        </w:rPr>
        <w:t>nd</w:t>
      </w:r>
      <w:r w:rsidRPr="00293876">
        <w:t xml:space="preserve"> Defendant).</w:t>
      </w:r>
    </w:p>
    <w:p w:rsidR="008B6E3D" w:rsidRPr="008B6E3D" w:rsidRDefault="008B6E3D" w:rsidP="008B6E3D">
      <w:pPr>
        <w:pStyle w:val="Final"/>
      </w:pPr>
      <w:r w:rsidRPr="00293876">
        <w:t xml:space="preserve">In </w:t>
      </w:r>
      <w:r>
        <w:rPr>
          <w:b/>
          <w:i/>
        </w:rPr>
        <w:t>Ng Wing Kwong v</w:t>
      </w:r>
      <w:r w:rsidRPr="00293876">
        <w:rPr>
          <w:b/>
          <w:i/>
        </w:rPr>
        <w:t xml:space="preserve"> Tam Chi Wing t/a Wing Fung Engineering Co &amp; Another</w:t>
      </w:r>
      <w:r w:rsidRPr="00293876">
        <w:t xml:space="preserve"> [2019] HKDC 1154, the plaintiff fell down from a ladder sustaining fracture of right humerus.  Sick leave of 12 months was granted.  PSLA was assessed at $300,000.</w:t>
      </w:r>
    </w:p>
    <w:p w:rsidR="008B6E3D" w:rsidRDefault="008B6E3D" w:rsidP="008B6E3D">
      <w:pPr>
        <w:pStyle w:val="Final"/>
      </w:pPr>
      <w:r w:rsidRPr="00293876">
        <w:t xml:space="preserve">After due consideration of the authorities, and having considered, </w:t>
      </w:r>
      <w:r w:rsidRPr="005059B8">
        <w:rPr>
          <w:i/>
        </w:rPr>
        <w:t>inter alia</w:t>
      </w:r>
      <w:r w:rsidRPr="00293876">
        <w:t>, the nature</w:t>
      </w:r>
      <w:r w:rsidR="002D2B4A">
        <w:t xml:space="preserve"> and the seriousness</w:t>
      </w:r>
      <w:r w:rsidRPr="00293876">
        <w:t xml:space="preserve"> of the </w:t>
      </w:r>
      <w:r w:rsidR="002D2B4A">
        <w:t>P</w:t>
      </w:r>
      <w:r w:rsidRPr="00293876">
        <w:t xml:space="preserve">laintiff's injuries, the duration of his healing process, and the </w:t>
      </w:r>
      <w:r w:rsidR="005059B8">
        <w:t>permanent impairment</w:t>
      </w:r>
      <w:r w:rsidRPr="00293876">
        <w:t xml:space="preserve"> he suffer</w:t>
      </w:r>
      <w:r w:rsidR="002D2B4A">
        <w:t>ed</w:t>
      </w:r>
      <w:r w:rsidRPr="00293876">
        <w:t>, I am satisfied that a sum of $300,000 as damages for PSLA should be reasonable.</w:t>
      </w:r>
    </w:p>
    <w:p w:rsidR="008B6E3D" w:rsidRPr="005059B8" w:rsidRDefault="008B6E3D" w:rsidP="008B6E3D">
      <w:pPr>
        <w:pStyle w:val="H-1"/>
        <w:rPr>
          <w:b/>
        </w:rPr>
      </w:pPr>
      <w:r w:rsidRPr="005059B8">
        <w:rPr>
          <w:b/>
        </w:rPr>
        <w:t>Pre-trial loss of earnings</w:t>
      </w:r>
    </w:p>
    <w:p w:rsidR="008B6E3D" w:rsidRPr="008B6E3D" w:rsidRDefault="008B6E3D" w:rsidP="008B6E3D">
      <w:pPr>
        <w:pStyle w:val="Final"/>
      </w:pPr>
      <w:r w:rsidRPr="00293876">
        <w:t>The Plaintiff alleged that he was a businessman and a program host, and his income depended on the funeral services business.  He claimed that his monthly income was about HK$100,000.</w:t>
      </w:r>
    </w:p>
    <w:p w:rsidR="008B6E3D" w:rsidRPr="008B6E3D" w:rsidRDefault="008B6E3D" w:rsidP="008B6E3D">
      <w:pPr>
        <w:pStyle w:val="Final"/>
      </w:pPr>
      <w:r w:rsidRPr="00293876">
        <w:t>The 2</w:t>
      </w:r>
      <w:r w:rsidRPr="00293876">
        <w:rPr>
          <w:vertAlign w:val="superscript"/>
        </w:rPr>
        <w:t>nd</w:t>
      </w:r>
      <w:r w:rsidRPr="00293876">
        <w:t xml:space="preserve"> Defendant argue that the Plaintiff failed to disclose any license under the Undertakers of Burials Regulations or any licence showing that he was entitled to carry out funeral service.  The Tax Assessment Notice dated 18 January 2017 showed that the Plaintiff’s income for the financial year 2015/16 was HK$415,308 and the provisional tax in the financial year 2016/17 was assessed at HK$36,162.  The 2</w:t>
      </w:r>
      <w:r w:rsidRPr="00293876">
        <w:rPr>
          <w:vertAlign w:val="superscript"/>
        </w:rPr>
        <w:t>nd</w:t>
      </w:r>
      <w:r w:rsidRPr="00293876">
        <w:t xml:space="preserve"> Defendant would assess the pre-trial loss on the basis of the Tax Assessment Notice instead of the Plaintiff’s allegation that he could earn HK$100,000 per month.</w:t>
      </w:r>
    </w:p>
    <w:p w:rsidR="008B6E3D" w:rsidRPr="007817BD" w:rsidRDefault="008B6E3D" w:rsidP="008B6E3D">
      <w:pPr>
        <w:pStyle w:val="Final"/>
      </w:pPr>
      <w:r w:rsidRPr="00293876">
        <w:t>There was no dispute that the Plaintiff was granted sick leave of a total of 413 days, which was considered to be acceptable by the orthopaedic expert, Dr Fu, in the Main Action.  The 2</w:t>
      </w:r>
      <w:r w:rsidRPr="00293876">
        <w:rPr>
          <w:vertAlign w:val="superscript"/>
        </w:rPr>
        <w:t>nd</w:t>
      </w:r>
      <w:r w:rsidRPr="00293876">
        <w:t xml:space="preserve"> Defendant assessed that the pre-trial loss of earnings would be </w:t>
      </w:r>
    </w:p>
    <w:p w:rsidR="008B6E3D" w:rsidRPr="007817BD" w:rsidRDefault="008B6E3D" w:rsidP="007817BD">
      <w:pPr>
        <w:pStyle w:val="ListParagraph"/>
        <w:ind w:left="1440"/>
        <w:rPr>
          <w:sz w:val="24"/>
          <w:szCs w:val="24"/>
        </w:rPr>
      </w:pPr>
      <w:r w:rsidRPr="007817BD">
        <w:rPr>
          <w:sz w:val="24"/>
          <w:szCs w:val="24"/>
        </w:rPr>
        <w:t>($415,308 – $36,162) x 1.05 x 413/365 = $450,456.61.</w:t>
      </w:r>
    </w:p>
    <w:p w:rsidR="008B6E3D" w:rsidRPr="0050367E" w:rsidRDefault="008B6E3D" w:rsidP="008B6E3D">
      <w:pPr>
        <w:rPr>
          <w:sz w:val="28"/>
          <w:szCs w:val="28"/>
        </w:rPr>
      </w:pPr>
    </w:p>
    <w:p w:rsidR="008B6E3D" w:rsidRDefault="008B6E3D" w:rsidP="008B6E3D">
      <w:pPr>
        <w:pStyle w:val="Final"/>
      </w:pPr>
      <w:r w:rsidRPr="00293876">
        <w:t>I consider that the 2</w:t>
      </w:r>
      <w:r w:rsidRPr="00293876">
        <w:rPr>
          <w:vertAlign w:val="superscript"/>
        </w:rPr>
        <w:t>nd</w:t>
      </w:r>
      <w:r w:rsidRPr="00293876">
        <w:t xml:space="preserve"> Defendant’s assessment of the Plaintiff’s pre-trial loss to be reasonable.</w:t>
      </w:r>
    </w:p>
    <w:p w:rsidR="008B6E3D" w:rsidRPr="005059B8" w:rsidRDefault="008B6E3D" w:rsidP="008B6E3D">
      <w:pPr>
        <w:pStyle w:val="H-1"/>
        <w:rPr>
          <w:b/>
        </w:rPr>
      </w:pPr>
      <w:r w:rsidRPr="005059B8">
        <w:rPr>
          <w:b/>
        </w:rPr>
        <w:t>Loss of earning capacity and future medical expenses</w:t>
      </w:r>
    </w:p>
    <w:p w:rsidR="008B6E3D" w:rsidRPr="00293876" w:rsidRDefault="008B6E3D" w:rsidP="008B6E3D">
      <w:pPr>
        <w:pStyle w:val="Final"/>
      </w:pPr>
      <w:r w:rsidRPr="00293876">
        <w:t>The 2</w:t>
      </w:r>
      <w:r w:rsidRPr="00293876">
        <w:rPr>
          <w:vertAlign w:val="superscript"/>
        </w:rPr>
        <w:t>nd</w:t>
      </w:r>
      <w:r w:rsidRPr="00293876">
        <w:t xml:space="preserve"> Defendant submitted that there </w:t>
      </w:r>
      <w:r w:rsidR="005059B8">
        <w:t>was</w:t>
      </w:r>
      <w:r w:rsidRPr="00293876">
        <w:t xml:space="preserve"> no evidence to support the Plaintiff’s claim and no award should be allowed.  I agree.</w:t>
      </w:r>
    </w:p>
    <w:p w:rsidR="008B6E3D" w:rsidRPr="005059B8" w:rsidRDefault="008B6E3D" w:rsidP="008B6E3D">
      <w:pPr>
        <w:pStyle w:val="H-1"/>
        <w:rPr>
          <w:b/>
        </w:rPr>
      </w:pPr>
      <w:r w:rsidRPr="005059B8">
        <w:rPr>
          <w:b/>
        </w:rPr>
        <w:t>Special damages</w:t>
      </w:r>
    </w:p>
    <w:p w:rsidR="008B6E3D" w:rsidRDefault="008B6E3D" w:rsidP="008B6E3D">
      <w:pPr>
        <w:pStyle w:val="Final"/>
      </w:pPr>
      <w:r w:rsidRPr="00293876">
        <w:t>The Plaintiff claimed the following as special damages:</w:t>
      </w:r>
    </w:p>
    <w:tbl>
      <w:tblPr>
        <w:tblW w:w="0" w:type="auto"/>
        <w:tblInd w:w="198" w:type="dxa"/>
        <w:tblLook w:val="04A0" w:firstRow="1" w:lastRow="0" w:firstColumn="1" w:lastColumn="0" w:noHBand="0" w:noVBand="1"/>
      </w:tblPr>
      <w:tblGrid>
        <w:gridCol w:w="903"/>
        <w:gridCol w:w="3708"/>
        <w:gridCol w:w="2783"/>
      </w:tblGrid>
      <w:tr w:rsidR="008B6E3D" w:rsidRPr="00293876" w:rsidTr="008A3FD7">
        <w:tc>
          <w:tcPr>
            <w:tcW w:w="903" w:type="dxa"/>
            <w:shd w:val="clear" w:color="auto" w:fill="auto"/>
          </w:tcPr>
          <w:p w:rsidR="008B6E3D" w:rsidRPr="008A3FD7" w:rsidRDefault="008B6E3D" w:rsidP="008A3FD7">
            <w:pPr>
              <w:ind w:left="360"/>
              <w:rPr>
                <w:sz w:val="28"/>
                <w:szCs w:val="28"/>
              </w:rPr>
            </w:pPr>
            <w:r w:rsidRPr="008A3FD7">
              <w:rPr>
                <w:sz w:val="28"/>
                <w:szCs w:val="28"/>
              </w:rPr>
              <w:t>(a)</w:t>
            </w:r>
          </w:p>
        </w:tc>
        <w:tc>
          <w:tcPr>
            <w:tcW w:w="3708" w:type="dxa"/>
            <w:shd w:val="clear" w:color="auto" w:fill="auto"/>
          </w:tcPr>
          <w:p w:rsidR="008B6E3D" w:rsidRPr="008A3FD7" w:rsidRDefault="008B6E3D" w:rsidP="008A3FD7">
            <w:pPr>
              <w:ind w:left="360"/>
              <w:rPr>
                <w:sz w:val="28"/>
                <w:szCs w:val="28"/>
              </w:rPr>
            </w:pPr>
            <w:r w:rsidRPr="008A3FD7">
              <w:rPr>
                <w:sz w:val="28"/>
                <w:szCs w:val="28"/>
              </w:rPr>
              <w:t>Medical expenses</w:t>
            </w:r>
          </w:p>
        </w:tc>
        <w:tc>
          <w:tcPr>
            <w:tcW w:w="2783" w:type="dxa"/>
            <w:shd w:val="clear" w:color="auto" w:fill="auto"/>
          </w:tcPr>
          <w:p w:rsidR="008B6E3D" w:rsidRPr="008A3FD7" w:rsidRDefault="008B6E3D" w:rsidP="008A3FD7">
            <w:pPr>
              <w:ind w:left="360"/>
              <w:rPr>
                <w:sz w:val="28"/>
                <w:szCs w:val="28"/>
              </w:rPr>
            </w:pPr>
            <w:r w:rsidRPr="008A3FD7">
              <w:rPr>
                <w:sz w:val="28"/>
                <w:szCs w:val="28"/>
              </w:rPr>
              <w:t>HK$76,176</w:t>
            </w:r>
          </w:p>
        </w:tc>
      </w:tr>
      <w:tr w:rsidR="008B6E3D" w:rsidRPr="00293876" w:rsidTr="008A3FD7">
        <w:tc>
          <w:tcPr>
            <w:tcW w:w="903" w:type="dxa"/>
            <w:shd w:val="clear" w:color="auto" w:fill="auto"/>
          </w:tcPr>
          <w:p w:rsidR="008B6E3D" w:rsidRPr="008A3FD7" w:rsidRDefault="008B6E3D" w:rsidP="008A3FD7">
            <w:pPr>
              <w:ind w:left="360"/>
              <w:rPr>
                <w:sz w:val="28"/>
                <w:szCs w:val="28"/>
              </w:rPr>
            </w:pPr>
            <w:r w:rsidRPr="008A3FD7">
              <w:rPr>
                <w:sz w:val="28"/>
                <w:szCs w:val="28"/>
              </w:rPr>
              <w:t>(b)</w:t>
            </w:r>
          </w:p>
        </w:tc>
        <w:tc>
          <w:tcPr>
            <w:tcW w:w="3708" w:type="dxa"/>
            <w:shd w:val="clear" w:color="auto" w:fill="auto"/>
          </w:tcPr>
          <w:p w:rsidR="008B6E3D" w:rsidRPr="008A3FD7" w:rsidRDefault="008B6E3D" w:rsidP="008A3FD7">
            <w:pPr>
              <w:ind w:left="360"/>
              <w:rPr>
                <w:sz w:val="28"/>
                <w:szCs w:val="28"/>
              </w:rPr>
            </w:pPr>
            <w:r w:rsidRPr="008A3FD7">
              <w:rPr>
                <w:sz w:val="28"/>
                <w:szCs w:val="28"/>
              </w:rPr>
              <w:t>Travelling expenses</w:t>
            </w:r>
          </w:p>
        </w:tc>
        <w:tc>
          <w:tcPr>
            <w:tcW w:w="2783" w:type="dxa"/>
            <w:shd w:val="clear" w:color="auto" w:fill="auto"/>
          </w:tcPr>
          <w:p w:rsidR="008B6E3D" w:rsidRPr="008A3FD7" w:rsidRDefault="008B6E3D" w:rsidP="008A3FD7">
            <w:pPr>
              <w:ind w:left="360"/>
              <w:rPr>
                <w:sz w:val="28"/>
                <w:szCs w:val="28"/>
              </w:rPr>
            </w:pPr>
            <w:r w:rsidRPr="008A3FD7">
              <w:rPr>
                <w:sz w:val="28"/>
                <w:szCs w:val="28"/>
              </w:rPr>
              <w:t>HK$7,000</w:t>
            </w:r>
          </w:p>
        </w:tc>
      </w:tr>
      <w:tr w:rsidR="008B6E3D" w:rsidRPr="00293876" w:rsidTr="008A3FD7">
        <w:tc>
          <w:tcPr>
            <w:tcW w:w="903" w:type="dxa"/>
            <w:shd w:val="clear" w:color="auto" w:fill="auto"/>
          </w:tcPr>
          <w:p w:rsidR="008B6E3D" w:rsidRPr="008A3FD7" w:rsidRDefault="008B6E3D" w:rsidP="008A3FD7">
            <w:pPr>
              <w:ind w:left="360"/>
              <w:rPr>
                <w:sz w:val="28"/>
                <w:szCs w:val="28"/>
              </w:rPr>
            </w:pPr>
            <w:r w:rsidRPr="008A3FD7">
              <w:rPr>
                <w:sz w:val="28"/>
                <w:szCs w:val="28"/>
              </w:rPr>
              <w:t>(c)</w:t>
            </w:r>
          </w:p>
        </w:tc>
        <w:tc>
          <w:tcPr>
            <w:tcW w:w="3708" w:type="dxa"/>
            <w:shd w:val="clear" w:color="auto" w:fill="auto"/>
          </w:tcPr>
          <w:p w:rsidR="008B6E3D" w:rsidRPr="008A3FD7" w:rsidRDefault="008B6E3D" w:rsidP="008A3FD7">
            <w:pPr>
              <w:ind w:left="360"/>
              <w:rPr>
                <w:sz w:val="28"/>
                <w:szCs w:val="28"/>
              </w:rPr>
            </w:pPr>
            <w:r w:rsidRPr="008A3FD7">
              <w:rPr>
                <w:sz w:val="28"/>
                <w:szCs w:val="28"/>
              </w:rPr>
              <w:t>Tonic food</w:t>
            </w:r>
          </w:p>
        </w:tc>
        <w:tc>
          <w:tcPr>
            <w:tcW w:w="2783" w:type="dxa"/>
            <w:shd w:val="clear" w:color="auto" w:fill="auto"/>
          </w:tcPr>
          <w:p w:rsidR="008B6E3D" w:rsidRPr="008A3FD7" w:rsidRDefault="008B6E3D" w:rsidP="008A3FD7">
            <w:pPr>
              <w:ind w:left="360"/>
              <w:rPr>
                <w:sz w:val="28"/>
                <w:szCs w:val="28"/>
              </w:rPr>
            </w:pPr>
            <w:r w:rsidRPr="008A3FD7">
              <w:rPr>
                <w:sz w:val="28"/>
                <w:szCs w:val="28"/>
              </w:rPr>
              <w:t>HK$60,000</w:t>
            </w:r>
          </w:p>
        </w:tc>
      </w:tr>
    </w:tbl>
    <w:p w:rsidR="008B6E3D" w:rsidRPr="00293876" w:rsidRDefault="008B6E3D" w:rsidP="008B6E3D">
      <w:pPr>
        <w:pStyle w:val="Final"/>
        <w:numPr>
          <w:ilvl w:val="0"/>
          <w:numId w:val="0"/>
        </w:numPr>
      </w:pPr>
    </w:p>
    <w:p w:rsidR="008B6E3D" w:rsidRPr="008B6E3D" w:rsidRDefault="008B6E3D" w:rsidP="008B6E3D">
      <w:pPr>
        <w:pStyle w:val="Final"/>
      </w:pPr>
      <w:r w:rsidRPr="00293876">
        <w:t>The 2</w:t>
      </w:r>
      <w:r w:rsidRPr="00293876">
        <w:rPr>
          <w:vertAlign w:val="superscript"/>
        </w:rPr>
        <w:t>nd</w:t>
      </w:r>
      <w:r w:rsidRPr="00293876">
        <w:t xml:space="preserve"> Defendant submitted that the medical expenses were supported by documentary evidence and there </w:t>
      </w:r>
      <w:r w:rsidR="005059B8">
        <w:t>was</w:t>
      </w:r>
      <w:r w:rsidRPr="00293876">
        <w:t xml:space="preserve"> little room to contest the reasonableness of the medical expenses claimed.</w:t>
      </w:r>
    </w:p>
    <w:p w:rsidR="008B6E3D" w:rsidRPr="008B6E3D" w:rsidRDefault="008B6E3D" w:rsidP="008B6E3D">
      <w:pPr>
        <w:pStyle w:val="Final"/>
      </w:pPr>
      <w:r w:rsidRPr="00293876">
        <w:t xml:space="preserve">Having considered all the evidence </w:t>
      </w:r>
      <w:r w:rsidR="002D2B4A">
        <w:t>before me</w:t>
      </w:r>
      <w:r w:rsidRPr="00293876">
        <w:t xml:space="preserve">, I am satisfied that the medical expenses were supported by documentary evidence and should be allowed in full.  </w:t>
      </w:r>
    </w:p>
    <w:p w:rsidR="008B6E3D" w:rsidRPr="008B6E3D" w:rsidRDefault="008B6E3D" w:rsidP="008B6E3D">
      <w:pPr>
        <w:pStyle w:val="Final"/>
      </w:pPr>
      <w:r w:rsidRPr="00293876">
        <w:t>Despite the lack of </w:t>
      </w:r>
      <w:bookmarkStart w:id="1" w:name="ctx16"/>
      <w:r w:rsidRPr="00293876">
        <w:t>receipts</w:t>
      </w:r>
      <w:bookmarkEnd w:id="1"/>
      <w:r w:rsidRPr="00293876">
        <w:t xml:space="preserve"> for </w:t>
      </w:r>
      <w:r w:rsidR="002D2B4A">
        <w:t xml:space="preserve">the </w:t>
      </w:r>
      <w:r w:rsidRPr="00293876">
        <w:t>travelling expenses, the Plaintiff produced a total of 14 sick leave certificates and medical records of Yan Chai Hospital and St. Teresa’s Hospital.  For the travelling expenses incurred for the follow-up treatment and consultation in private sector, I consider that a total sum of $5,000 should be reasonable.  </w:t>
      </w:r>
    </w:p>
    <w:p w:rsidR="008B6E3D" w:rsidRPr="007817BD" w:rsidRDefault="008B6E3D" w:rsidP="008B6E3D">
      <w:pPr>
        <w:pStyle w:val="Final"/>
      </w:pPr>
      <w:r w:rsidRPr="00293876">
        <w:t xml:space="preserve">The court may award a reasonable sum for </w:t>
      </w:r>
      <w:r w:rsidR="005059B8">
        <w:t xml:space="preserve">tonic </w:t>
      </w:r>
      <w:r w:rsidRPr="00293876">
        <w:t xml:space="preserve">food even no documentary proof has been produced: see </w:t>
      </w:r>
      <w:r w:rsidRPr="00293876">
        <w:rPr>
          <w:b/>
          <w:i/>
        </w:rPr>
        <w:t>Tang Yuet</w:t>
      </w:r>
      <w:r>
        <w:rPr>
          <w:b/>
          <w:i/>
        </w:rPr>
        <w:t xml:space="preserve"> Yi, a minor by Tiu Kwai King v</w:t>
      </w:r>
      <w:r w:rsidRPr="00293876">
        <w:rPr>
          <w:b/>
          <w:i/>
        </w:rPr>
        <w:t xml:space="preserve"> Leung Man Chow</w:t>
      </w:r>
      <w:r w:rsidRPr="00293876">
        <w:t xml:space="preserve"> [2018] HKDC 985.  In the absence of any </w:t>
      </w:r>
      <w:bookmarkStart w:id="2" w:name="ctx32"/>
      <w:r w:rsidRPr="00293876">
        <w:t>receipts</w:t>
      </w:r>
      <w:bookmarkEnd w:id="2"/>
      <w:r w:rsidRPr="00293876">
        <w:t xml:space="preserve">, I </w:t>
      </w:r>
      <w:r w:rsidR="002D2B4A">
        <w:t xml:space="preserve">consider that a reasonable amount to represent tonic food in the Plaintiff’s case should be no more than HK$4,000.  </w:t>
      </w:r>
    </w:p>
    <w:p w:rsidR="008B6E3D" w:rsidRPr="00293876" w:rsidRDefault="008B6E3D" w:rsidP="008B6E3D">
      <w:pPr>
        <w:pStyle w:val="Final"/>
      </w:pPr>
      <w:r w:rsidRPr="00293876">
        <w:t>Hence, the total amount of special damages should be: $76,176 + $5,000 + $4,000 = $85,176.</w:t>
      </w:r>
    </w:p>
    <w:p w:rsidR="008B6E3D" w:rsidRPr="005059B8" w:rsidRDefault="008B6E3D" w:rsidP="008B6E3D">
      <w:pPr>
        <w:pStyle w:val="H-1"/>
        <w:rPr>
          <w:b/>
        </w:rPr>
      </w:pPr>
      <w:r w:rsidRPr="005059B8">
        <w:rPr>
          <w:b/>
        </w:rPr>
        <w:t>Contributory negligence</w:t>
      </w:r>
    </w:p>
    <w:p w:rsidR="008B6E3D" w:rsidRPr="008B6E3D" w:rsidRDefault="008B6E3D" w:rsidP="008B6E3D">
      <w:pPr>
        <w:pStyle w:val="Final"/>
      </w:pPr>
      <w:r w:rsidRPr="00293876">
        <w:t>It was pleaded by the 1</w:t>
      </w:r>
      <w:r w:rsidRPr="00293876">
        <w:rPr>
          <w:vertAlign w:val="superscript"/>
        </w:rPr>
        <w:t>st</w:t>
      </w:r>
      <w:r w:rsidRPr="00293876">
        <w:t xml:space="preserve"> Defendant in her Defence filed on 8 December 2017 that the Plaintiff had failed to wear seatbelt and that he knew and ought to have known that the 1</w:t>
      </w:r>
      <w:r w:rsidRPr="00293876">
        <w:rPr>
          <w:vertAlign w:val="superscript"/>
        </w:rPr>
        <w:t>st</w:t>
      </w:r>
      <w:r w:rsidRPr="00293876">
        <w:t xml:space="preserve"> Defendant’s ability to drive was seriously impaired by alcohol.</w:t>
      </w:r>
    </w:p>
    <w:p w:rsidR="008B6E3D" w:rsidRPr="008B6E3D" w:rsidRDefault="008B6E3D" w:rsidP="008B6E3D">
      <w:pPr>
        <w:pStyle w:val="Final"/>
      </w:pPr>
      <w:r w:rsidRPr="00293876">
        <w:t>The 2</w:t>
      </w:r>
      <w:r w:rsidRPr="00293876">
        <w:rPr>
          <w:vertAlign w:val="superscript"/>
        </w:rPr>
        <w:t>nd</w:t>
      </w:r>
      <w:r w:rsidRPr="00293876">
        <w:t xml:space="preserve"> Defendant submitted that the allegation of contributory negligence could not be established by evidence.</w:t>
      </w:r>
    </w:p>
    <w:p w:rsidR="008B6E3D" w:rsidRPr="008B6E3D" w:rsidRDefault="008B6E3D" w:rsidP="008B6E3D">
      <w:pPr>
        <w:pStyle w:val="Final"/>
      </w:pPr>
      <w:r w:rsidRPr="00293876">
        <w:t>First, the 2</w:t>
      </w:r>
      <w:r w:rsidRPr="00293876">
        <w:rPr>
          <w:vertAlign w:val="superscript"/>
        </w:rPr>
        <w:t>nd</w:t>
      </w:r>
      <w:r w:rsidRPr="00293876">
        <w:t xml:space="preserve"> Defendant argued that there </w:t>
      </w:r>
      <w:r w:rsidR="005059B8">
        <w:t>was</w:t>
      </w:r>
      <w:r w:rsidRPr="00293876">
        <w:t xml:space="preserve"> evidence to show that the Plaintiff did wear seat</w:t>
      </w:r>
      <w:r w:rsidR="005059B8">
        <w:t xml:space="preserve"> </w:t>
      </w:r>
      <w:r w:rsidRPr="00293876">
        <w:t>belt at the material time.  Counsel for the 2</w:t>
      </w:r>
      <w:r w:rsidRPr="00293876">
        <w:rPr>
          <w:vertAlign w:val="superscript"/>
        </w:rPr>
        <w:t>nd</w:t>
      </w:r>
      <w:r w:rsidRPr="00293876">
        <w:t xml:space="preserve"> Defendant referred me to the Medical Report made by Dr Fu Wai Kee dated 26 September 2018 which stated</w:t>
      </w:r>
      <w:r w:rsidR="005C1A06">
        <w:t>,</w:t>
      </w:r>
      <w:r w:rsidRPr="00293876">
        <w:t xml:space="preserve"> </w:t>
      </w:r>
      <w:r w:rsidR="002D2B4A" w:rsidRPr="005059B8">
        <w:rPr>
          <w:i/>
        </w:rPr>
        <w:t>inter alia</w:t>
      </w:r>
      <w:r w:rsidR="005C1A06" w:rsidRPr="005C1A06">
        <w:t>,</w:t>
      </w:r>
      <w:r w:rsidR="002D2B4A">
        <w:t xml:space="preserve"> </w:t>
      </w:r>
      <w:r w:rsidRPr="00293876">
        <w:t xml:space="preserve">that the Plaintiff told Dr Fu that he was wearing a seat belt when the car collided into the crash barrier.  Further, the Discharge Summary made by Yan Chai Hospital dated 28 July 2015 showed that the Plaintiff </w:t>
      </w:r>
      <w:r w:rsidR="002D2B4A">
        <w:t xml:space="preserve">did </w:t>
      </w:r>
      <w:r w:rsidRPr="00293876">
        <w:t xml:space="preserve">inform the hospital staff that he was wearing a seat belt.  Although those evidence was in fact from the Plaintiff himself, </w:t>
      </w:r>
      <w:r w:rsidR="002D2B4A">
        <w:t xml:space="preserve">and could be regarded as self-induced, </w:t>
      </w:r>
      <w:r w:rsidRPr="00293876">
        <w:t xml:space="preserve">I note that there was no expert evidence from Dr Fu to the effect that the Plaintiff’s injury was inconsistent with his </w:t>
      </w:r>
      <w:r w:rsidR="002D2B4A">
        <w:t xml:space="preserve">own </w:t>
      </w:r>
      <w:r w:rsidRPr="00293876">
        <w:t xml:space="preserve">contention that he was wearing seat belt.  I agree that the allegation of contributory negligence due to the Plaintiff’s failure of wearing a seat belt </w:t>
      </w:r>
      <w:r w:rsidR="002D2B4A">
        <w:t>might</w:t>
      </w:r>
      <w:r w:rsidRPr="00293876">
        <w:t xml:space="preserve"> not be established.</w:t>
      </w:r>
    </w:p>
    <w:p w:rsidR="00AD01FD" w:rsidRDefault="008B6E3D" w:rsidP="008B6E3D">
      <w:pPr>
        <w:pStyle w:val="Final"/>
      </w:pPr>
      <w:r w:rsidRPr="00293876">
        <w:t>The 1</w:t>
      </w:r>
      <w:r w:rsidRPr="00293876">
        <w:rPr>
          <w:vertAlign w:val="superscript"/>
        </w:rPr>
        <w:t>st</w:t>
      </w:r>
      <w:r w:rsidRPr="00293876">
        <w:t xml:space="preserve"> Defendant also pleaded that the Plaintiff should have known that the 1</w:t>
      </w:r>
      <w:r w:rsidRPr="00293876">
        <w:rPr>
          <w:vertAlign w:val="superscript"/>
        </w:rPr>
        <w:t>st</w:t>
      </w:r>
      <w:r w:rsidRPr="00293876">
        <w:t xml:space="preserve"> Defendant had consumed alcohol.  </w:t>
      </w:r>
      <w:r w:rsidR="00AD01FD">
        <w:t>The 2</w:t>
      </w:r>
      <w:r w:rsidR="00AD01FD" w:rsidRPr="00AD01FD">
        <w:rPr>
          <w:vertAlign w:val="superscript"/>
        </w:rPr>
        <w:t>nd</w:t>
      </w:r>
      <w:r w:rsidR="00AD01FD">
        <w:t xml:space="preserve"> Defendant argued that unless the 1</w:t>
      </w:r>
      <w:r w:rsidR="00AD01FD" w:rsidRPr="00AD01FD">
        <w:rPr>
          <w:vertAlign w:val="superscript"/>
        </w:rPr>
        <w:t>st</w:t>
      </w:r>
      <w:r w:rsidR="00AD01FD">
        <w:t xml:space="preserve"> Defendant gave evidence at the trial, the 2</w:t>
      </w:r>
      <w:r w:rsidR="00AD01FD" w:rsidRPr="002D015B">
        <w:rPr>
          <w:vertAlign w:val="superscript"/>
        </w:rPr>
        <w:t>n</w:t>
      </w:r>
      <w:r w:rsidR="002D015B" w:rsidRPr="002D015B">
        <w:rPr>
          <w:vertAlign w:val="superscript"/>
        </w:rPr>
        <w:t>d</w:t>
      </w:r>
      <w:r w:rsidR="002D015B">
        <w:t xml:space="preserve"> </w:t>
      </w:r>
      <w:r w:rsidR="00AD01FD">
        <w:t xml:space="preserve">Defendant was not in a position to put any positive case </w:t>
      </w:r>
      <w:r w:rsidR="002D015B">
        <w:t>against</w:t>
      </w:r>
      <w:r w:rsidR="00AD01FD">
        <w:t xml:space="preserve"> the Plaintiff.  However, in my view, that issue could be determined by considering all the available evidence, including the Plaintiff’s own admitted facts, whether in his pleaded case and </w:t>
      </w:r>
      <w:r w:rsidR="002D015B">
        <w:t xml:space="preserve">in </w:t>
      </w:r>
      <w:r w:rsidR="00AD01FD">
        <w:t>the Police Statement.</w:t>
      </w:r>
    </w:p>
    <w:p w:rsidR="008B6E3D" w:rsidRPr="008B6E3D" w:rsidRDefault="008B6E3D" w:rsidP="008B6E3D">
      <w:pPr>
        <w:pStyle w:val="Final"/>
      </w:pPr>
      <w:r w:rsidRPr="00293876">
        <w:t>The 1</w:t>
      </w:r>
      <w:r w:rsidRPr="00293876">
        <w:rPr>
          <w:vertAlign w:val="superscript"/>
        </w:rPr>
        <w:t>st</w:t>
      </w:r>
      <w:r w:rsidRPr="00293876">
        <w:t xml:space="preserve"> Defendant’s pleaded case was that around 12 a.m. on 25 July 2015, the Plaintiff, the 1</w:t>
      </w:r>
      <w:r w:rsidRPr="00293876">
        <w:rPr>
          <w:vertAlign w:val="superscript"/>
        </w:rPr>
        <w:t>st</w:t>
      </w:r>
      <w:r w:rsidRPr="00293876">
        <w:t xml:space="preserve"> Defendant and one Mr Lee went to consume alcohol in Tsuen Wan.  They played various games and consumed alcohol until 4 a.m.  Notwithstanding that, the Plaintiff directed the 1</w:t>
      </w:r>
      <w:r w:rsidRPr="00293876">
        <w:rPr>
          <w:vertAlign w:val="superscript"/>
        </w:rPr>
        <w:t>st</w:t>
      </w:r>
      <w:r w:rsidRPr="00293876">
        <w:t xml:space="preserve"> Defendant to drive him home thereafter.</w:t>
      </w:r>
    </w:p>
    <w:p w:rsidR="008B6E3D" w:rsidRPr="008B6E3D" w:rsidRDefault="008B6E3D" w:rsidP="008B6E3D">
      <w:pPr>
        <w:pStyle w:val="Final"/>
        <w:rPr>
          <w:rFonts w:eastAsia="PMingLiU"/>
          <w:lang w:eastAsia="zh-TW"/>
        </w:rPr>
      </w:pPr>
      <w:r w:rsidRPr="00293876">
        <w:t>The Plaintiff’s Police Statement dated 18 September 2015 stated that at around 10</w:t>
      </w:r>
      <w:r w:rsidR="002D2B4A">
        <w:t xml:space="preserve"> </w:t>
      </w:r>
      <w:r w:rsidRPr="00293876">
        <w:t>pm the Plaintiff allowed the 1</w:t>
      </w:r>
      <w:r w:rsidRPr="00293876">
        <w:rPr>
          <w:vertAlign w:val="superscript"/>
        </w:rPr>
        <w:t>st</w:t>
      </w:r>
      <w:r w:rsidRPr="00293876">
        <w:t xml:space="preserve"> Defendant to drive the Vehicle and they went to Tsuen Wan together for dinner.  At around 3:30 a.m. on 25 July 2015, the 1</w:t>
      </w:r>
      <w:r w:rsidRPr="00293876">
        <w:rPr>
          <w:vertAlign w:val="superscript"/>
        </w:rPr>
        <w:t>st</w:t>
      </w:r>
      <w:r w:rsidRPr="00293876">
        <w:t xml:space="preserve"> Defendant drove the Plaintiff home because the Plaintiff had consumed alcohol.  The Plaintiff thought that the 1</w:t>
      </w:r>
      <w:r w:rsidRPr="00293876">
        <w:rPr>
          <w:vertAlign w:val="superscript"/>
        </w:rPr>
        <w:t>st</w:t>
      </w:r>
      <w:r w:rsidRPr="00293876">
        <w:t xml:space="preserve"> Defendant did not consume any alcohol.  Against this background, </w:t>
      </w:r>
      <w:r w:rsidR="002D2B4A">
        <w:t xml:space="preserve">I am of the view that </w:t>
      </w:r>
      <w:r w:rsidRPr="00293876">
        <w:t xml:space="preserve">the Plaintiff’s </w:t>
      </w:r>
      <w:r w:rsidR="00D71067">
        <w:t xml:space="preserve">mere </w:t>
      </w:r>
      <w:r w:rsidRPr="00293876">
        <w:t>allegation that he thought the 1</w:t>
      </w:r>
      <w:r w:rsidRPr="00293876">
        <w:rPr>
          <w:vertAlign w:val="superscript"/>
        </w:rPr>
        <w:t>st</w:t>
      </w:r>
      <w:r w:rsidRPr="00293876">
        <w:t xml:space="preserve"> Defendant did not consume any alcohol </w:t>
      </w:r>
      <w:r w:rsidR="00D71067">
        <w:t>could not be supported by evidence</w:t>
      </w:r>
      <w:r w:rsidRPr="00293876">
        <w:t>.</w:t>
      </w:r>
      <w:r w:rsidR="00D71067">
        <w:t xml:space="preserve">  The Plaintiff’s contributory negligence could be established by inference from circumstantial evidence.</w:t>
      </w:r>
    </w:p>
    <w:p w:rsidR="008B6E3D" w:rsidRPr="008B6E3D" w:rsidRDefault="008B6E3D" w:rsidP="008B6E3D">
      <w:pPr>
        <w:pStyle w:val="Final"/>
      </w:pPr>
      <w:r w:rsidRPr="00293876">
        <w:t xml:space="preserve">The facts of the present case are similar to that of </w:t>
      </w:r>
      <w:r w:rsidRPr="00293876">
        <w:rPr>
          <w:b/>
          <w:i/>
        </w:rPr>
        <w:t>Chan Ah Kau v Ng Tin Tai</w:t>
      </w:r>
      <w:r w:rsidRPr="00293876">
        <w:t>, HCPI 33/2000 (unreported, 1 February 2001)</w:t>
      </w:r>
      <w:r w:rsidR="005C1A06">
        <w:rPr>
          <w:rStyle w:val="FootnoteReference"/>
        </w:rPr>
        <w:footnoteReference w:id="1"/>
      </w:r>
      <w:r w:rsidRPr="00293876">
        <w:t xml:space="preserve">.  In that case, the plaintiff, the defendant and two other friends visited bars in </w:t>
      </w:r>
      <w:r w:rsidR="005059B8">
        <w:t>Wanc</w:t>
      </w:r>
      <w:r w:rsidRPr="00293876">
        <w:t>hai area and there all four of them had consumed a number of alcoholic drinks until about 6:00 a.m. the following morning.  All of them got into the defendant</w:t>
      </w:r>
      <w:r w:rsidR="00C965F2">
        <w:t>’</w:t>
      </w:r>
      <w:r w:rsidRPr="00293876">
        <w:t xml:space="preserve">s car with the defendant driving. </w:t>
      </w:r>
      <w:r w:rsidR="007817BD">
        <w:t xml:space="preserve"> </w:t>
      </w:r>
      <w:r w:rsidRPr="00293876">
        <w:t xml:space="preserve">The defendant's car crashed through the pedestrian railing, mounted the pavement, knocked down a lamp post, crashed into a telephone booth and came to rest after hitting the front of a shop. </w:t>
      </w:r>
      <w:r w:rsidR="007817BD">
        <w:t xml:space="preserve"> </w:t>
      </w:r>
      <w:r w:rsidRPr="00293876">
        <w:t xml:space="preserve">As a result of that crash, the plaintiff suffered severe head injuries.  The court, after considering the cases of </w:t>
      </w:r>
      <w:r>
        <w:rPr>
          <w:b/>
          <w:i/>
        </w:rPr>
        <w:t>Owens v</w:t>
      </w:r>
      <w:r w:rsidRPr="008B6E3D">
        <w:rPr>
          <w:b/>
          <w:i/>
        </w:rPr>
        <w:t xml:space="preserve"> Brimmell</w:t>
      </w:r>
      <w:r w:rsidRPr="00293876">
        <w:t xml:space="preserve"> [1977] 1 QB 859 and </w:t>
      </w:r>
      <w:r>
        <w:rPr>
          <w:b/>
          <w:i/>
        </w:rPr>
        <w:t>Morton v</w:t>
      </w:r>
      <w:r w:rsidRPr="008B6E3D">
        <w:rPr>
          <w:b/>
          <w:i/>
        </w:rPr>
        <w:t xml:space="preserve"> Knight</w:t>
      </w:r>
      <w:r w:rsidRPr="00293876">
        <w:t xml:space="preserve"> [1990] 2 Qd R 419, decided that the </w:t>
      </w:r>
      <w:r w:rsidR="005059B8">
        <w:t>p</w:t>
      </w:r>
      <w:r w:rsidRPr="00293876">
        <w:t>laintiff</w:t>
      </w:r>
      <w:r w:rsidR="007817BD">
        <w:t>’</w:t>
      </w:r>
      <w:r w:rsidRPr="00293876">
        <w:t>s own contributory negligence should be assessed at 20%.</w:t>
      </w:r>
    </w:p>
    <w:p w:rsidR="008B6E3D" w:rsidRDefault="008B6E3D" w:rsidP="008B6E3D">
      <w:pPr>
        <w:pStyle w:val="Final"/>
      </w:pPr>
      <w:r w:rsidRPr="00293876">
        <w:t>Adopting the same principle, it is reasonable that the Plaintiff’s own contributory negligence in the present case be assessed at 20%.</w:t>
      </w:r>
    </w:p>
    <w:p w:rsidR="008B6E3D" w:rsidRPr="005059B8" w:rsidRDefault="008B6E3D" w:rsidP="008B6E3D">
      <w:pPr>
        <w:pStyle w:val="H-1"/>
        <w:rPr>
          <w:b/>
        </w:rPr>
      </w:pPr>
      <w:r w:rsidRPr="005059B8">
        <w:rPr>
          <w:b/>
        </w:rPr>
        <w:t>Summary</w:t>
      </w:r>
    </w:p>
    <w:p w:rsidR="008B6E3D" w:rsidRPr="008B6E3D" w:rsidRDefault="008B6E3D" w:rsidP="008B6E3D">
      <w:pPr>
        <w:pStyle w:val="Final"/>
      </w:pPr>
      <w:r w:rsidRPr="00293876">
        <w:t>In view of the above, and taking into account the Plaintiff’s contributory negligence, the total amount of damages should be: ($300,000 + $450,456.61 + $85,176) x 80% = $668,506.</w:t>
      </w:r>
    </w:p>
    <w:p w:rsidR="008B6E3D" w:rsidRDefault="008B6E3D" w:rsidP="008B6E3D">
      <w:pPr>
        <w:pStyle w:val="Final"/>
      </w:pPr>
      <w:r w:rsidRPr="00293876">
        <w:t>I am satisfied that the settlement sum of $400,000 is reasonable in the circumstances.</w:t>
      </w:r>
    </w:p>
    <w:p w:rsidR="008B6E3D" w:rsidRPr="005059B8" w:rsidRDefault="008B6E3D" w:rsidP="008B6E3D">
      <w:pPr>
        <w:pStyle w:val="H-1"/>
        <w:ind w:left="0" w:firstLine="0"/>
        <w:rPr>
          <w:b/>
        </w:rPr>
      </w:pPr>
      <w:r w:rsidRPr="005059B8">
        <w:rPr>
          <w:b/>
        </w:rPr>
        <w:t>Recovery of legal costs</w:t>
      </w:r>
    </w:p>
    <w:p w:rsidR="008B6E3D" w:rsidRPr="008B6E3D" w:rsidRDefault="008B6E3D" w:rsidP="008B6E3D">
      <w:pPr>
        <w:pStyle w:val="Final"/>
      </w:pPr>
      <w:r w:rsidRPr="00293876">
        <w:t xml:space="preserve">It was held in </w:t>
      </w:r>
      <w:r w:rsidRPr="00293876">
        <w:rPr>
          <w:b/>
          <w:i/>
        </w:rPr>
        <w:t>Chan Chung Leung v DHL Express (HK) Ltd</w:t>
      </w:r>
      <w:r w:rsidRPr="00293876">
        <w:t xml:space="preserve">, DCPI 1759/2010 (unreported, 6 January 2010) that the indemnity would include the </w:t>
      </w:r>
      <w:r>
        <w:t>amount of legal fees which a d</w:t>
      </w:r>
      <w:r w:rsidRPr="00293876">
        <w:t xml:space="preserve">efendant had to pay to its own lawyers to deal with the </w:t>
      </w:r>
      <w:r>
        <w:t>p</w:t>
      </w:r>
      <w:r w:rsidRPr="00293876">
        <w:t>laintiff's claim</w:t>
      </w:r>
      <w:r w:rsidR="00125C04">
        <w:t>: see also</w:t>
      </w:r>
      <w:r w:rsidRPr="00293876">
        <w:t xml:space="preserve"> </w:t>
      </w:r>
      <w:r w:rsidRPr="00293876">
        <w:rPr>
          <w:b/>
          <w:i/>
        </w:rPr>
        <w:t>So Wing Kw</w:t>
      </w:r>
      <w:r w:rsidR="00C1697D">
        <w:rPr>
          <w:b/>
          <w:i/>
        </w:rPr>
        <w:t>ong v</w:t>
      </w:r>
      <w:r w:rsidRPr="00293876">
        <w:rPr>
          <w:b/>
          <w:i/>
        </w:rPr>
        <w:t xml:space="preserve"> Cheng Chi Kwong</w:t>
      </w:r>
      <w:r w:rsidRPr="00293876">
        <w:t xml:space="preserve"> [1999] 3 HKLRD 689.  Accordingly, the extent of the indemnity should include the reasonable costs paid by the 2</w:t>
      </w:r>
      <w:r w:rsidRPr="00293876">
        <w:rPr>
          <w:vertAlign w:val="superscript"/>
        </w:rPr>
        <w:t>nd</w:t>
      </w:r>
      <w:r w:rsidRPr="00293876">
        <w:t xml:space="preserve"> Defendant to the Plaintiff and the 2</w:t>
      </w:r>
      <w:r w:rsidRPr="00293876">
        <w:rPr>
          <w:vertAlign w:val="superscript"/>
        </w:rPr>
        <w:t>nd</w:t>
      </w:r>
      <w:r w:rsidRPr="00293876">
        <w:t xml:space="preserve"> Defendant’s own costs in defending the action.</w:t>
      </w:r>
    </w:p>
    <w:p w:rsidR="008B6E3D" w:rsidRPr="008B6E3D" w:rsidRDefault="008B6E3D" w:rsidP="008B6E3D">
      <w:pPr>
        <w:pStyle w:val="Final"/>
      </w:pPr>
      <w:r w:rsidRPr="00293876">
        <w:t>The 2</w:t>
      </w:r>
      <w:r w:rsidRPr="00293876">
        <w:rPr>
          <w:vertAlign w:val="superscript"/>
        </w:rPr>
        <w:t>nd</w:t>
      </w:r>
      <w:r w:rsidRPr="00293876">
        <w:t xml:space="preserve"> Defendant and the Plaintiff agreed to settle the Plaintiff’s legal costs at $180,000, comprising profit costs of $148,100 and disbursement of $31,900. </w:t>
      </w:r>
    </w:p>
    <w:p w:rsidR="008B6E3D" w:rsidRPr="008B6E3D" w:rsidRDefault="008B6E3D" w:rsidP="008B6E3D">
      <w:pPr>
        <w:pStyle w:val="Final"/>
      </w:pPr>
      <w:r w:rsidRPr="00293876">
        <w:t>The issue is whether the defence and the amount of costs are reasonable.  The 2</w:t>
      </w:r>
      <w:r w:rsidRPr="00293876">
        <w:rPr>
          <w:vertAlign w:val="superscript"/>
        </w:rPr>
        <w:t>nd</w:t>
      </w:r>
      <w:r w:rsidRPr="00293876">
        <w:t xml:space="preserve"> Defendant had put up a defence in the </w:t>
      </w:r>
      <w:r w:rsidR="005059B8">
        <w:t>M</w:t>
      </w:r>
      <w:r w:rsidRPr="00293876">
        <w:t xml:space="preserve">ain </w:t>
      </w:r>
      <w:r w:rsidR="005059B8">
        <w:t>A</w:t>
      </w:r>
      <w:r w:rsidRPr="00293876">
        <w:t xml:space="preserve">ction </w:t>
      </w:r>
      <w:r w:rsidR="005059B8">
        <w:t xml:space="preserve">arguing </w:t>
      </w:r>
      <w:r w:rsidR="005059B8" w:rsidRPr="005059B8">
        <w:rPr>
          <w:i/>
        </w:rPr>
        <w:t>inter alia</w:t>
      </w:r>
      <w:r w:rsidR="005059B8">
        <w:t xml:space="preserve"> that the Plaintiff failed to wear a seat belt, and that the Plaintiff ought to have known that the 1</w:t>
      </w:r>
      <w:r w:rsidR="005059B8" w:rsidRPr="005059B8">
        <w:rPr>
          <w:vertAlign w:val="superscript"/>
        </w:rPr>
        <w:t>st</w:t>
      </w:r>
      <w:r w:rsidR="005059B8">
        <w:t xml:space="preserve"> Defendant was intoxicated by alcohol.  I</w:t>
      </w:r>
      <w:r w:rsidRPr="00293876">
        <w:t xml:space="preserve"> do not think it was unreasonable for the 2</w:t>
      </w:r>
      <w:r w:rsidRPr="00293876">
        <w:rPr>
          <w:vertAlign w:val="superscript"/>
        </w:rPr>
        <w:t>nd</w:t>
      </w:r>
      <w:r w:rsidRPr="00293876">
        <w:t xml:space="preserve"> Defendant to put up </w:t>
      </w:r>
      <w:r w:rsidR="005059B8">
        <w:t xml:space="preserve">such </w:t>
      </w:r>
      <w:r w:rsidRPr="00293876">
        <w:t xml:space="preserve">a defence at the initial stage.  The </w:t>
      </w:r>
      <w:r w:rsidR="005059B8">
        <w:t>M</w:t>
      </w:r>
      <w:r w:rsidRPr="00293876">
        <w:t xml:space="preserve">ain </w:t>
      </w:r>
      <w:r w:rsidR="005059B8">
        <w:t>A</w:t>
      </w:r>
      <w:r w:rsidRPr="00293876">
        <w:t>ction was settled after the filing of the Answer to the Revised Statement of Damages.  Witness statements have been exchanged and expert medical report was compiled.  I note that no counsel was retained and a single expert was instructed. I am satisfied that the costs of $180,000 is reasonable.</w:t>
      </w:r>
    </w:p>
    <w:p w:rsidR="008B6E3D" w:rsidRPr="00293876" w:rsidRDefault="008B6E3D" w:rsidP="008B6E3D">
      <w:pPr>
        <w:pStyle w:val="Final"/>
      </w:pPr>
      <w:r w:rsidRPr="00293876">
        <w:t>In respect of the 2</w:t>
      </w:r>
      <w:r w:rsidRPr="00293876">
        <w:rPr>
          <w:vertAlign w:val="superscript"/>
        </w:rPr>
        <w:t>nd</w:t>
      </w:r>
      <w:r w:rsidRPr="00293876">
        <w:t xml:space="preserve"> Defendant’s own costs, the relevant fee notes were produced.  I note that the costs in relation to the contribution proceedings and the third party proceedings were included in the fee notes.  Those costs were not incurred in defending the Plaintiff’s action and should not be </w:t>
      </w:r>
      <w:r w:rsidR="005059B8">
        <w:t>re</w:t>
      </w:r>
      <w:r w:rsidR="00125C04">
        <w:t>covered</w:t>
      </w:r>
      <w:r w:rsidRPr="00293876">
        <w:t xml:space="preserve"> under this item.  </w:t>
      </w:r>
      <w:r w:rsidR="00D71067">
        <w:t>Counsel for the 2</w:t>
      </w:r>
      <w:r w:rsidR="00D71067" w:rsidRPr="00D71067">
        <w:rPr>
          <w:vertAlign w:val="superscript"/>
        </w:rPr>
        <w:t>nd</w:t>
      </w:r>
      <w:r w:rsidR="00D71067">
        <w:t xml:space="preserve"> Defendant also </w:t>
      </w:r>
      <w:r w:rsidR="00883405">
        <w:t>conceded</w:t>
      </w:r>
      <w:r w:rsidR="00D71067">
        <w:t xml:space="preserve"> at the assessment hearing that those items should be taken out from the bill.  </w:t>
      </w:r>
      <w:r w:rsidRPr="00293876">
        <w:t>Further, I note that on the 2</w:t>
      </w:r>
      <w:r w:rsidRPr="00293876">
        <w:rPr>
          <w:vertAlign w:val="superscript"/>
        </w:rPr>
        <w:t>nd</w:t>
      </w:r>
      <w:r w:rsidRPr="00293876">
        <w:t xml:space="preserve"> Defendant’s part, no counsel </w:t>
      </w:r>
      <w:r w:rsidR="00D71067">
        <w:t>fee or</w:t>
      </w:r>
      <w:r w:rsidRPr="00293876">
        <w:t xml:space="preserve"> expert fee was incurred</w:t>
      </w:r>
      <w:r w:rsidR="00D71067">
        <w:t xml:space="preserve"> in defending the Plaintiff’s claim</w:t>
      </w:r>
      <w:r w:rsidRPr="00293876">
        <w:t>.  Having considered all the circumstances, I am of the view that the costs of $1</w:t>
      </w:r>
      <w:r>
        <w:t>0</w:t>
      </w:r>
      <w:r w:rsidRPr="00293876">
        <w:t>0,000 is reasonable.</w:t>
      </w:r>
    </w:p>
    <w:p w:rsidR="008B6E3D" w:rsidRPr="00AD01FD" w:rsidRDefault="008B6E3D" w:rsidP="008B6E3D">
      <w:pPr>
        <w:pStyle w:val="H-1"/>
        <w:rPr>
          <w:b/>
        </w:rPr>
      </w:pPr>
      <w:r w:rsidRPr="00AD01FD">
        <w:rPr>
          <w:b/>
        </w:rPr>
        <w:t>Conclusion</w:t>
      </w:r>
    </w:p>
    <w:p w:rsidR="008B6E3D" w:rsidRPr="008B6E3D" w:rsidRDefault="008B6E3D" w:rsidP="008B6E3D">
      <w:pPr>
        <w:pStyle w:val="Final"/>
      </w:pPr>
      <w:r w:rsidRPr="00293876">
        <w:t>The 2</w:t>
      </w:r>
      <w:r w:rsidRPr="00293876">
        <w:rPr>
          <w:vertAlign w:val="superscript"/>
        </w:rPr>
        <w:t>nd</w:t>
      </w:r>
      <w:r w:rsidRPr="00293876">
        <w:t xml:space="preserve"> Defendant’s damages are therefore assessed at $6</w:t>
      </w:r>
      <w:r>
        <w:t>8</w:t>
      </w:r>
      <w:r w:rsidRPr="00293876">
        <w:t>0,000 (i.e. $400,000 + $180,000 + $1</w:t>
      </w:r>
      <w:r>
        <w:t>0</w:t>
      </w:r>
      <w:r w:rsidRPr="00293876">
        <w:t>0,000). </w:t>
      </w:r>
    </w:p>
    <w:p w:rsidR="008B6E3D" w:rsidRPr="008B6E3D" w:rsidRDefault="008B6E3D" w:rsidP="008B6E3D">
      <w:pPr>
        <w:pStyle w:val="Final"/>
      </w:pPr>
      <w:r w:rsidRPr="00293876">
        <w:t>The 2</w:t>
      </w:r>
      <w:r w:rsidRPr="00293876">
        <w:rPr>
          <w:vertAlign w:val="superscript"/>
        </w:rPr>
        <w:t>nd</w:t>
      </w:r>
      <w:r w:rsidRPr="00293876">
        <w:t xml:space="preserve"> Defendant shall be entitled to interest on the settlement sum of $400,000 at half of the judgment rate from the date of the Notice of Contribution and Indemnity and/or Third Party Notice to the date hereof and thereafter at judgment rate until payment. Interest on the legal costs of $180,000 and $1</w:t>
      </w:r>
      <w:r>
        <w:t>0</w:t>
      </w:r>
      <w:r w:rsidRPr="00293876">
        <w:t>0,000 at half of the judgment rate from the respective dates of payment</w:t>
      </w:r>
      <w:r w:rsidR="005059B8">
        <w:t>s</w:t>
      </w:r>
      <w:r w:rsidRPr="00293876">
        <w:t xml:space="preserve"> by the 2</w:t>
      </w:r>
      <w:r w:rsidRPr="00293876">
        <w:rPr>
          <w:vertAlign w:val="superscript"/>
        </w:rPr>
        <w:t>nd</w:t>
      </w:r>
      <w:r w:rsidRPr="00293876">
        <w:t xml:space="preserve"> Defendant to the date hereof and thereafter at judgment rate until payment.</w:t>
      </w:r>
    </w:p>
    <w:p w:rsidR="008B6E3D" w:rsidRPr="008B6E3D" w:rsidRDefault="008B6E3D" w:rsidP="008B6E3D">
      <w:pPr>
        <w:pStyle w:val="Final"/>
      </w:pPr>
      <w:r w:rsidRPr="00293876">
        <w:t xml:space="preserve">There be a costs order </w:t>
      </w:r>
      <w:r w:rsidRPr="00293876">
        <w:rPr>
          <w:i/>
        </w:rPr>
        <w:t>nisi</w:t>
      </w:r>
      <w:r w:rsidRPr="00293876">
        <w:t xml:space="preserve"> that the 2</w:t>
      </w:r>
      <w:r w:rsidRPr="00293876">
        <w:rPr>
          <w:vertAlign w:val="superscript"/>
        </w:rPr>
        <w:t>nd</w:t>
      </w:r>
      <w:r w:rsidRPr="00293876">
        <w:t xml:space="preserve"> Defendant </w:t>
      </w:r>
      <w:r w:rsidR="005059B8">
        <w:t>shall</w:t>
      </w:r>
      <w:r w:rsidRPr="00293876">
        <w:t xml:space="preserve"> also be entitled to the costs of the assessme</w:t>
      </w:r>
      <w:r w:rsidR="005059B8">
        <w:t>nt with certificate for counsel</w:t>
      </w:r>
      <w:r w:rsidRPr="00293876">
        <w:t>, and such costs shall be taxed if not agreed. </w:t>
      </w:r>
    </w:p>
    <w:p w:rsidR="008B6E3D" w:rsidRPr="007B12FB" w:rsidRDefault="008B6E3D" w:rsidP="008B6E3D">
      <w:pPr>
        <w:pStyle w:val="Final"/>
        <w:rPr>
          <w:rFonts w:eastAsia="Times New Roman"/>
          <w:szCs w:val="28"/>
        </w:rPr>
      </w:pPr>
      <w:r w:rsidRPr="007B12FB">
        <w:t>Should the 1</w:t>
      </w:r>
      <w:r w:rsidRPr="007B12FB">
        <w:rPr>
          <w:vertAlign w:val="superscript"/>
        </w:rPr>
        <w:t>st</w:t>
      </w:r>
      <w:r w:rsidRPr="007B12FB">
        <w:t xml:space="preserve"> Defendant require translation of this judgment into Chinese language, she can contact my clerk to arrange an appointment for a court interpreter to verbally translate this judgment to her at the District Court at a mutually convenient time.</w:t>
      </w:r>
    </w:p>
    <w:p w:rsidR="005E08FA" w:rsidRPr="00032C3E" w:rsidRDefault="005E08FA" w:rsidP="005E08FA">
      <w:pPr>
        <w:pStyle w:val="Final"/>
        <w:numPr>
          <w:ilvl w:val="0"/>
          <w:numId w:val="0"/>
        </w:numPr>
      </w:pPr>
    </w:p>
    <w:p w:rsidR="00842C85" w:rsidRPr="00007FDC" w:rsidRDefault="00842C85" w:rsidP="00782AE3">
      <w:pPr>
        <w:spacing w:line="360" w:lineRule="auto"/>
        <w:rPr>
          <w:rFonts w:eastAsia="PMingLiU"/>
          <w:sz w:val="28"/>
          <w:szCs w:val="28"/>
          <w:lang w:eastAsia="zh-HK"/>
        </w:rPr>
      </w:pPr>
    </w:p>
    <w:p w:rsidR="00842C85" w:rsidRPr="00811C6E" w:rsidRDefault="00271B99" w:rsidP="0007522E">
      <w:pPr>
        <w:spacing w:line="360" w:lineRule="auto"/>
        <w:ind w:left="5040"/>
        <w:jc w:val="center"/>
        <w:rPr>
          <w:rFonts w:eastAsia="PMingLiU"/>
          <w:b/>
          <w:sz w:val="28"/>
          <w:szCs w:val="28"/>
          <w:lang w:eastAsia="zh-HK"/>
        </w:rPr>
      </w:pPr>
      <w:r>
        <w:rPr>
          <w:rFonts w:eastAsia="PMingLiU"/>
          <w:b/>
          <w:sz w:val="28"/>
          <w:szCs w:val="28"/>
          <w:lang w:eastAsia="zh-HK"/>
        </w:rPr>
        <w:t xml:space="preserve"> </w:t>
      </w:r>
    </w:p>
    <w:p w:rsidR="00CB7F0B" w:rsidRPr="00007FDC" w:rsidRDefault="00CB7F0B" w:rsidP="0007522E">
      <w:pPr>
        <w:spacing w:line="360" w:lineRule="auto"/>
        <w:ind w:left="5040"/>
        <w:jc w:val="center"/>
        <w:rPr>
          <w:rFonts w:eastAsia="PMingLiU"/>
          <w:sz w:val="28"/>
          <w:szCs w:val="28"/>
          <w:lang w:eastAsia="zh-HK"/>
        </w:rPr>
      </w:pPr>
    </w:p>
    <w:p w:rsidR="00973673" w:rsidRPr="00007FDC" w:rsidRDefault="00973673" w:rsidP="00E368EC">
      <w:pPr>
        <w:ind w:left="5040"/>
        <w:jc w:val="center"/>
        <w:rPr>
          <w:rFonts w:eastAsia="PMingLiU"/>
          <w:sz w:val="28"/>
          <w:szCs w:val="28"/>
          <w:lang w:eastAsia="zh-HK"/>
        </w:rPr>
      </w:pPr>
      <w:r w:rsidRPr="00007FDC">
        <w:rPr>
          <w:rFonts w:eastAsia="PMingLiU"/>
          <w:sz w:val="28"/>
          <w:szCs w:val="28"/>
          <w:lang w:eastAsia="zh-HK"/>
        </w:rPr>
        <w:t>(</w:t>
      </w:r>
      <w:r w:rsidR="00816510">
        <w:rPr>
          <w:rFonts w:eastAsia="PMingLiU"/>
          <w:sz w:val="28"/>
          <w:szCs w:val="28"/>
          <w:lang w:eastAsia="zh-HK"/>
        </w:rPr>
        <w:t>Matthew Leung</w:t>
      </w:r>
      <w:r w:rsidRPr="00007FDC">
        <w:rPr>
          <w:rFonts w:eastAsia="PMingLiU"/>
          <w:sz w:val="28"/>
          <w:szCs w:val="28"/>
          <w:lang w:eastAsia="zh-HK"/>
        </w:rPr>
        <w:t>)</w:t>
      </w:r>
    </w:p>
    <w:p w:rsidR="00973673" w:rsidRPr="004562D5" w:rsidRDefault="009A0459" w:rsidP="00E368EC">
      <w:pPr>
        <w:ind w:left="5040"/>
        <w:jc w:val="center"/>
        <w:rPr>
          <w:rFonts w:eastAsia="PMingLiU" w:hint="eastAsia"/>
          <w:sz w:val="28"/>
          <w:szCs w:val="28"/>
          <w:lang w:eastAsia="zh-HK"/>
        </w:rPr>
      </w:pPr>
      <w:r w:rsidRPr="00007FDC">
        <w:rPr>
          <w:sz w:val="28"/>
          <w:szCs w:val="28"/>
        </w:rPr>
        <w:t>Master</w:t>
      </w:r>
      <w:r w:rsidR="00E117EC">
        <w:rPr>
          <w:rFonts w:eastAsia="PMingLiU"/>
          <w:sz w:val="28"/>
          <w:szCs w:val="28"/>
          <w:lang w:eastAsia="zh-HK"/>
        </w:rPr>
        <w:t xml:space="preserve"> of the</w:t>
      </w:r>
      <w:r w:rsidR="00AD01FD">
        <w:rPr>
          <w:rFonts w:eastAsia="PMingLiU" w:hint="eastAsia"/>
          <w:sz w:val="28"/>
          <w:szCs w:val="28"/>
          <w:lang w:eastAsia="zh-HK"/>
        </w:rPr>
        <w:t xml:space="preserve"> </w:t>
      </w:r>
      <w:r w:rsidR="00C337B8" w:rsidRPr="004562D5">
        <w:rPr>
          <w:rFonts w:eastAsia="PMingLiU" w:hint="eastAsia"/>
          <w:sz w:val="28"/>
          <w:szCs w:val="28"/>
          <w:lang w:eastAsia="zh-HK"/>
        </w:rPr>
        <w:t>District Court</w:t>
      </w:r>
    </w:p>
    <w:p w:rsidR="008B6E3D" w:rsidRDefault="008B6E3D" w:rsidP="0007522E">
      <w:pPr>
        <w:spacing w:line="360" w:lineRule="auto"/>
        <w:rPr>
          <w:sz w:val="28"/>
          <w:szCs w:val="28"/>
        </w:rPr>
      </w:pPr>
    </w:p>
    <w:p w:rsidR="00C965F2" w:rsidRPr="00007FDC" w:rsidRDefault="00C965F2" w:rsidP="0007522E">
      <w:pPr>
        <w:spacing w:line="360" w:lineRule="auto"/>
        <w:rPr>
          <w:sz w:val="28"/>
          <w:szCs w:val="28"/>
        </w:rPr>
      </w:pPr>
    </w:p>
    <w:p w:rsidR="006C523D" w:rsidRDefault="006C523D" w:rsidP="0007522E">
      <w:pPr>
        <w:pStyle w:val="para"/>
        <w:numPr>
          <w:ilvl w:val="0"/>
          <w:numId w:val="0"/>
        </w:numPr>
        <w:spacing w:before="0"/>
        <w:rPr>
          <w:color w:val="000000"/>
          <w:szCs w:val="28"/>
          <w:lang w:val="en-US"/>
        </w:rPr>
      </w:pPr>
      <w:r>
        <w:rPr>
          <w:color w:val="000000"/>
          <w:szCs w:val="28"/>
          <w:lang w:val="en-US"/>
        </w:rPr>
        <w:t>The 1</w:t>
      </w:r>
      <w:r w:rsidRPr="006C523D">
        <w:rPr>
          <w:color w:val="000000"/>
          <w:szCs w:val="28"/>
          <w:vertAlign w:val="superscript"/>
          <w:lang w:val="en-US"/>
        </w:rPr>
        <w:t>st</w:t>
      </w:r>
      <w:r>
        <w:rPr>
          <w:color w:val="000000"/>
          <w:szCs w:val="28"/>
          <w:lang w:val="en-US"/>
        </w:rPr>
        <w:t xml:space="preserve"> Defendant appeared in person </w:t>
      </w:r>
    </w:p>
    <w:p w:rsidR="009B2D05" w:rsidRDefault="009B2D05" w:rsidP="0007522E">
      <w:pPr>
        <w:pStyle w:val="para"/>
        <w:numPr>
          <w:ilvl w:val="0"/>
          <w:numId w:val="0"/>
        </w:numPr>
        <w:spacing w:before="0"/>
        <w:rPr>
          <w:rFonts w:eastAsia="PMingLiU"/>
          <w:color w:val="000000"/>
          <w:szCs w:val="28"/>
          <w:lang w:val="en-US" w:eastAsia="zh-HK"/>
        </w:rPr>
      </w:pPr>
      <w:r>
        <w:rPr>
          <w:color w:val="000000"/>
          <w:szCs w:val="28"/>
          <w:lang w:val="en-US"/>
        </w:rPr>
        <w:t>Mr</w:t>
      </w:r>
      <w:r w:rsidRPr="009B2D05">
        <w:rPr>
          <w:color w:val="000000"/>
          <w:szCs w:val="28"/>
          <w:lang w:val="en-US"/>
        </w:rPr>
        <w:t xml:space="preserve"> Leon</w:t>
      </w:r>
      <w:r>
        <w:rPr>
          <w:color w:val="000000"/>
          <w:szCs w:val="28"/>
          <w:lang w:val="en-US"/>
        </w:rPr>
        <w:t xml:space="preserve"> Ho</w:t>
      </w:r>
      <w:r w:rsidRPr="009B2D05">
        <w:rPr>
          <w:color w:val="000000"/>
          <w:szCs w:val="28"/>
          <w:lang w:val="en-US"/>
        </w:rPr>
        <w:t>, instructed by Yu &amp; Associates</w:t>
      </w:r>
      <w:r>
        <w:rPr>
          <w:color w:val="000000"/>
          <w:szCs w:val="28"/>
          <w:lang w:val="en-US"/>
        </w:rPr>
        <w:t>, for</w:t>
      </w:r>
      <w:r w:rsidRPr="009B2D05">
        <w:rPr>
          <w:color w:val="000000"/>
          <w:szCs w:val="28"/>
          <w:lang w:val="en-US"/>
        </w:rPr>
        <w:t xml:space="preserve"> </w:t>
      </w:r>
      <w:r>
        <w:rPr>
          <w:color w:val="000000"/>
          <w:szCs w:val="28"/>
          <w:lang w:val="en-US"/>
        </w:rPr>
        <w:t>t</w:t>
      </w:r>
      <w:r w:rsidR="00E70813" w:rsidRPr="00007FDC">
        <w:rPr>
          <w:color w:val="000000"/>
          <w:szCs w:val="28"/>
          <w:lang w:val="en-US"/>
        </w:rPr>
        <w:t xml:space="preserve">he </w:t>
      </w:r>
      <w:r w:rsidR="006C523D">
        <w:rPr>
          <w:color w:val="000000"/>
          <w:szCs w:val="28"/>
          <w:lang w:val="en-US"/>
        </w:rPr>
        <w:t>2</w:t>
      </w:r>
      <w:r w:rsidR="006C523D" w:rsidRPr="006C523D">
        <w:rPr>
          <w:color w:val="000000"/>
          <w:szCs w:val="28"/>
          <w:vertAlign w:val="superscript"/>
          <w:lang w:val="en-US"/>
        </w:rPr>
        <w:t>nd</w:t>
      </w:r>
      <w:r w:rsidR="006C523D">
        <w:rPr>
          <w:color w:val="000000"/>
          <w:szCs w:val="28"/>
          <w:lang w:val="en-US"/>
        </w:rPr>
        <w:t xml:space="preserve"> </w:t>
      </w:r>
      <w:r w:rsidR="00782AE3">
        <w:rPr>
          <w:rFonts w:eastAsia="PMingLiU"/>
          <w:color w:val="000000"/>
          <w:szCs w:val="28"/>
          <w:lang w:val="en-US" w:eastAsia="zh-HK"/>
        </w:rPr>
        <w:t>D</w:t>
      </w:r>
      <w:r w:rsidR="00A115C2" w:rsidRPr="00007FDC">
        <w:rPr>
          <w:rFonts w:eastAsia="PMingLiU"/>
          <w:color w:val="000000"/>
          <w:szCs w:val="28"/>
          <w:lang w:val="en-US" w:eastAsia="zh-HK"/>
        </w:rPr>
        <w:t>efendant</w:t>
      </w:r>
      <w:r w:rsidR="003B708D" w:rsidRPr="00007FDC">
        <w:rPr>
          <w:rFonts w:eastAsia="PMingLiU"/>
          <w:color w:val="000000"/>
          <w:szCs w:val="28"/>
          <w:lang w:val="en-US" w:eastAsia="zh-HK"/>
        </w:rPr>
        <w:t xml:space="preserve"> </w:t>
      </w:r>
    </w:p>
    <w:p w:rsidR="007969F6" w:rsidRPr="00007FDC" w:rsidRDefault="006C523D" w:rsidP="0007522E">
      <w:pPr>
        <w:pStyle w:val="para"/>
        <w:numPr>
          <w:ilvl w:val="0"/>
          <w:numId w:val="0"/>
        </w:numPr>
        <w:spacing w:before="0"/>
        <w:rPr>
          <w:rFonts w:eastAsia="PMingLiU"/>
          <w:color w:val="000000"/>
          <w:szCs w:val="28"/>
          <w:lang w:val="en-US" w:eastAsia="zh-HK"/>
        </w:rPr>
      </w:pPr>
      <w:r>
        <w:rPr>
          <w:rFonts w:eastAsia="PMingLiU"/>
          <w:color w:val="000000"/>
          <w:szCs w:val="28"/>
          <w:lang w:val="en-US" w:eastAsia="zh-HK"/>
        </w:rPr>
        <w:t xml:space="preserve">The Third Party </w:t>
      </w:r>
      <w:r w:rsidR="003B708D" w:rsidRPr="00007FDC">
        <w:rPr>
          <w:rFonts w:eastAsia="PMingLiU"/>
          <w:color w:val="000000"/>
          <w:szCs w:val="28"/>
          <w:lang w:val="en-US" w:eastAsia="zh-HK"/>
        </w:rPr>
        <w:t>is not represented and did not appear</w:t>
      </w:r>
    </w:p>
    <w:sectPr w:rsidR="007969F6" w:rsidRPr="00007FDC" w:rsidSect="00782AE3">
      <w:headerReference w:type="even" r:id="rId8"/>
      <w:headerReference w:type="default" r:id="rId9"/>
      <w:footerReference w:type="default" r:id="rId10"/>
      <w:headerReference w:type="first" r:id="rId11"/>
      <w:footerReference w:type="first" r:id="rId12"/>
      <w:pgSz w:w="11907" w:h="16840" w:code="9"/>
      <w:pgMar w:top="180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7F3D" w:rsidRDefault="00617F3D" w:rsidP="006B61E5">
      <w:r>
        <w:separator/>
      </w:r>
    </w:p>
  </w:endnote>
  <w:endnote w:type="continuationSeparator" w:id="0">
    <w:p w:rsidR="00617F3D" w:rsidRDefault="00617F3D"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7F3D" w:rsidRDefault="00617F3D" w:rsidP="006B61E5">
      <w:r>
        <w:separator/>
      </w:r>
    </w:p>
  </w:footnote>
  <w:footnote w:type="continuationSeparator" w:id="0">
    <w:p w:rsidR="00617F3D" w:rsidRDefault="00617F3D" w:rsidP="006B61E5">
      <w:r>
        <w:continuationSeparator/>
      </w:r>
    </w:p>
  </w:footnote>
  <w:footnote w:id="1">
    <w:p w:rsidR="005C1A06" w:rsidRDefault="005C1A06">
      <w:pPr>
        <w:pStyle w:val="FootnoteText"/>
        <w:rPr>
          <w:rFonts w:hint="eastAsia"/>
          <w:lang w:eastAsia="zh-CN"/>
        </w:rPr>
      </w:pPr>
      <w:r>
        <w:rPr>
          <w:rStyle w:val="FootnoteReference"/>
        </w:rPr>
        <w:footnoteRef/>
      </w:r>
      <w:r>
        <w:t xml:space="preserve"> </w:t>
      </w:r>
      <w:r>
        <w:rPr>
          <w:rFonts w:hint="eastAsia"/>
          <w:lang w:eastAsia="zh-CN"/>
        </w:rPr>
        <w:t>The defendant in that case lodged an appeal against the judgment under CACV 556/2001</w:t>
      </w:r>
      <w:r>
        <w:rPr>
          <w:lang w:eastAsia="zh-CN"/>
        </w:rPr>
        <w:t>, but the issue of contributory negligence was not challenged.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CF0B8A" w:rsidRDefault="00117CA2">
    <w:pPr>
      <w:pStyle w:val="Header"/>
      <w:framePr w:wrap="around" w:vAnchor="text" w:hAnchor="margin" w:xAlign="center" w:y="1"/>
      <w:rPr>
        <w:rStyle w:val="PageNumber"/>
        <w:sz w:val="28"/>
        <w:szCs w:val="28"/>
      </w:rPr>
    </w:pPr>
    <w:r w:rsidRPr="00CF0B8A">
      <w:rPr>
        <w:rStyle w:val="PageNumber"/>
        <w:sz w:val="28"/>
        <w:szCs w:val="28"/>
      </w:rPr>
      <w:t xml:space="preserve">- </w:t>
    </w:r>
    <w:r w:rsidRPr="00CF0B8A">
      <w:rPr>
        <w:rStyle w:val="PageNumber"/>
        <w:sz w:val="28"/>
        <w:szCs w:val="28"/>
      </w:rPr>
      <w:fldChar w:fldCharType="begin"/>
    </w:r>
    <w:r w:rsidRPr="00CF0B8A">
      <w:rPr>
        <w:rStyle w:val="PageNumber"/>
        <w:sz w:val="28"/>
        <w:szCs w:val="28"/>
      </w:rPr>
      <w:instrText xml:space="preserve">PAGE  </w:instrText>
    </w:r>
    <w:r w:rsidRPr="00CF0B8A">
      <w:rPr>
        <w:rStyle w:val="PageNumber"/>
        <w:sz w:val="28"/>
        <w:szCs w:val="28"/>
      </w:rPr>
      <w:fldChar w:fldCharType="separate"/>
    </w:r>
    <w:r w:rsidR="00271B99">
      <w:rPr>
        <w:rStyle w:val="PageNumber"/>
        <w:noProof/>
        <w:sz w:val="28"/>
        <w:szCs w:val="28"/>
      </w:rPr>
      <w:t>17</w:t>
    </w:r>
    <w:r w:rsidRPr="00CF0B8A">
      <w:rPr>
        <w:rStyle w:val="PageNumber"/>
        <w:sz w:val="28"/>
        <w:szCs w:val="28"/>
      </w:rPr>
      <w:fldChar w:fldCharType="end"/>
    </w:r>
    <w:r w:rsidRPr="00CF0B8A">
      <w:rPr>
        <w:rStyle w:val="PageNumber"/>
        <w:sz w:val="28"/>
        <w:szCs w:val="28"/>
      </w:rPr>
      <w:t xml:space="preserve"> -</w:t>
    </w:r>
  </w:p>
  <w:p w:rsidR="00117CA2" w:rsidRDefault="00117CA2">
    <w:pPr>
      <w:pStyle w:val="Header"/>
      <w:rPr>
        <w:rFonts w:hint="eastAsia"/>
      </w:rPr>
    </w:pPr>
  </w:p>
  <w:p w:rsidR="00117CA2" w:rsidRDefault="0012512A">
    <w:pPr>
      <w:pStyle w:val="Header"/>
      <w:rPr>
        <w:rFonts w:hint="eastAsia"/>
      </w:rPr>
    </w:pPr>
    <w:r>
      <w:rPr>
        <w:noProof/>
      </w:rPr>
    </w:r>
    <w:r w:rsidR="0012512A">
      <w:rPr>
        <w:noProof/>
      </w:rPr>
      <w:pict w14:anchorId="4FA672AE">
        <v:rect id="Rectangle 5" o:spid="_x0000_s1026" style="position:absolute;left:0;text-align:left;margin-left:441.75pt;margin-top:-21.1pt;width:15.75pt;height:80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12512A">
      <w:rPr>
        <w:noProof/>
      </w:rPr>
      <w:pict w14:anchorId="375A6BFF">
        <v:rect id="Rectangle 6" o:spid="_x0000_s1027" style="position:absolute;left:0;text-align:left;margin-left:-42pt;margin-top:-21.1pt;width:22.5pt;height:8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12512A">
    <w:pPr>
      <w:pStyle w:val="Header"/>
      <w:rPr>
        <w:b/>
        <w:sz w:val="28"/>
        <w:szCs w:val="28"/>
      </w:rPr>
    </w:pPr>
    <w:r>
      <w:rPr>
        <w:noProof/>
      </w:rPr>
    </w:r>
    <w:r w:rsidR="0012512A">
      <w:rPr>
        <w:noProof/>
      </w:rPr>
      <w:pict w14:anchorId="1B42C16E">
        <v:rect id="Rectangle 8" o:spid="_x0000_s1028" style="position:absolute;left:0;text-align:left;margin-left:444.75pt;margin-top:-18.1pt;width:15.75pt;height:8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Pr>
        <w:noProof/>
      </w:rPr>
    </w:r>
    <w:r w:rsidR="0012512A">
      <w:rPr>
        <w:noProof/>
      </w:rPr>
      <w:pict w14:anchorId="785EB8F1">
        <v:rect id="Rectangle 7" o:spid="_x0000_s1029" style="position:absolute;left:0;text-align:left;margin-left:-37.5pt;margin-top:-18.1pt;width:17.25pt;height:8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DE1"/>
    <w:multiLevelType w:val="hybridMultilevel"/>
    <w:tmpl w:val="C4C8A896"/>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2" w15:restartNumberingAfterBreak="0">
    <w:nsid w:val="06FD583A"/>
    <w:multiLevelType w:val="hybridMultilevel"/>
    <w:tmpl w:val="E23A550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4" w15:restartNumberingAfterBreak="0">
    <w:nsid w:val="0D85621A"/>
    <w:multiLevelType w:val="hybridMultilevel"/>
    <w:tmpl w:val="BDF626D2"/>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861C64"/>
    <w:multiLevelType w:val="hybridMultilevel"/>
    <w:tmpl w:val="A618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14216"/>
    <w:multiLevelType w:val="hybridMultilevel"/>
    <w:tmpl w:val="F1A4BBB2"/>
    <w:lvl w:ilvl="0" w:tplc="4D3C8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34989"/>
    <w:multiLevelType w:val="hybridMultilevel"/>
    <w:tmpl w:val="8AB2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E0377"/>
    <w:multiLevelType w:val="hybridMultilevel"/>
    <w:tmpl w:val="4C6E67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3D67DA"/>
    <w:multiLevelType w:val="hybridMultilevel"/>
    <w:tmpl w:val="AC54B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11FA4"/>
    <w:multiLevelType w:val="hybridMultilevel"/>
    <w:tmpl w:val="C3D6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2" w15:restartNumberingAfterBreak="0">
    <w:nsid w:val="28DD5F2D"/>
    <w:multiLevelType w:val="hybridMultilevel"/>
    <w:tmpl w:val="35824458"/>
    <w:lvl w:ilvl="0" w:tplc="CEAAE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E077A10"/>
    <w:multiLevelType w:val="hybridMultilevel"/>
    <w:tmpl w:val="D854C51E"/>
    <w:lvl w:ilvl="0" w:tplc="DFE04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55163"/>
    <w:multiLevelType w:val="hybridMultilevel"/>
    <w:tmpl w:val="8A30D610"/>
    <w:lvl w:ilvl="0" w:tplc="F722968A">
      <w:start w:val="1"/>
      <w:numFmt w:val="decimal"/>
      <w:lvlText w:val="%1."/>
      <w:lvlJc w:val="left"/>
      <w:pPr>
        <w:ind w:left="622" w:hanging="480"/>
      </w:pPr>
      <w:rPr>
        <w:b w:val="0"/>
        <w:i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1A63C30"/>
    <w:multiLevelType w:val="hybridMultilevel"/>
    <w:tmpl w:val="7B96ACA4"/>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0E35C5"/>
    <w:multiLevelType w:val="hybridMultilevel"/>
    <w:tmpl w:val="DD00DAEE"/>
    <w:lvl w:ilvl="0" w:tplc="04F69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DF0341"/>
    <w:multiLevelType w:val="hybridMultilevel"/>
    <w:tmpl w:val="0832A7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23" w15:restartNumberingAfterBreak="0">
    <w:nsid w:val="58B143CB"/>
    <w:multiLevelType w:val="hybridMultilevel"/>
    <w:tmpl w:val="AE7E9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FE06EC"/>
    <w:multiLevelType w:val="hybridMultilevel"/>
    <w:tmpl w:val="20CA69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B326320"/>
    <w:multiLevelType w:val="hybridMultilevel"/>
    <w:tmpl w:val="2A9E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D8350E"/>
    <w:multiLevelType w:val="hybridMultilevel"/>
    <w:tmpl w:val="C7905894"/>
    <w:lvl w:ilvl="0" w:tplc="E9CCC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1" w15:restartNumberingAfterBreak="0">
    <w:nsid w:val="697032C0"/>
    <w:multiLevelType w:val="hybridMultilevel"/>
    <w:tmpl w:val="566AA6AC"/>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522A80"/>
    <w:multiLevelType w:val="hybridMultilevel"/>
    <w:tmpl w:val="3E06DAEA"/>
    <w:lvl w:ilvl="0" w:tplc="33EAF4BE">
      <w:start w:val="1"/>
      <w:numFmt w:val="decimal"/>
      <w:pStyle w:val="Fin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66509BE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C0748"/>
    <w:multiLevelType w:val="hybridMultilevel"/>
    <w:tmpl w:val="F2CCFF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D77A71"/>
    <w:multiLevelType w:val="hybridMultilevel"/>
    <w:tmpl w:val="30269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6426900">
    <w:abstractNumId w:val="22"/>
  </w:num>
  <w:num w:numId="2" w16cid:durableId="631643537">
    <w:abstractNumId w:val="3"/>
  </w:num>
  <w:num w:numId="3" w16cid:durableId="108740098">
    <w:abstractNumId w:val="11"/>
  </w:num>
  <w:num w:numId="4" w16cid:durableId="97264367">
    <w:abstractNumId w:val="0"/>
  </w:num>
  <w:num w:numId="5" w16cid:durableId="1373841024">
    <w:abstractNumId w:val="28"/>
  </w:num>
  <w:num w:numId="6" w16cid:durableId="1204752754">
    <w:abstractNumId w:val="16"/>
  </w:num>
  <w:num w:numId="7" w16cid:durableId="30812471">
    <w:abstractNumId w:val="29"/>
  </w:num>
  <w:num w:numId="8" w16cid:durableId="1817256140">
    <w:abstractNumId w:val="19"/>
  </w:num>
  <w:num w:numId="9" w16cid:durableId="2041082048">
    <w:abstractNumId w:val="36"/>
  </w:num>
  <w:num w:numId="10" w16cid:durableId="1392340094">
    <w:abstractNumId w:val="15"/>
  </w:num>
  <w:num w:numId="11" w16cid:durableId="1609653087">
    <w:abstractNumId w:val="26"/>
  </w:num>
  <w:num w:numId="12" w16cid:durableId="339965028">
    <w:abstractNumId w:val="30"/>
  </w:num>
  <w:num w:numId="13" w16cid:durableId="2008900103">
    <w:abstractNumId w:val="24"/>
  </w:num>
  <w:num w:numId="14" w16cid:durableId="2116897255">
    <w:abstractNumId w:val="33"/>
  </w:num>
  <w:num w:numId="15" w16cid:durableId="1997952595">
    <w:abstractNumId w:val="13"/>
  </w:num>
  <w:num w:numId="16" w16cid:durableId="1715347964">
    <w:abstractNumId w:val="5"/>
  </w:num>
  <w:num w:numId="17" w16cid:durableId="178006550">
    <w:abstractNumId w:val="12"/>
  </w:num>
  <w:num w:numId="18" w16cid:durableId="1462723363">
    <w:abstractNumId w:val="4"/>
  </w:num>
  <w:num w:numId="19" w16cid:durableId="1918636295">
    <w:abstractNumId w:val="31"/>
  </w:num>
  <w:num w:numId="20" w16cid:durableId="2100523407">
    <w:abstractNumId w:val="17"/>
  </w:num>
  <w:num w:numId="21" w16cid:durableId="1243025644">
    <w:abstractNumId w:val="1"/>
  </w:num>
  <w:num w:numId="22" w16cid:durableId="1515680946">
    <w:abstractNumId w:val="35"/>
  </w:num>
  <w:num w:numId="23" w16cid:durableId="472715285">
    <w:abstractNumId w:val="18"/>
  </w:num>
  <w:num w:numId="24" w16cid:durableId="800615378">
    <w:abstractNumId w:val="10"/>
  </w:num>
  <w:num w:numId="25" w16cid:durableId="445084156">
    <w:abstractNumId w:val="7"/>
  </w:num>
  <w:num w:numId="26" w16cid:durableId="663775091">
    <w:abstractNumId w:val="25"/>
  </w:num>
  <w:num w:numId="27" w16cid:durableId="1680279997">
    <w:abstractNumId w:val="32"/>
  </w:num>
  <w:num w:numId="28" w16cid:durableId="1284652414">
    <w:abstractNumId w:val="23"/>
  </w:num>
  <w:num w:numId="29" w16cid:durableId="1256280860">
    <w:abstractNumId w:val="2"/>
  </w:num>
  <w:num w:numId="30" w16cid:durableId="659625253">
    <w:abstractNumId w:val="6"/>
  </w:num>
  <w:num w:numId="31" w16cid:durableId="1363166850">
    <w:abstractNumId w:val="14"/>
  </w:num>
  <w:num w:numId="32" w16cid:durableId="514198524">
    <w:abstractNumId w:val="8"/>
  </w:num>
  <w:num w:numId="33" w16cid:durableId="1972855584">
    <w:abstractNumId w:val="20"/>
  </w:num>
  <w:num w:numId="34" w16cid:durableId="521433532">
    <w:abstractNumId w:val="34"/>
  </w:num>
  <w:num w:numId="35" w16cid:durableId="461118526">
    <w:abstractNumId w:val="27"/>
  </w:num>
  <w:num w:numId="36" w16cid:durableId="585191573">
    <w:abstractNumId w:val="21"/>
  </w:num>
  <w:num w:numId="37" w16cid:durableId="7702005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190A"/>
    <w:rsid w:val="00002632"/>
    <w:rsid w:val="00002EDE"/>
    <w:rsid w:val="00003109"/>
    <w:rsid w:val="000034C5"/>
    <w:rsid w:val="00007FDC"/>
    <w:rsid w:val="0001191B"/>
    <w:rsid w:val="00011FDB"/>
    <w:rsid w:val="000124D9"/>
    <w:rsid w:val="0001458F"/>
    <w:rsid w:val="000163E8"/>
    <w:rsid w:val="000166C0"/>
    <w:rsid w:val="00016CCC"/>
    <w:rsid w:val="00020164"/>
    <w:rsid w:val="000213DB"/>
    <w:rsid w:val="00022090"/>
    <w:rsid w:val="00025BE4"/>
    <w:rsid w:val="000315DA"/>
    <w:rsid w:val="00032956"/>
    <w:rsid w:val="0003588B"/>
    <w:rsid w:val="0003700E"/>
    <w:rsid w:val="00040DAD"/>
    <w:rsid w:val="00052515"/>
    <w:rsid w:val="00053FA1"/>
    <w:rsid w:val="000548ED"/>
    <w:rsid w:val="000606C9"/>
    <w:rsid w:val="00061FA8"/>
    <w:rsid w:val="00062EC6"/>
    <w:rsid w:val="00066E73"/>
    <w:rsid w:val="0006708D"/>
    <w:rsid w:val="00070E8B"/>
    <w:rsid w:val="000729D3"/>
    <w:rsid w:val="00073BF1"/>
    <w:rsid w:val="000745CD"/>
    <w:rsid w:val="0007522E"/>
    <w:rsid w:val="00080CA0"/>
    <w:rsid w:val="000815D5"/>
    <w:rsid w:val="00084988"/>
    <w:rsid w:val="00091225"/>
    <w:rsid w:val="00096C45"/>
    <w:rsid w:val="000977AC"/>
    <w:rsid w:val="000A01D0"/>
    <w:rsid w:val="000A08BA"/>
    <w:rsid w:val="000A189F"/>
    <w:rsid w:val="000A1BBD"/>
    <w:rsid w:val="000A2A3E"/>
    <w:rsid w:val="000A2C2C"/>
    <w:rsid w:val="000A2C9C"/>
    <w:rsid w:val="000A38D3"/>
    <w:rsid w:val="000A60A6"/>
    <w:rsid w:val="000A723F"/>
    <w:rsid w:val="000B132D"/>
    <w:rsid w:val="000B4A41"/>
    <w:rsid w:val="000B4CD4"/>
    <w:rsid w:val="000C2765"/>
    <w:rsid w:val="000C4E48"/>
    <w:rsid w:val="000C5754"/>
    <w:rsid w:val="000C582E"/>
    <w:rsid w:val="000C5A18"/>
    <w:rsid w:val="000C6C7F"/>
    <w:rsid w:val="000D3823"/>
    <w:rsid w:val="000D5F73"/>
    <w:rsid w:val="000D6502"/>
    <w:rsid w:val="000D6AC5"/>
    <w:rsid w:val="000D7F67"/>
    <w:rsid w:val="000E07BD"/>
    <w:rsid w:val="000F45BA"/>
    <w:rsid w:val="000F4A0C"/>
    <w:rsid w:val="000F506F"/>
    <w:rsid w:val="000F5A29"/>
    <w:rsid w:val="00101F11"/>
    <w:rsid w:val="001021B3"/>
    <w:rsid w:val="00102A8D"/>
    <w:rsid w:val="00102C10"/>
    <w:rsid w:val="0010458A"/>
    <w:rsid w:val="00105DF5"/>
    <w:rsid w:val="001073CC"/>
    <w:rsid w:val="00117841"/>
    <w:rsid w:val="00117CA2"/>
    <w:rsid w:val="0012031F"/>
    <w:rsid w:val="001232A6"/>
    <w:rsid w:val="00124068"/>
    <w:rsid w:val="0012512A"/>
    <w:rsid w:val="00125C04"/>
    <w:rsid w:val="00131209"/>
    <w:rsid w:val="00131D4A"/>
    <w:rsid w:val="001357F6"/>
    <w:rsid w:val="0013792B"/>
    <w:rsid w:val="00142C90"/>
    <w:rsid w:val="00143946"/>
    <w:rsid w:val="00143BCD"/>
    <w:rsid w:val="001442EF"/>
    <w:rsid w:val="00144427"/>
    <w:rsid w:val="001478FD"/>
    <w:rsid w:val="00147CF9"/>
    <w:rsid w:val="00151F7A"/>
    <w:rsid w:val="001526E7"/>
    <w:rsid w:val="0015405B"/>
    <w:rsid w:val="00154331"/>
    <w:rsid w:val="001578AB"/>
    <w:rsid w:val="001601EE"/>
    <w:rsid w:val="001616AD"/>
    <w:rsid w:val="00161F5D"/>
    <w:rsid w:val="0016224E"/>
    <w:rsid w:val="00165FCF"/>
    <w:rsid w:val="00167125"/>
    <w:rsid w:val="0016771F"/>
    <w:rsid w:val="0017059D"/>
    <w:rsid w:val="001752F5"/>
    <w:rsid w:val="00176F36"/>
    <w:rsid w:val="0018120C"/>
    <w:rsid w:val="00181381"/>
    <w:rsid w:val="0018390C"/>
    <w:rsid w:val="00184C3E"/>
    <w:rsid w:val="00187495"/>
    <w:rsid w:val="001925EA"/>
    <w:rsid w:val="00194A91"/>
    <w:rsid w:val="00194E9F"/>
    <w:rsid w:val="001968D0"/>
    <w:rsid w:val="001977F2"/>
    <w:rsid w:val="001A1CCD"/>
    <w:rsid w:val="001A262C"/>
    <w:rsid w:val="001A6EF5"/>
    <w:rsid w:val="001B4812"/>
    <w:rsid w:val="001B5958"/>
    <w:rsid w:val="001B60A0"/>
    <w:rsid w:val="001B6240"/>
    <w:rsid w:val="001C0940"/>
    <w:rsid w:val="001C0CC0"/>
    <w:rsid w:val="001C3023"/>
    <w:rsid w:val="001D0D3A"/>
    <w:rsid w:val="001D57B8"/>
    <w:rsid w:val="001D7D1E"/>
    <w:rsid w:val="001E05C6"/>
    <w:rsid w:val="001E0B33"/>
    <w:rsid w:val="001E1D2A"/>
    <w:rsid w:val="001E40F1"/>
    <w:rsid w:val="001E5568"/>
    <w:rsid w:val="001E578B"/>
    <w:rsid w:val="001E65C3"/>
    <w:rsid w:val="001E661B"/>
    <w:rsid w:val="001F251E"/>
    <w:rsid w:val="001F6D25"/>
    <w:rsid w:val="00204489"/>
    <w:rsid w:val="00210FBF"/>
    <w:rsid w:val="00216D11"/>
    <w:rsid w:val="00224EC4"/>
    <w:rsid w:val="002254F3"/>
    <w:rsid w:val="00225B2C"/>
    <w:rsid w:val="0023496C"/>
    <w:rsid w:val="00234A7A"/>
    <w:rsid w:val="0024725A"/>
    <w:rsid w:val="00250A34"/>
    <w:rsid w:val="002523F8"/>
    <w:rsid w:val="0025387E"/>
    <w:rsid w:val="00254EF4"/>
    <w:rsid w:val="00255228"/>
    <w:rsid w:val="00265199"/>
    <w:rsid w:val="00266872"/>
    <w:rsid w:val="00267D4E"/>
    <w:rsid w:val="00271455"/>
    <w:rsid w:val="002717A4"/>
    <w:rsid w:val="00271B99"/>
    <w:rsid w:val="00273ADA"/>
    <w:rsid w:val="00273CF1"/>
    <w:rsid w:val="00275977"/>
    <w:rsid w:val="00276899"/>
    <w:rsid w:val="00282499"/>
    <w:rsid w:val="002839E2"/>
    <w:rsid w:val="0028643B"/>
    <w:rsid w:val="00287343"/>
    <w:rsid w:val="0029018A"/>
    <w:rsid w:val="002918CC"/>
    <w:rsid w:val="00294C01"/>
    <w:rsid w:val="002A1E95"/>
    <w:rsid w:val="002A3E87"/>
    <w:rsid w:val="002A6B0E"/>
    <w:rsid w:val="002A6EE7"/>
    <w:rsid w:val="002B4B02"/>
    <w:rsid w:val="002B546C"/>
    <w:rsid w:val="002B70D1"/>
    <w:rsid w:val="002C0148"/>
    <w:rsid w:val="002C3484"/>
    <w:rsid w:val="002C5467"/>
    <w:rsid w:val="002D015B"/>
    <w:rsid w:val="002D2AB3"/>
    <w:rsid w:val="002D2B4A"/>
    <w:rsid w:val="002D3FDD"/>
    <w:rsid w:val="002D5CBE"/>
    <w:rsid w:val="002D6097"/>
    <w:rsid w:val="002E0E4D"/>
    <w:rsid w:val="002E1107"/>
    <w:rsid w:val="002E798E"/>
    <w:rsid w:val="002F296A"/>
    <w:rsid w:val="002F44A6"/>
    <w:rsid w:val="002F7FE8"/>
    <w:rsid w:val="00301850"/>
    <w:rsid w:val="00301BB9"/>
    <w:rsid w:val="0030225A"/>
    <w:rsid w:val="00302603"/>
    <w:rsid w:val="00303461"/>
    <w:rsid w:val="00307313"/>
    <w:rsid w:val="003110EE"/>
    <w:rsid w:val="003132AD"/>
    <w:rsid w:val="00313FAD"/>
    <w:rsid w:val="00314D40"/>
    <w:rsid w:val="00320F76"/>
    <w:rsid w:val="00322B17"/>
    <w:rsid w:val="00323BD9"/>
    <w:rsid w:val="00323E98"/>
    <w:rsid w:val="00324C37"/>
    <w:rsid w:val="0033047D"/>
    <w:rsid w:val="00330693"/>
    <w:rsid w:val="003321E3"/>
    <w:rsid w:val="00333E1D"/>
    <w:rsid w:val="00336F85"/>
    <w:rsid w:val="00346165"/>
    <w:rsid w:val="0034693A"/>
    <w:rsid w:val="00347BBD"/>
    <w:rsid w:val="0035491D"/>
    <w:rsid w:val="00354A8F"/>
    <w:rsid w:val="003579EC"/>
    <w:rsid w:val="00360E95"/>
    <w:rsid w:val="00360EA2"/>
    <w:rsid w:val="00361E7E"/>
    <w:rsid w:val="00363256"/>
    <w:rsid w:val="00372469"/>
    <w:rsid w:val="003762D7"/>
    <w:rsid w:val="003771B0"/>
    <w:rsid w:val="003828C7"/>
    <w:rsid w:val="00382A83"/>
    <w:rsid w:val="00386DC0"/>
    <w:rsid w:val="00391147"/>
    <w:rsid w:val="003913DA"/>
    <w:rsid w:val="00394DAA"/>
    <w:rsid w:val="0039576A"/>
    <w:rsid w:val="0039607E"/>
    <w:rsid w:val="00397991"/>
    <w:rsid w:val="003A1578"/>
    <w:rsid w:val="003A3E3C"/>
    <w:rsid w:val="003B1E48"/>
    <w:rsid w:val="003B27A3"/>
    <w:rsid w:val="003B4FD4"/>
    <w:rsid w:val="003B6305"/>
    <w:rsid w:val="003B708D"/>
    <w:rsid w:val="003C0AFF"/>
    <w:rsid w:val="003C663F"/>
    <w:rsid w:val="003D1394"/>
    <w:rsid w:val="003D274F"/>
    <w:rsid w:val="003D50E8"/>
    <w:rsid w:val="003D663F"/>
    <w:rsid w:val="003D732D"/>
    <w:rsid w:val="003E4AE2"/>
    <w:rsid w:val="003F07B1"/>
    <w:rsid w:val="003F1B23"/>
    <w:rsid w:val="003F3DAB"/>
    <w:rsid w:val="003F41DC"/>
    <w:rsid w:val="004024C8"/>
    <w:rsid w:val="00402C3A"/>
    <w:rsid w:val="00402F25"/>
    <w:rsid w:val="004033F9"/>
    <w:rsid w:val="00405F9D"/>
    <w:rsid w:val="004060D9"/>
    <w:rsid w:val="004100E7"/>
    <w:rsid w:val="00412CF7"/>
    <w:rsid w:val="00413065"/>
    <w:rsid w:val="004210BD"/>
    <w:rsid w:val="00421DB4"/>
    <w:rsid w:val="00422D10"/>
    <w:rsid w:val="00424B52"/>
    <w:rsid w:val="0042554F"/>
    <w:rsid w:val="00425C46"/>
    <w:rsid w:val="00425ED6"/>
    <w:rsid w:val="0043016B"/>
    <w:rsid w:val="0043086A"/>
    <w:rsid w:val="004314C2"/>
    <w:rsid w:val="00431BC6"/>
    <w:rsid w:val="004323CD"/>
    <w:rsid w:val="004326EA"/>
    <w:rsid w:val="004406DB"/>
    <w:rsid w:val="004430F4"/>
    <w:rsid w:val="00443C7F"/>
    <w:rsid w:val="004448D1"/>
    <w:rsid w:val="0044717D"/>
    <w:rsid w:val="00450579"/>
    <w:rsid w:val="00450F64"/>
    <w:rsid w:val="0045213F"/>
    <w:rsid w:val="004525B9"/>
    <w:rsid w:val="00453282"/>
    <w:rsid w:val="004562D5"/>
    <w:rsid w:val="004568B2"/>
    <w:rsid w:val="004665BA"/>
    <w:rsid w:val="004703DD"/>
    <w:rsid w:val="0047183C"/>
    <w:rsid w:val="00473EEB"/>
    <w:rsid w:val="00474D25"/>
    <w:rsid w:val="00476D1C"/>
    <w:rsid w:val="0048078E"/>
    <w:rsid w:val="00483FFD"/>
    <w:rsid w:val="00485E00"/>
    <w:rsid w:val="00487180"/>
    <w:rsid w:val="0048720B"/>
    <w:rsid w:val="0049150E"/>
    <w:rsid w:val="004924B2"/>
    <w:rsid w:val="00493BFE"/>
    <w:rsid w:val="004A34C2"/>
    <w:rsid w:val="004A5680"/>
    <w:rsid w:val="004A658C"/>
    <w:rsid w:val="004A666A"/>
    <w:rsid w:val="004A78B1"/>
    <w:rsid w:val="004B4EAF"/>
    <w:rsid w:val="004B70C0"/>
    <w:rsid w:val="004B76B8"/>
    <w:rsid w:val="004B7815"/>
    <w:rsid w:val="004C07C4"/>
    <w:rsid w:val="004C1001"/>
    <w:rsid w:val="004C3A9B"/>
    <w:rsid w:val="004C443F"/>
    <w:rsid w:val="004C4725"/>
    <w:rsid w:val="004C6F58"/>
    <w:rsid w:val="004C78E6"/>
    <w:rsid w:val="004D2123"/>
    <w:rsid w:val="004D28EE"/>
    <w:rsid w:val="004D3F6E"/>
    <w:rsid w:val="004D50DD"/>
    <w:rsid w:val="004D799F"/>
    <w:rsid w:val="004D7F40"/>
    <w:rsid w:val="004E4967"/>
    <w:rsid w:val="004F1416"/>
    <w:rsid w:val="004F1B29"/>
    <w:rsid w:val="004F45D0"/>
    <w:rsid w:val="004F4644"/>
    <w:rsid w:val="004F56F1"/>
    <w:rsid w:val="004F7065"/>
    <w:rsid w:val="004F70FB"/>
    <w:rsid w:val="004F7620"/>
    <w:rsid w:val="0050524C"/>
    <w:rsid w:val="005059B8"/>
    <w:rsid w:val="005069FB"/>
    <w:rsid w:val="00510264"/>
    <w:rsid w:val="00510A84"/>
    <w:rsid w:val="00510CD1"/>
    <w:rsid w:val="005111DB"/>
    <w:rsid w:val="00511808"/>
    <w:rsid w:val="00513CF0"/>
    <w:rsid w:val="00517B51"/>
    <w:rsid w:val="00517FF9"/>
    <w:rsid w:val="00522D6A"/>
    <w:rsid w:val="0052573F"/>
    <w:rsid w:val="00526996"/>
    <w:rsid w:val="005273F2"/>
    <w:rsid w:val="00530AC4"/>
    <w:rsid w:val="005338D9"/>
    <w:rsid w:val="00534EFD"/>
    <w:rsid w:val="00535846"/>
    <w:rsid w:val="00541716"/>
    <w:rsid w:val="00543E2C"/>
    <w:rsid w:val="00545FA5"/>
    <w:rsid w:val="00552090"/>
    <w:rsid w:val="005547C4"/>
    <w:rsid w:val="00556BFB"/>
    <w:rsid w:val="00557965"/>
    <w:rsid w:val="0056037B"/>
    <w:rsid w:val="00562810"/>
    <w:rsid w:val="00564E6D"/>
    <w:rsid w:val="00567FF3"/>
    <w:rsid w:val="00570AC9"/>
    <w:rsid w:val="00571D9B"/>
    <w:rsid w:val="005721FA"/>
    <w:rsid w:val="0057270F"/>
    <w:rsid w:val="00572731"/>
    <w:rsid w:val="00573CDF"/>
    <w:rsid w:val="00574161"/>
    <w:rsid w:val="005758F1"/>
    <w:rsid w:val="00576AAF"/>
    <w:rsid w:val="00577583"/>
    <w:rsid w:val="00583E71"/>
    <w:rsid w:val="00584D26"/>
    <w:rsid w:val="0058539A"/>
    <w:rsid w:val="00586878"/>
    <w:rsid w:val="0059093C"/>
    <w:rsid w:val="00595AE0"/>
    <w:rsid w:val="00596407"/>
    <w:rsid w:val="005A00BD"/>
    <w:rsid w:val="005A0E2C"/>
    <w:rsid w:val="005A111F"/>
    <w:rsid w:val="005A183A"/>
    <w:rsid w:val="005A25F1"/>
    <w:rsid w:val="005A5911"/>
    <w:rsid w:val="005A6CF0"/>
    <w:rsid w:val="005B0A87"/>
    <w:rsid w:val="005B14CD"/>
    <w:rsid w:val="005B4BB7"/>
    <w:rsid w:val="005C1A06"/>
    <w:rsid w:val="005C5501"/>
    <w:rsid w:val="005C5B9E"/>
    <w:rsid w:val="005C792D"/>
    <w:rsid w:val="005D0636"/>
    <w:rsid w:val="005D27EB"/>
    <w:rsid w:val="005D34B4"/>
    <w:rsid w:val="005D412D"/>
    <w:rsid w:val="005D56FF"/>
    <w:rsid w:val="005E08FA"/>
    <w:rsid w:val="005E2845"/>
    <w:rsid w:val="005E4C1A"/>
    <w:rsid w:val="005E4E6C"/>
    <w:rsid w:val="005E7424"/>
    <w:rsid w:val="005F0BCF"/>
    <w:rsid w:val="005F11AD"/>
    <w:rsid w:val="005F2909"/>
    <w:rsid w:val="005F333E"/>
    <w:rsid w:val="005F524E"/>
    <w:rsid w:val="005F62FC"/>
    <w:rsid w:val="005F7E9E"/>
    <w:rsid w:val="00600EC2"/>
    <w:rsid w:val="00601A39"/>
    <w:rsid w:val="00602125"/>
    <w:rsid w:val="00602358"/>
    <w:rsid w:val="00603E7A"/>
    <w:rsid w:val="00603F99"/>
    <w:rsid w:val="00606235"/>
    <w:rsid w:val="00607886"/>
    <w:rsid w:val="00610A86"/>
    <w:rsid w:val="0061324C"/>
    <w:rsid w:val="006142F8"/>
    <w:rsid w:val="0061611B"/>
    <w:rsid w:val="00616168"/>
    <w:rsid w:val="0061677B"/>
    <w:rsid w:val="00617F3D"/>
    <w:rsid w:val="00622DEB"/>
    <w:rsid w:val="00623B04"/>
    <w:rsid w:val="00627331"/>
    <w:rsid w:val="006302CC"/>
    <w:rsid w:val="0063037C"/>
    <w:rsid w:val="00634077"/>
    <w:rsid w:val="00635B7F"/>
    <w:rsid w:val="00635DDA"/>
    <w:rsid w:val="00640C84"/>
    <w:rsid w:val="0064117D"/>
    <w:rsid w:val="00642245"/>
    <w:rsid w:val="00642D47"/>
    <w:rsid w:val="006430CB"/>
    <w:rsid w:val="006456D1"/>
    <w:rsid w:val="00645AF4"/>
    <w:rsid w:val="00645C06"/>
    <w:rsid w:val="006461B3"/>
    <w:rsid w:val="006505EB"/>
    <w:rsid w:val="00651086"/>
    <w:rsid w:val="006536E5"/>
    <w:rsid w:val="00653B21"/>
    <w:rsid w:val="006560AB"/>
    <w:rsid w:val="006604C5"/>
    <w:rsid w:val="00662226"/>
    <w:rsid w:val="006631D5"/>
    <w:rsid w:val="00664113"/>
    <w:rsid w:val="00665BF1"/>
    <w:rsid w:val="00673C35"/>
    <w:rsid w:val="0067624B"/>
    <w:rsid w:val="00677370"/>
    <w:rsid w:val="006802D6"/>
    <w:rsid w:val="0068348A"/>
    <w:rsid w:val="006841F3"/>
    <w:rsid w:val="006871F6"/>
    <w:rsid w:val="00690D7B"/>
    <w:rsid w:val="00691432"/>
    <w:rsid w:val="00691D2E"/>
    <w:rsid w:val="0069257A"/>
    <w:rsid w:val="00695F53"/>
    <w:rsid w:val="006A283B"/>
    <w:rsid w:val="006A346B"/>
    <w:rsid w:val="006A38A4"/>
    <w:rsid w:val="006A5E1A"/>
    <w:rsid w:val="006A7F3A"/>
    <w:rsid w:val="006B1B36"/>
    <w:rsid w:val="006B2DAE"/>
    <w:rsid w:val="006B5FF8"/>
    <w:rsid w:val="006B61E5"/>
    <w:rsid w:val="006B65B9"/>
    <w:rsid w:val="006C1E67"/>
    <w:rsid w:val="006C219E"/>
    <w:rsid w:val="006C2A98"/>
    <w:rsid w:val="006C3170"/>
    <w:rsid w:val="006C523D"/>
    <w:rsid w:val="006C671A"/>
    <w:rsid w:val="006C68D0"/>
    <w:rsid w:val="006D34B8"/>
    <w:rsid w:val="006D6DF5"/>
    <w:rsid w:val="006D7393"/>
    <w:rsid w:val="006E1351"/>
    <w:rsid w:val="006E22A0"/>
    <w:rsid w:val="006E2435"/>
    <w:rsid w:val="006E4CF2"/>
    <w:rsid w:val="006E56B6"/>
    <w:rsid w:val="006E577D"/>
    <w:rsid w:val="006E7A9C"/>
    <w:rsid w:val="006F0094"/>
    <w:rsid w:val="006F2A81"/>
    <w:rsid w:val="006F2D92"/>
    <w:rsid w:val="006F30E6"/>
    <w:rsid w:val="00703B6A"/>
    <w:rsid w:val="00703EB4"/>
    <w:rsid w:val="00704F20"/>
    <w:rsid w:val="00706AD1"/>
    <w:rsid w:val="007074A7"/>
    <w:rsid w:val="0071059C"/>
    <w:rsid w:val="00710AC0"/>
    <w:rsid w:val="00711A43"/>
    <w:rsid w:val="00712E38"/>
    <w:rsid w:val="007146EE"/>
    <w:rsid w:val="00714A24"/>
    <w:rsid w:val="00716F90"/>
    <w:rsid w:val="00724846"/>
    <w:rsid w:val="00725008"/>
    <w:rsid w:val="00727D88"/>
    <w:rsid w:val="00730698"/>
    <w:rsid w:val="00730D21"/>
    <w:rsid w:val="007316CC"/>
    <w:rsid w:val="007317D8"/>
    <w:rsid w:val="00733A35"/>
    <w:rsid w:val="00733B78"/>
    <w:rsid w:val="00734252"/>
    <w:rsid w:val="0073433A"/>
    <w:rsid w:val="00734B32"/>
    <w:rsid w:val="00734E07"/>
    <w:rsid w:val="007414B9"/>
    <w:rsid w:val="007425E5"/>
    <w:rsid w:val="00742ABD"/>
    <w:rsid w:val="00743704"/>
    <w:rsid w:val="0075772B"/>
    <w:rsid w:val="00761B4B"/>
    <w:rsid w:val="00762496"/>
    <w:rsid w:val="00762DD5"/>
    <w:rsid w:val="007638DF"/>
    <w:rsid w:val="00772866"/>
    <w:rsid w:val="0077355D"/>
    <w:rsid w:val="00773A3B"/>
    <w:rsid w:val="00773FBB"/>
    <w:rsid w:val="0077734C"/>
    <w:rsid w:val="007817BD"/>
    <w:rsid w:val="00782AE3"/>
    <w:rsid w:val="00782B01"/>
    <w:rsid w:val="00791D3D"/>
    <w:rsid w:val="00791EA4"/>
    <w:rsid w:val="007929F2"/>
    <w:rsid w:val="007966A8"/>
    <w:rsid w:val="007969F6"/>
    <w:rsid w:val="00797008"/>
    <w:rsid w:val="0079796B"/>
    <w:rsid w:val="007A0581"/>
    <w:rsid w:val="007A1718"/>
    <w:rsid w:val="007A2BC6"/>
    <w:rsid w:val="007A360B"/>
    <w:rsid w:val="007A3738"/>
    <w:rsid w:val="007A3A25"/>
    <w:rsid w:val="007A3E20"/>
    <w:rsid w:val="007A4F4E"/>
    <w:rsid w:val="007A5721"/>
    <w:rsid w:val="007A62DE"/>
    <w:rsid w:val="007A7477"/>
    <w:rsid w:val="007B0485"/>
    <w:rsid w:val="007B2CD9"/>
    <w:rsid w:val="007B3E4C"/>
    <w:rsid w:val="007B53CD"/>
    <w:rsid w:val="007B71C7"/>
    <w:rsid w:val="007C2089"/>
    <w:rsid w:val="007C48EF"/>
    <w:rsid w:val="007C7CFF"/>
    <w:rsid w:val="007C7FC8"/>
    <w:rsid w:val="007D0108"/>
    <w:rsid w:val="007D2516"/>
    <w:rsid w:val="007D4394"/>
    <w:rsid w:val="007E2ABC"/>
    <w:rsid w:val="007E4DEC"/>
    <w:rsid w:val="007E57CF"/>
    <w:rsid w:val="007E6402"/>
    <w:rsid w:val="007E6979"/>
    <w:rsid w:val="007E7D3E"/>
    <w:rsid w:val="007F1493"/>
    <w:rsid w:val="007F6441"/>
    <w:rsid w:val="0080528E"/>
    <w:rsid w:val="008071EC"/>
    <w:rsid w:val="0081083C"/>
    <w:rsid w:val="00811C45"/>
    <w:rsid w:val="00811C6E"/>
    <w:rsid w:val="00813C8B"/>
    <w:rsid w:val="00813EF3"/>
    <w:rsid w:val="00816510"/>
    <w:rsid w:val="00817485"/>
    <w:rsid w:val="0082061B"/>
    <w:rsid w:val="0082134B"/>
    <w:rsid w:val="008232F4"/>
    <w:rsid w:val="00824FB8"/>
    <w:rsid w:val="008250E0"/>
    <w:rsid w:val="00831215"/>
    <w:rsid w:val="0083280C"/>
    <w:rsid w:val="0083433B"/>
    <w:rsid w:val="00842016"/>
    <w:rsid w:val="00842C85"/>
    <w:rsid w:val="00843067"/>
    <w:rsid w:val="008431E4"/>
    <w:rsid w:val="00843F5C"/>
    <w:rsid w:val="00844616"/>
    <w:rsid w:val="00845D85"/>
    <w:rsid w:val="008463F2"/>
    <w:rsid w:val="008508ED"/>
    <w:rsid w:val="00850AFC"/>
    <w:rsid w:val="00851FFB"/>
    <w:rsid w:val="00862506"/>
    <w:rsid w:val="008632F2"/>
    <w:rsid w:val="0086351A"/>
    <w:rsid w:val="008637C3"/>
    <w:rsid w:val="008653BC"/>
    <w:rsid w:val="008658AB"/>
    <w:rsid w:val="00867A25"/>
    <w:rsid w:val="00867E5F"/>
    <w:rsid w:val="00873159"/>
    <w:rsid w:val="00873492"/>
    <w:rsid w:val="0087512A"/>
    <w:rsid w:val="0088107F"/>
    <w:rsid w:val="008821AB"/>
    <w:rsid w:val="00883405"/>
    <w:rsid w:val="0088675E"/>
    <w:rsid w:val="008877DA"/>
    <w:rsid w:val="00887EBD"/>
    <w:rsid w:val="00891193"/>
    <w:rsid w:val="0089136E"/>
    <w:rsid w:val="008917CD"/>
    <w:rsid w:val="008925D5"/>
    <w:rsid w:val="0089458E"/>
    <w:rsid w:val="0089762B"/>
    <w:rsid w:val="008A3A27"/>
    <w:rsid w:val="008A3FD7"/>
    <w:rsid w:val="008A4C41"/>
    <w:rsid w:val="008A5620"/>
    <w:rsid w:val="008A7502"/>
    <w:rsid w:val="008B1FC8"/>
    <w:rsid w:val="008B20BB"/>
    <w:rsid w:val="008B3712"/>
    <w:rsid w:val="008B3B7C"/>
    <w:rsid w:val="008B6E3D"/>
    <w:rsid w:val="008C133C"/>
    <w:rsid w:val="008C40FF"/>
    <w:rsid w:val="008E0F5A"/>
    <w:rsid w:val="008E3493"/>
    <w:rsid w:val="008E4777"/>
    <w:rsid w:val="008E4F83"/>
    <w:rsid w:val="008F2E37"/>
    <w:rsid w:val="009004E1"/>
    <w:rsid w:val="00905E72"/>
    <w:rsid w:val="0090610A"/>
    <w:rsid w:val="009076D0"/>
    <w:rsid w:val="009133CA"/>
    <w:rsid w:val="009163E2"/>
    <w:rsid w:val="00921820"/>
    <w:rsid w:val="00923B91"/>
    <w:rsid w:val="00926D8D"/>
    <w:rsid w:val="0093040A"/>
    <w:rsid w:val="00933732"/>
    <w:rsid w:val="0093484D"/>
    <w:rsid w:val="0093560E"/>
    <w:rsid w:val="00952934"/>
    <w:rsid w:val="00953F3D"/>
    <w:rsid w:val="00954E6C"/>
    <w:rsid w:val="00955324"/>
    <w:rsid w:val="009568EB"/>
    <w:rsid w:val="00956CB2"/>
    <w:rsid w:val="00957232"/>
    <w:rsid w:val="009574F1"/>
    <w:rsid w:val="00967654"/>
    <w:rsid w:val="009676F6"/>
    <w:rsid w:val="00971E34"/>
    <w:rsid w:val="0097264A"/>
    <w:rsid w:val="00973673"/>
    <w:rsid w:val="0098509A"/>
    <w:rsid w:val="00995356"/>
    <w:rsid w:val="00996748"/>
    <w:rsid w:val="0099674A"/>
    <w:rsid w:val="00997B68"/>
    <w:rsid w:val="009A0459"/>
    <w:rsid w:val="009A093B"/>
    <w:rsid w:val="009A1A8E"/>
    <w:rsid w:val="009A1C9D"/>
    <w:rsid w:val="009A6319"/>
    <w:rsid w:val="009B2D05"/>
    <w:rsid w:val="009B37BD"/>
    <w:rsid w:val="009B396C"/>
    <w:rsid w:val="009B438F"/>
    <w:rsid w:val="009C47E0"/>
    <w:rsid w:val="009C6AFA"/>
    <w:rsid w:val="009D0B4B"/>
    <w:rsid w:val="009D0B88"/>
    <w:rsid w:val="009D1E60"/>
    <w:rsid w:val="009D728B"/>
    <w:rsid w:val="009E0260"/>
    <w:rsid w:val="009E0739"/>
    <w:rsid w:val="009E089F"/>
    <w:rsid w:val="009E3166"/>
    <w:rsid w:val="009E4067"/>
    <w:rsid w:val="009F0BAE"/>
    <w:rsid w:val="009F2D1F"/>
    <w:rsid w:val="009F5744"/>
    <w:rsid w:val="009F5C63"/>
    <w:rsid w:val="009F7D55"/>
    <w:rsid w:val="00A00BE4"/>
    <w:rsid w:val="00A01522"/>
    <w:rsid w:val="00A055C7"/>
    <w:rsid w:val="00A07163"/>
    <w:rsid w:val="00A073D5"/>
    <w:rsid w:val="00A1014C"/>
    <w:rsid w:val="00A10D74"/>
    <w:rsid w:val="00A115C2"/>
    <w:rsid w:val="00A23AAA"/>
    <w:rsid w:val="00A24607"/>
    <w:rsid w:val="00A249AA"/>
    <w:rsid w:val="00A25C32"/>
    <w:rsid w:val="00A27063"/>
    <w:rsid w:val="00A271FF"/>
    <w:rsid w:val="00A33563"/>
    <w:rsid w:val="00A35011"/>
    <w:rsid w:val="00A434DE"/>
    <w:rsid w:val="00A435C6"/>
    <w:rsid w:val="00A4366E"/>
    <w:rsid w:val="00A46FB8"/>
    <w:rsid w:val="00A51B34"/>
    <w:rsid w:val="00A523A0"/>
    <w:rsid w:val="00A5366E"/>
    <w:rsid w:val="00A548FC"/>
    <w:rsid w:val="00A552A1"/>
    <w:rsid w:val="00A56BED"/>
    <w:rsid w:val="00A57AFB"/>
    <w:rsid w:val="00A63AC5"/>
    <w:rsid w:val="00A63D1F"/>
    <w:rsid w:val="00A73911"/>
    <w:rsid w:val="00A73FC3"/>
    <w:rsid w:val="00A74FE2"/>
    <w:rsid w:val="00A76FD3"/>
    <w:rsid w:val="00A77CAE"/>
    <w:rsid w:val="00A77CE0"/>
    <w:rsid w:val="00A8115D"/>
    <w:rsid w:val="00A83A8D"/>
    <w:rsid w:val="00A8515F"/>
    <w:rsid w:val="00A87C5F"/>
    <w:rsid w:val="00A932B9"/>
    <w:rsid w:val="00A96444"/>
    <w:rsid w:val="00A96AE3"/>
    <w:rsid w:val="00A97451"/>
    <w:rsid w:val="00A97E4C"/>
    <w:rsid w:val="00AA0D01"/>
    <w:rsid w:val="00AA4FE1"/>
    <w:rsid w:val="00AA623C"/>
    <w:rsid w:val="00AB30FB"/>
    <w:rsid w:val="00AB353F"/>
    <w:rsid w:val="00AB5BE9"/>
    <w:rsid w:val="00AB6313"/>
    <w:rsid w:val="00AC04F5"/>
    <w:rsid w:val="00AC0EDF"/>
    <w:rsid w:val="00AC266C"/>
    <w:rsid w:val="00AC3E31"/>
    <w:rsid w:val="00AD01FD"/>
    <w:rsid w:val="00AD0D67"/>
    <w:rsid w:val="00AD22E2"/>
    <w:rsid w:val="00AD39E7"/>
    <w:rsid w:val="00AD3E7F"/>
    <w:rsid w:val="00AD58D1"/>
    <w:rsid w:val="00AD63D2"/>
    <w:rsid w:val="00AE644C"/>
    <w:rsid w:val="00AF1147"/>
    <w:rsid w:val="00AF5E7C"/>
    <w:rsid w:val="00AF60C8"/>
    <w:rsid w:val="00AF7266"/>
    <w:rsid w:val="00B01001"/>
    <w:rsid w:val="00B03400"/>
    <w:rsid w:val="00B04599"/>
    <w:rsid w:val="00B06B27"/>
    <w:rsid w:val="00B06BB9"/>
    <w:rsid w:val="00B10DD2"/>
    <w:rsid w:val="00B11390"/>
    <w:rsid w:val="00B11F9C"/>
    <w:rsid w:val="00B144F5"/>
    <w:rsid w:val="00B21623"/>
    <w:rsid w:val="00B25500"/>
    <w:rsid w:val="00B32568"/>
    <w:rsid w:val="00B32DBB"/>
    <w:rsid w:val="00B3355B"/>
    <w:rsid w:val="00B37AAF"/>
    <w:rsid w:val="00B40032"/>
    <w:rsid w:val="00B43EB8"/>
    <w:rsid w:val="00B507B8"/>
    <w:rsid w:val="00B54AB0"/>
    <w:rsid w:val="00B60151"/>
    <w:rsid w:val="00B616D5"/>
    <w:rsid w:val="00B62A7C"/>
    <w:rsid w:val="00B65119"/>
    <w:rsid w:val="00B654BA"/>
    <w:rsid w:val="00B65729"/>
    <w:rsid w:val="00B6627E"/>
    <w:rsid w:val="00B66C3F"/>
    <w:rsid w:val="00B6706B"/>
    <w:rsid w:val="00B7050F"/>
    <w:rsid w:val="00B71341"/>
    <w:rsid w:val="00B731EF"/>
    <w:rsid w:val="00B858F4"/>
    <w:rsid w:val="00B87C14"/>
    <w:rsid w:val="00B928DE"/>
    <w:rsid w:val="00B92F5B"/>
    <w:rsid w:val="00B940B7"/>
    <w:rsid w:val="00BA072F"/>
    <w:rsid w:val="00BA2434"/>
    <w:rsid w:val="00BA54EF"/>
    <w:rsid w:val="00BA6FB5"/>
    <w:rsid w:val="00BB1D02"/>
    <w:rsid w:val="00BB48FA"/>
    <w:rsid w:val="00BB57B9"/>
    <w:rsid w:val="00BB5DF9"/>
    <w:rsid w:val="00BB6DC0"/>
    <w:rsid w:val="00BB7251"/>
    <w:rsid w:val="00BB748F"/>
    <w:rsid w:val="00BC2F38"/>
    <w:rsid w:val="00BC34B2"/>
    <w:rsid w:val="00BC45A4"/>
    <w:rsid w:val="00BC583E"/>
    <w:rsid w:val="00BD1DBF"/>
    <w:rsid w:val="00BD21CB"/>
    <w:rsid w:val="00BD62F2"/>
    <w:rsid w:val="00BD7353"/>
    <w:rsid w:val="00BD764C"/>
    <w:rsid w:val="00BD7F78"/>
    <w:rsid w:val="00BE02B7"/>
    <w:rsid w:val="00BE0401"/>
    <w:rsid w:val="00BE15FA"/>
    <w:rsid w:val="00BE1A7A"/>
    <w:rsid w:val="00BE47A9"/>
    <w:rsid w:val="00BE4F1C"/>
    <w:rsid w:val="00BF023A"/>
    <w:rsid w:val="00BF0A1A"/>
    <w:rsid w:val="00BF481C"/>
    <w:rsid w:val="00BF75EB"/>
    <w:rsid w:val="00C00748"/>
    <w:rsid w:val="00C05C97"/>
    <w:rsid w:val="00C06AEF"/>
    <w:rsid w:val="00C11973"/>
    <w:rsid w:val="00C1527A"/>
    <w:rsid w:val="00C15A6D"/>
    <w:rsid w:val="00C1697D"/>
    <w:rsid w:val="00C21D54"/>
    <w:rsid w:val="00C25476"/>
    <w:rsid w:val="00C270D1"/>
    <w:rsid w:val="00C271B3"/>
    <w:rsid w:val="00C27BE7"/>
    <w:rsid w:val="00C337B8"/>
    <w:rsid w:val="00C358CE"/>
    <w:rsid w:val="00C366FC"/>
    <w:rsid w:val="00C37A75"/>
    <w:rsid w:val="00C37AA1"/>
    <w:rsid w:val="00C43DBE"/>
    <w:rsid w:val="00C45994"/>
    <w:rsid w:val="00C47155"/>
    <w:rsid w:val="00C507BA"/>
    <w:rsid w:val="00C53BB5"/>
    <w:rsid w:val="00C554DA"/>
    <w:rsid w:val="00C562AE"/>
    <w:rsid w:val="00C60EB9"/>
    <w:rsid w:val="00C63A55"/>
    <w:rsid w:val="00C64185"/>
    <w:rsid w:val="00C645C0"/>
    <w:rsid w:val="00C658EC"/>
    <w:rsid w:val="00C74AD2"/>
    <w:rsid w:val="00C75F87"/>
    <w:rsid w:val="00C76A70"/>
    <w:rsid w:val="00C82535"/>
    <w:rsid w:val="00C8581D"/>
    <w:rsid w:val="00C87904"/>
    <w:rsid w:val="00C927CC"/>
    <w:rsid w:val="00C951CF"/>
    <w:rsid w:val="00C965F2"/>
    <w:rsid w:val="00CA11F9"/>
    <w:rsid w:val="00CA35DE"/>
    <w:rsid w:val="00CA45AB"/>
    <w:rsid w:val="00CA539E"/>
    <w:rsid w:val="00CB04F0"/>
    <w:rsid w:val="00CB1012"/>
    <w:rsid w:val="00CB221C"/>
    <w:rsid w:val="00CB7F0B"/>
    <w:rsid w:val="00CC3F01"/>
    <w:rsid w:val="00CC6DDA"/>
    <w:rsid w:val="00CC79E7"/>
    <w:rsid w:val="00CD3762"/>
    <w:rsid w:val="00CD4602"/>
    <w:rsid w:val="00CD5050"/>
    <w:rsid w:val="00CD5E3E"/>
    <w:rsid w:val="00CD76EF"/>
    <w:rsid w:val="00CE0373"/>
    <w:rsid w:val="00CE0CDD"/>
    <w:rsid w:val="00CE0E2D"/>
    <w:rsid w:val="00CE17B9"/>
    <w:rsid w:val="00CE4641"/>
    <w:rsid w:val="00CE65F9"/>
    <w:rsid w:val="00CF0B8A"/>
    <w:rsid w:val="00CF133C"/>
    <w:rsid w:val="00CF7763"/>
    <w:rsid w:val="00D01093"/>
    <w:rsid w:val="00D0224E"/>
    <w:rsid w:val="00D034AD"/>
    <w:rsid w:val="00D05BA7"/>
    <w:rsid w:val="00D0604B"/>
    <w:rsid w:val="00D067E0"/>
    <w:rsid w:val="00D06970"/>
    <w:rsid w:val="00D07E20"/>
    <w:rsid w:val="00D14597"/>
    <w:rsid w:val="00D165B3"/>
    <w:rsid w:val="00D17838"/>
    <w:rsid w:val="00D23020"/>
    <w:rsid w:val="00D242AF"/>
    <w:rsid w:val="00D269A6"/>
    <w:rsid w:val="00D27C97"/>
    <w:rsid w:val="00D3100A"/>
    <w:rsid w:val="00D36303"/>
    <w:rsid w:val="00D40034"/>
    <w:rsid w:val="00D42EB6"/>
    <w:rsid w:val="00D4622B"/>
    <w:rsid w:val="00D46549"/>
    <w:rsid w:val="00D47066"/>
    <w:rsid w:val="00D51051"/>
    <w:rsid w:val="00D52DC0"/>
    <w:rsid w:val="00D62CD8"/>
    <w:rsid w:val="00D6547E"/>
    <w:rsid w:val="00D66B94"/>
    <w:rsid w:val="00D67E1B"/>
    <w:rsid w:val="00D70BE5"/>
    <w:rsid w:val="00D71067"/>
    <w:rsid w:val="00D71711"/>
    <w:rsid w:val="00D727FF"/>
    <w:rsid w:val="00D74316"/>
    <w:rsid w:val="00D769C1"/>
    <w:rsid w:val="00D814F6"/>
    <w:rsid w:val="00D84F2F"/>
    <w:rsid w:val="00D860CE"/>
    <w:rsid w:val="00D86A6B"/>
    <w:rsid w:val="00D878A1"/>
    <w:rsid w:val="00D9150E"/>
    <w:rsid w:val="00D91A20"/>
    <w:rsid w:val="00D93ADB"/>
    <w:rsid w:val="00DA290B"/>
    <w:rsid w:val="00DA2F33"/>
    <w:rsid w:val="00DA404E"/>
    <w:rsid w:val="00DA481B"/>
    <w:rsid w:val="00DB0EDD"/>
    <w:rsid w:val="00DB14C0"/>
    <w:rsid w:val="00DB167D"/>
    <w:rsid w:val="00DB4B27"/>
    <w:rsid w:val="00DB5587"/>
    <w:rsid w:val="00DB58B3"/>
    <w:rsid w:val="00DC1254"/>
    <w:rsid w:val="00DC1A39"/>
    <w:rsid w:val="00DC3EF9"/>
    <w:rsid w:val="00DC3F89"/>
    <w:rsid w:val="00DC6375"/>
    <w:rsid w:val="00DD4157"/>
    <w:rsid w:val="00DD4F47"/>
    <w:rsid w:val="00DE15D4"/>
    <w:rsid w:val="00DE1C9D"/>
    <w:rsid w:val="00DE4F63"/>
    <w:rsid w:val="00DE67CF"/>
    <w:rsid w:val="00DF0744"/>
    <w:rsid w:val="00DF0F7B"/>
    <w:rsid w:val="00DF593F"/>
    <w:rsid w:val="00E01E46"/>
    <w:rsid w:val="00E02F9D"/>
    <w:rsid w:val="00E03322"/>
    <w:rsid w:val="00E03416"/>
    <w:rsid w:val="00E041B9"/>
    <w:rsid w:val="00E04491"/>
    <w:rsid w:val="00E04B2B"/>
    <w:rsid w:val="00E10344"/>
    <w:rsid w:val="00E117EC"/>
    <w:rsid w:val="00E1422D"/>
    <w:rsid w:val="00E146D8"/>
    <w:rsid w:val="00E151D7"/>
    <w:rsid w:val="00E16269"/>
    <w:rsid w:val="00E165A4"/>
    <w:rsid w:val="00E21A07"/>
    <w:rsid w:val="00E2239B"/>
    <w:rsid w:val="00E24CD8"/>
    <w:rsid w:val="00E2684C"/>
    <w:rsid w:val="00E31645"/>
    <w:rsid w:val="00E33F75"/>
    <w:rsid w:val="00E359D7"/>
    <w:rsid w:val="00E368EC"/>
    <w:rsid w:val="00E40B14"/>
    <w:rsid w:val="00E42573"/>
    <w:rsid w:val="00E44266"/>
    <w:rsid w:val="00E4437C"/>
    <w:rsid w:val="00E444F6"/>
    <w:rsid w:val="00E46783"/>
    <w:rsid w:val="00E46DC6"/>
    <w:rsid w:val="00E47BE4"/>
    <w:rsid w:val="00E50DD4"/>
    <w:rsid w:val="00E51146"/>
    <w:rsid w:val="00E51E2C"/>
    <w:rsid w:val="00E5242E"/>
    <w:rsid w:val="00E53438"/>
    <w:rsid w:val="00E54027"/>
    <w:rsid w:val="00E56BE5"/>
    <w:rsid w:val="00E56D05"/>
    <w:rsid w:val="00E60B60"/>
    <w:rsid w:val="00E7046C"/>
    <w:rsid w:val="00E70813"/>
    <w:rsid w:val="00E71204"/>
    <w:rsid w:val="00E73949"/>
    <w:rsid w:val="00E760EE"/>
    <w:rsid w:val="00E80D48"/>
    <w:rsid w:val="00E820CB"/>
    <w:rsid w:val="00E82F42"/>
    <w:rsid w:val="00E830AD"/>
    <w:rsid w:val="00E85376"/>
    <w:rsid w:val="00E869DE"/>
    <w:rsid w:val="00E93B70"/>
    <w:rsid w:val="00E960F7"/>
    <w:rsid w:val="00EA243E"/>
    <w:rsid w:val="00EA31EB"/>
    <w:rsid w:val="00EA4B63"/>
    <w:rsid w:val="00EB1BE0"/>
    <w:rsid w:val="00EB25AF"/>
    <w:rsid w:val="00EB4A34"/>
    <w:rsid w:val="00EB5434"/>
    <w:rsid w:val="00EC19C6"/>
    <w:rsid w:val="00EC55E0"/>
    <w:rsid w:val="00EC5FD2"/>
    <w:rsid w:val="00ED5576"/>
    <w:rsid w:val="00EE14AC"/>
    <w:rsid w:val="00EE65FC"/>
    <w:rsid w:val="00EF144A"/>
    <w:rsid w:val="00EF4A18"/>
    <w:rsid w:val="00EF4A6C"/>
    <w:rsid w:val="00EF5893"/>
    <w:rsid w:val="00EF6932"/>
    <w:rsid w:val="00EF71F9"/>
    <w:rsid w:val="00F0232C"/>
    <w:rsid w:val="00F03CFF"/>
    <w:rsid w:val="00F05304"/>
    <w:rsid w:val="00F07E91"/>
    <w:rsid w:val="00F10A12"/>
    <w:rsid w:val="00F13A63"/>
    <w:rsid w:val="00F23F7C"/>
    <w:rsid w:val="00F27B5D"/>
    <w:rsid w:val="00F27E9B"/>
    <w:rsid w:val="00F3142E"/>
    <w:rsid w:val="00F348E2"/>
    <w:rsid w:val="00F360E5"/>
    <w:rsid w:val="00F36C4B"/>
    <w:rsid w:val="00F3783A"/>
    <w:rsid w:val="00F410BB"/>
    <w:rsid w:val="00F46D5C"/>
    <w:rsid w:val="00F47511"/>
    <w:rsid w:val="00F479B0"/>
    <w:rsid w:val="00F531E2"/>
    <w:rsid w:val="00F64D98"/>
    <w:rsid w:val="00F65814"/>
    <w:rsid w:val="00F67B3F"/>
    <w:rsid w:val="00F70C81"/>
    <w:rsid w:val="00F7315E"/>
    <w:rsid w:val="00F77C7E"/>
    <w:rsid w:val="00F8094C"/>
    <w:rsid w:val="00F8472A"/>
    <w:rsid w:val="00F86808"/>
    <w:rsid w:val="00F920CF"/>
    <w:rsid w:val="00F92605"/>
    <w:rsid w:val="00F93DFA"/>
    <w:rsid w:val="00F93FB7"/>
    <w:rsid w:val="00F94652"/>
    <w:rsid w:val="00FA5751"/>
    <w:rsid w:val="00FB185F"/>
    <w:rsid w:val="00FB4681"/>
    <w:rsid w:val="00FB66D1"/>
    <w:rsid w:val="00FB772B"/>
    <w:rsid w:val="00FB7DE0"/>
    <w:rsid w:val="00FC05A6"/>
    <w:rsid w:val="00FC2D52"/>
    <w:rsid w:val="00FC3CDE"/>
    <w:rsid w:val="00FD0339"/>
    <w:rsid w:val="00FD0660"/>
    <w:rsid w:val="00FD0C27"/>
    <w:rsid w:val="00FD1BAB"/>
    <w:rsid w:val="00FD1C08"/>
    <w:rsid w:val="00FD2D94"/>
    <w:rsid w:val="00FD304B"/>
    <w:rsid w:val="00FD7755"/>
    <w:rsid w:val="00FE3D79"/>
    <w:rsid w:val="00FE5B99"/>
    <w:rsid w:val="00FF204E"/>
    <w:rsid w:val="00FF25EF"/>
    <w:rsid w:val="00FF293E"/>
    <w:rsid w:val="00FF2BA5"/>
    <w:rsid w:val="00FF39F4"/>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78030FDF-3698-4E40-BFB5-526F109E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DA"/>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uiPriority w:val="99"/>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AD39E7"/>
    <w:pPr>
      <w:widowControl/>
      <w:spacing w:after="200" w:line="276" w:lineRule="auto"/>
      <w:jc w:val="left"/>
    </w:pPr>
    <w:rPr>
      <w:spacing w:val="15"/>
      <w:kern w:val="0"/>
      <w:sz w:val="20"/>
      <w:lang w:val="en-GB" w:eastAsia="x-none"/>
    </w:rPr>
  </w:style>
  <w:style w:type="character" w:customStyle="1" w:styleId="FootnoteTextChar">
    <w:name w:val="Footnote Text Char"/>
    <w:link w:val="FootnoteText"/>
    <w:uiPriority w:val="99"/>
    <w:rsid w:val="00AD39E7"/>
    <w:rPr>
      <w:rFonts w:ascii="Times New Roman" w:eastAsia="SimSun" w:hAnsi="Times New Roman"/>
      <w:spacing w:val="15"/>
      <w:lang w:val="en-GB"/>
    </w:rPr>
  </w:style>
  <w:style w:type="character" w:styleId="FootnoteReference">
    <w:name w:val="footnote reference"/>
    <w:uiPriority w:val="99"/>
    <w:unhideWhenUsed/>
    <w:rsid w:val="00AD39E7"/>
    <w:rPr>
      <w:vertAlign w:val="superscript"/>
    </w:rPr>
  </w:style>
  <w:style w:type="table" w:styleId="TableGrid">
    <w:name w:val="Table Grid"/>
    <w:basedOn w:val="TableNormal"/>
    <w:uiPriority w:val="3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paragraph" w:customStyle="1" w:styleId="Final">
    <w:name w:val="Final"/>
    <w:basedOn w:val="Normal"/>
    <w:link w:val="FinalChar"/>
    <w:rsid w:val="009D728B"/>
    <w:pPr>
      <w:widowControl/>
      <w:numPr>
        <w:numId w:val="27"/>
      </w:numPr>
      <w:tabs>
        <w:tab w:val="left" w:pos="1440"/>
        <w:tab w:val="center" w:pos="4234"/>
        <w:tab w:val="right" w:pos="8453"/>
      </w:tabs>
      <w:snapToGrid w:val="0"/>
      <w:spacing w:before="360" w:after="160" w:line="360" w:lineRule="auto"/>
      <w:ind w:left="0" w:firstLine="0"/>
    </w:pPr>
    <w:rPr>
      <w:kern w:val="0"/>
      <w:sz w:val="28"/>
      <w:lang w:val="en-GB"/>
    </w:rPr>
  </w:style>
  <w:style w:type="character" w:customStyle="1" w:styleId="FinalChar">
    <w:name w:val="Final Char"/>
    <w:link w:val="Final"/>
    <w:rsid w:val="009D728B"/>
    <w:rPr>
      <w:rFonts w:ascii="Times New Roman" w:eastAsia="SimSun" w:hAnsi="Times New Roman"/>
      <w:sz w:val="28"/>
      <w:lang w:val="en-GB"/>
    </w:rPr>
  </w:style>
  <w:style w:type="paragraph" w:customStyle="1" w:styleId="H-1">
    <w:name w:val="H-1"/>
    <w:basedOn w:val="Normal"/>
    <w:rsid w:val="009D728B"/>
    <w:pPr>
      <w:keepNext/>
      <w:widowControl/>
      <w:tabs>
        <w:tab w:val="center" w:pos="720"/>
        <w:tab w:val="center" w:pos="4320"/>
      </w:tabs>
      <w:spacing w:before="440" w:after="160" w:line="360" w:lineRule="auto"/>
      <w:ind w:left="720" w:hanging="720"/>
      <w:outlineLvl w:val="0"/>
    </w:pPr>
    <w:rPr>
      <w:i/>
      <w:sz w:val="28"/>
      <w:lang w:val="en-GB"/>
    </w:rPr>
  </w:style>
  <w:style w:type="paragraph" w:customStyle="1" w:styleId="Hanging">
    <w:name w:val="Hanging"/>
    <w:basedOn w:val="Normal"/>
    <w:rsid w:val="009D728B"/>
    <w:pPr>
      <w:widowControl/>
      <w:tabs>
        <w:tab w:val="left" w:pos="1440"/>
        <w:tab w:val="center" w:pos="4320"/>
        <w:tab w:val="right" w:pos="9072"/>
      </w:tabs>
      <w:spacing w:before="160" w:after="160" w:line="360" w:lineRule="auto"/>
      <w:ind w:left="1440" w:hanging="720"/>
    </w:pPr>
    <w:rPr>
      <w:sz w:val="28"/>
    </w:rPr>
  </w:style>
  <w:style w:type="paragraph" w:customStyle="1" w:styleId="Quotation">
    <w:name w:val="Quotation"/>
    <w:basedOn w:val="Normal"/>
    <w:rsid w:val="009D728B"/>
    <w:pPr>
      <w:widowControl/>
      <w:tabs>
        <w:tab w:val="left" w:pos="1440"/>
        <w:tab w:val="left" w:pos="2160"/>
        <w:tab w:val="center" w:pos="2880"/>
        <w:tab w:val="center" w:pos="4320"/>
        <w:tab w:val="right" w:pos="9072"/>
      </w:tabs>
      <w:snapToGrid w:val="0"/>
      <w:spacing w:before="160" w:after="240"/>
      <w:ind w:left="1440" w:right="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7C500-D1EA-429D-9B16-520413C76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3272</Words>
  <Characters>18654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2021-03-11T05:00:00Z</cp:lastPrinted>
  <dcterms:created xsi:type="dcterms:W3CDTF">2023-10-14T01:15:00Z</dcterms:created>
  <dcterms:modified xsi:type="dcterms:W3CDTF">2023-10-14T01:15:00Z</dcterms:modified>
</cp:coreProperties>
</file>