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501B1D"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501B1D">
        <w:rPr>
          <w:rFonts w:ascii="Times New Roman" w:eastAsia="PMingLiU" w:hAnsi="Times New Roman"/>
          <w:b w:val="0"/>
          <w:kern w:val="0"/>
          <w:szCs w:val="28"/>
          <w:lang w:eastAsia="zh-TW"/>
        </w:rPr>
        <w:t xml:space="preserve">DCPI </w:t>
      </w:r>
      <w:r w:rsidR="00EF43B8" w:rsidRPr="00501B1D">
        <w:rPr>
          <w:rFonts w:ascii="Times New Roman" w:eastAsia="PMingLiU" w:hAnsi="Times New Roman" w:hint="eastAsia"/>
          <w:b w:val="0"/>
          <w:kern w:val="0"/>
          <w:szCs w:val="28"/>
          <w:lang w:eastAsia="zh-TW"/>
        </w:rPr>
        <w:t>3621/2019</w:t>
      </w:r>
    </w:p>
    <w:p w:rsidR="00D0454A" w:rsidRPr="00501B1D" w:rsidRDefault="00AD6ECF"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BD5560" w:rsidRPr="00BD5560">
            <w:rPr>
              <w:rStyle w:val="PlaceholderText"/>
              <w:color w:val="auto"/>
            </w:rPr>
            <w:t>[2021] HKDC 237</w:t>
          </w:r>
        </w:sdtContent>
      </w:sdt>
    </w:p>
    <w:p w:rsidR="00D0454A" w:rsidRPr="00501B1D"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EF43B8"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EF43B8">
        <w:rPr>
          <w:rFonts w:ascii="Times New Roman" w:eastAsia="PMingLiU" w:hAnsi="Times New Roman" w:hint="eastAsia"/>
          <w:b w:val="0"/>
          <w:kern w:val="0"/>
          <w:szCs w:val="28"/>
          <w:lang w:val="en-US" w:eastAsia="zh-TW"/>
        </w:rPr>
        <w:t>3621</w:t>
      </w:r>
      <w:r w:rsidR="00EF43B8">
        <w:rPr>
          <w:rFonts w:ascii="Times New Roman" w:hAnsi="Times New Roman"/>
          <w:b w:val="0"/>
          <w:kern w:val="0"/>
          <w:szCs w:val="28"/>
          <w:lang w:val="en-US"/>
        </w:rPr>
        <w:t xml:space="preserve"> OF 201</w:t>
      </w:r>
      <w:r w:rsidR="00EF43B8">
        <w:rPr>
          <w:rFonts w:ascii="Times New Roman" w:eastAsia="PMingLiU" w:hAnsi="Times New Roman" w:hint="eastAsia"/>
          <w:b w:val="0"/>
          <w:kern w:val="0"/>
          <w:szCs w:val="28"/>
          <w:lang w:val="en-US" w:eastAsia="zh-TW"/>
        </w:rPr>
        <w:t>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D0454A">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EF43B8">
        <w:rPr>
          <w:rFonts w:eastAsia="PMingLiU" w:hint="eastAsia"/>
          <w:bCs/>
          <w:szCs w:val="28"/>
          <w:lang w:eastAsia="zh-TW"/>
        </w:rPr>
        <w:t>HU WAN</w:t>
      </w:r>
      <w:r w:rsidRPr="00DD10CE">
        <w:rPr>
          <w:bCs/>
          <w:szCs w:val="28"/>
        </w:rPr>
        <w:t xml:space="preserve">  </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EF43B8" w:rsidRDefault="00EF43B8" w:rsidP="00996437">
      <w:pPr>
        <w:tabs>
          <w:tab w:val="clear" w:pos="1440"/>
          <w:tab w:val="clear" w:pos="4320"/>
          <w:tab w:val="clear" w:pos="9072"/>
          <w:tab w:val="center" w:pos="4140"/>
          <w:tab w:val="right" w:pos="8280"/>
        </w:tabs>
        <w:snapToGrid/>
        <w:rPr>
          <w:rFonts w:eastAsia="PMingLiU"/>
          <w:bCs/>
          <w:szCs w:val="28"/>
          <w:lang w:eastAsia="zh-TW"/>
        </w:rPr>
      </w:pPr>
      <w:r>
        <w:rPr>
          <w:rFonts w:eastAsia="PMingLiU" w:hint="eastAsia"/>
          <w:bCs/>
          <w:szCs w:val="28"/>
          <w:lang w:eastAsia="zh-TW"/>
        </w:rPr>
        <w:tab/>
        <w:t>SANWO INTERNATIONAL</w:t>
      </w:r>
    </w:p>
    <w:p w:rsidR="00D0454A" w:rsidRPr="00EF43B8" w:rsidRDefault="00EF43B8" w:rsidP="001F5FF8">
      <w:pPr>
        <w:tabs>
          <w:tab w:val="clear" w:pos="1440"/>
          <w:tab w:val="clear" w:pos="4320"/>
          <w:tab w:val="clear" w:pos="9072"/>
          <w:tab w:val="center" w:pos="4140"/>
          <w:tab w:val="right" w:pos="8280"/>
        </w:tabs>
        <w:snapToGrid/>
        <w:spacing w:line="360" w:lineRule="auto"/>
        <w:rPr>
          <w:rFonts w:eastAsia="PMingLiU"/>
          <w:bCs/>
          <w:szCs w:val="28"/>
          <w:lang w:eastAsia="zh-TW"/>
        </w:rPr>
      </w:pPr>
      <w:r>
        <w:rPr>
          <w:rFonts w:eastAsia="PMingLiU" w:hint="eastAsia"/>
          <w:bCs/>
          <w:szCs w:val="28"/>
          <w:lang w:eastAsia="zh-TW"/>
        </w:rPr>
        <w:tab/>
        <w:t>COMPANY LIMITED</w:t>
      </w:r>
      <w:r>
        <w:rPr>
          <w:rFonts w:eastAsia="PMingLiU" w:hint="eastAsia"/>
          <w:bCs/>
          <w:szCs w:val="28"/>
          <w:lang w:eastAsia="zh-TW"/>
        </w:rPr>
        <w:tab/>
      </w:r>
      <w:r w:rsidR="00D0454A" w:rsidRPr="00EF43B8">
        <w:rPr>
          <w:rFonts w:eastAsia="PMingLiU"/>
          <w:bCs/>
          <w:szCs w:val="28"/>
          <w:lang w:eastAsia="zh-TW"/>
        </w:rPr>
        <w:t>Defendant</w:t>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 xml:space="preserve">Before:  His Honour Judge Andrew </w:t>
      </w:r>
      <w:r w:rsidRPr="00F03785">
        <w:rPr>
          <w:rFonts w:ascii="Times New Roman" w:hAnsi="Times New Roman"/>
          <w:b w:val="0"/>
          <w:sz w:val="28"/>
          <w:szCs w:val="28"/>
        </w:rPr>
        <w:t xml:space="preserve">Li in </w:t>
      </w:r>
      <w:r w:rsidR="00EF43B8" w:rsidRPr="00F03785">
        <w:rPr>
          <w:rFonts w:ascii="Times New Roman" w:eastAsia="PMingLiU" w:hAnsi="Times New Roman" w:hint="eastAsia"/>
          <w:b w:val="0"/>
          <w:sz w:val="28"/>
          <w:szCs w:val="28"/>
          <w:lang w:eastAsia="zh-TW"/>
        </w:rPr>
        <w:t>Court</w:t>
      </w:r>
      <w:r w:rsidRPr="00F03785">
        <w:rPr>
          <w:rFonts w:ascii="Times New Roman" w:hAnsi="Times New Roman"/>
          <w:b w:val="0"/>
          <w:sz w:val="28"/>
          <w:szCs w:val="28"/>
        </w:rPr>
        <w:t xml:space="preserve"> (Open to public)</w:t>
      </w:r>
    </w:p>
    <w:p w:rsidR="008A1C7A" w:rsidRPr="008A1C7A" w:rsidRDefault="008D24AD" w:rsidP="007B1D44">
      <w:pPr>
        <w:spacing w:line="360" w:lineRule="auto"/>
        <w:ind w:right="-720"/>
        <w:rPr>
          <w:bCs/>
          <w:szCs w:val="28"/>
          <w:lang w:val="en-GB"/>
        </w:rPr>
      </w:pPr>
      <w:r>
        <w:rPr>
          <w:bCs/>
          <w:szCs w:val="28"/>
          <w:lang w:val="en-GB"/>
        </w:rPr>
        <w:t xml:space="preserve">Date of </w:t>
      </w:r>
      <w:r w:rsidR="009C18A5">
        <w:rPr>
          <w:bCs/>
          <w:szCs w:val="28"/>
          <w:lang w:val="en-GB"/>
        </w:rPr>
        <w:t>Trial</w:t>
      </w:r>
      <w:r>
        <w:rPr>
          <w:bCs/>
          <w:szCs w:val="28"/>
          <w:lang w:val="en-GB"/>
        </w:rPr>
        <w:t xml:space="preserve">:  </w:t>
      </w:r>
      <w:r w:rsidR="00EF43B8">
        <w:rPr>
          <w:rFonts w:eastAsia="PMingLiU" w:hint="eastAsia"/>
          <w:bCs/>
          <w:szCs w:val="28"/>
          <w:lang w:val="en-GB" w:eastAsia="zh-TW"/>
        </w:rPr>
        <w:t>9</w:t>
      </w:r>
      <w:r w:rsidR="006A4BEB">
        <w:rPr>
          <w:rFonts w:eastAsia="PMingLiU"/>
          <w:bCs/>
          <w:szCs w:val="28"/>
          <w:lang w:val="en-GB" w:eastAsia="zh-TW"/>
        </w:rPr>
        <w:t xml:space="preserve"> - 10</w:t>
      </w:r>
      <w:r w:rsidR="00EF43B8">
        <w:rPr>
          <w:rFonts w:eastAsia="PMingLiU" w:hint="eastAsia"/>
          <w:bCs/>
          <w:szCs w:val="28"/>
          <w:lang w:val="en-GB" w:eastAsia="zh-TW"/>
        </w:rPr>
        <w:t xml:space="preserve"> November</w:t>
      </w:r>
      <w:r w:rsidR="009464D0">
        <w:rPr>
          <w:bCs/>
          <w:szCs w:val="28"/>
          <w:lang w:val="en-GB"/>
        </w:rPr>
        <w:t xml:space="preserve"> 2020</w:t>
      </w:r>
    </w:p>
    <w:p w:rsidR="008A1C7A" w:rsidRPr="00EF43B8" w:rsidRDefault="00435CF0" w:rsidP="007B1D44">
      <w:pPr>
        <w:spacing w:line="360" w:lineRule="auto"/>
        <w:ind w:right="-720"/>
        <w:rPr>
          <w:rFonts w:eastAsia="PMingLiU"/>
          <w:bCs/>
          <w:szCs w:val="28"/>
          <w:lang w:val="en-GB" w:eastAsia="zh-TW"/>
        </w:rPr>
      </w:pPr>
      <w:r>
        <w:rPr>
          <w:bCs/>
          <w:szCs w:val="28"/>
          <w:lang w:val="en-GB"/>
        </w:rPr>
        <w:t xml:space="preserve">Date of </w:t>
      </w:r>
      <w:r w:rsidR="00267EBF">
        <w:rPr>
          <w:bCs/>
          <w:szCs w:val="28"/>
          <w:lang w:val="en-GB"/>
        </w:rPr>
        <w:t>handing down assessment of damages</w:t>
      </w:r>
      <w:r>
        <w:rPr>
          <w:bCs/>
          <w:szCs w:val="28"/>
          <w:lang w:val="en-GB"/>
        </w:rPr>
        <w:t>:</w:t>
      </w:r>
      <w:r w:rsidR="00463EF7">
        <w:rPr>
          <w:bCs/>
          <w:szCs w:val="28"/>
          <w:lang w:val="en-GB"/>
        </w:rPr>
        <w:t xml:space="preserve">  26 </w:t>
      </w:r>
      <w:r w:rsidR="00E34B9D">
        <w:rPr>
          <w:bCs/>
          <w:szCs w:val="28"/>
          <w:lang w:val="en-GB"/>
        </w:rPr>
        <w:t>February</w:t>
      </w:r>
      <w:r w:rsidR="00267EBF">
        <w:rPr>
          <w:bCs/>
          <w:szCs w:val="28"/>
          <w:lang w:val="en-GB"/>
        </w:rPr>
        <w:t xml:space="preserve"> 2021</w:t>
      </w:r>
      <w:r>
        <w:rPr>
          <w:bCs/>
          <w:szCs w:val="28"/>
          <w:lang w:val="en-GB"/>
        </w:rPr>
        <w:t xml:space="preserve">  </w:t>
      </w:r>
    </w:p>
    <w:p w:rsidR="00657E0F" w:rsidRPr="00604CFB" w:rsidRDefault="00657E0F" w:rsidP="002C1F20">
      <w:pPr>
        <w:tabs>
          <w:tab w:val="clear" w:pos="4320"/>
          <w:tab w:val="clear" w:pos="9072"/>
        </w:tabs>
        <w:adjustRightInd w:val="0"/>
        <w:spacing w:line="360" w:lineRule="auto"/>
        <w:ind w:right="26"/>
        <w:rPr>
          <w:szCs w:val="28"/>
          <w:lang w:val="en-GB"/>
        </w:rPr>
      </w:pPr>
    </w:p>
    <w:p w:rsidR="00657E0F" w:rsidRPr="00A10BC0" w:rsidRDefault="00657E0F" w:rsidP="002C1F20">
      <w:pPr>
        <w:tabs>
          <w:tab w:val="clear" w:pos="4320"/>
          <w:tab w:val="clear" w:pos="9072"/>
          <w:tab w:val="left" w:pos="1620"/>
          <w:tab w:val="right" w:pos="8280"/>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r w:rsidR="0086642B">
        <w:rPr>
          <w:szCs w:val="28"/>
        </w:rPr>
        <w:t>--</w:t>
      </w:r>
      <w:r w:rsidR="008A1C7A">
        <w:rPr>
          <w:szCs w:val="28"/>
        </w:rPr>
        <w:t>---------------</w:t>
      </w:r>
    </w:p>
    <w:p w:rsidR="00657E0F" w:rsidRPr="00A10BC0" w:rsidRDefault="00267EBF" w:rsidP="002C1F20">
      <w:pPr>
        <w:tabs>
          <w:tab w:val="clear" w:pos="4320"/>
          <w:tab w:val="clear" w:pos="9072"/>
          <w:tab w:val="left" w:pos="1620"/>
          <w:tab w:val="right" w:pos="8280"/>
        </w:tabs>
        <w:adjustRightInd w:val="0"/>
        <w:spacing w:line="360" w:lineRule="auto"/>
        <w:ind w:right="26"/>
        <w:jc w:val="center"/>
        <w:rPr>
          <w:rFonts w:eastAsia="PMingLiU"/>
          <w:szCs w:val="28"/>
          <w:lang w:eastAsia="zh-TW"/>
        </w:rPr>
      </w:pPr>
      <w:r>
        <w:rPr>
          <w:szCs w:val="28"/>
        </w:rPr>
        <w:t>ASSESSMENT OF DAMAGES</w:t>
      </w:r>
    </w:p>
    <w:p w:rsidR="00657E0F" w:rsidRPr="00A10BC0" w:rsidRDefault="00657E0F" w:rsidP="002C1F20">
      <w:pPr>
        <w:tabs>
          <w:tab w:val="clear" w:pos="4320"/>
          <w:tab w:val="clear" w:pos="9072"/>
          <w:tab w:val="left" w:pos="1620"/>
          <w:tab w:val="right" w:pos="8280"/>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r w:rsidR="0086642B">
        <w:rPr>
          <w:szCs w:val="28"/>
        </w:rPr>
        <w:t>---</w:t>
      </w:r>
      <w:r w:rsidR="008A1C7A">
        <w:rPr>
          <w:szCs w:val="28"/>
        </w:rPr>
        <w:t>------------</w:t>
      </w:r>
    </w:p>
    <w:p w:rsidR="00657E0F" w:rsidRDefault="00657E0F" w:rsidP="002C1F20">
      <w:pPr>
        <w:tabs>
          <w:tab w:val="clear" w:pos="4320"/>
          <w:tab w:val="clear" w:pos="9072"/>
        </w:tabs>
        <w:spacing w:line="360" w:lineRule="auto"/>
        <w:ind w:right="26"/>
        <w:jc w:val="both"/>
        <w:rPr>
          <w:szCs w:val="28"/>
        </w:rPr>
      </w:pPr>
    </w:p>
    <w:p w:rsidR="00B666CB" w:rsidRPr="00B666CB" w:rsidRDefault="00AF738D" w:rsidP="0086642B">
      <w:pPr>
        <w:tabs>
          <w:tab w:val="clear" w:pos="4320"/>
          <w:tab w:val="clear" w:pos="9072"/>
        </w:tabs>
        <w:spacing w:line="360" w:lineRule="auto"/>
        <w:ind w:right="-720"/>
        <w:jc w:val="both"/>
        <w:rPr>
          <w:bCs/>
          <w:i/>
          <w:szCs w:val="28"/>
        </w:rPr>
      </w:pPr>
      <w:r>
        <w:rPr>
          <w:bCs/>
          <w:i/>
          <w:szCs w:val="28"/>
        </w:rPr>
        <w:t>INTRODUCTION</w:t>
      </w:r>
    </w:p>
    <w:p w:rsidR="00150644" w:rsidRDefault="00150644" w:rsidP="0086642B">
      <w:pPr>
        <w:tabs>
          <w:tab w:val="clear" w:pos="4320"/>
          <w:tab w:val="clear" w:pos="9072"/>
        </w:tabs>
        <w:spacing w:line="360" w:lineRule="auto"/>
        <w:ind w:right="-720"/>
        <w:jc w:val="both"/>
        <w:rPr>
          <w:bCs/>
          <w:szCs w:val="28"/>
        </w:rPr>
      </w:pPr>
    </w:p>
    <w:p w:rsidR="00904D58" w:rsidRPr="00A35968" w:rsidRDefault="00A35968" w:rsidP="0086642B">
      <w:pPr>
        <w:pStyle w:val="ListParagraph"/>
        <w:numPr>
          <w:ilvl w:val="0"/>
          <w:numId w:val="17"/>
        </w:numPr>
        <w:spacing w:line="360" w:lineRule="auto"/>
        <w:ind w:left="0" w:firstLine="0"/>
        <w:jc w:val="both"/>
        <w:rPr>
          <w:szCs w:val="28"/>
        </w:rPr>
      </w:pPr>
      <w:r w:rsidRPr="00A35968">
        <w:rPr>
          <w:szCs w:val="28"/>
          <w:lang w:eastAsia="zh-HK"/>
        </w:rPr>
        <w:t>This is the as</w:t>
      </w:r>
      <w:r w:rsidR="00267EBF">
        <w:rPr>
          <w:szCs w:val="28"/>
          <w:lang w:eastAsia="zh-HK"/>
        </w:rPr>
        <w:t xml:space="preserve">sessment of damages arising out of </w:t>
      </w:r>
      <w:r w:rsidRPr="00A35968">
        <w:rPr>
          <w:szCs w:val="28"/>
          <w:lang w:eastAsia="zh-HK"/>
        </w:rPr>
        <w:t xml:space="preserve">an accident </w:t>
      </w:r>
      <w:r w:rsidR="00DD256B">
        <w:rPr>
          <w:szCs w:val="28"/>
          <w:lang w:eastAsia="zh-HK"/>
        </w:rPr>
        <w:t xml:space="preserve">happened to </w:t>
      </w:r>
      <w:r w:rsidR="00267EBF">
        <w:rPr>
          <w:szCs w:val="28"/>
          <w:lang w:eastAsia="zh-HK"/>
        </w:rPr>
        <w:t xml:space="preserve">the plaintiff </w:t>
      </w:r>
      <w:r w:rsidRPr="00A35968">
        <w:rPr>
          <w:szCs w:val="28"/>
          <w:lang w:eastAsia="zh-HK"/>
        </w:rPr>
        <w:t xml:space="preserve">at work on </w:t>
      </w:r>
      <w:r>
        <w:rPr>
          <w:rFonts w:eastAsia="PMingLiU" w:hint="eastAsia"/>
          <w:szCs w:val="28"/>
          <w:lang w:eastAsia="zh-TW"/>
        </w:rPr>
        <w:t>31 January 2016 (</w:t>
      </w:r>
      <w:r>
        <w:rPr>
          <w:rFonts w:eastAsia="PMingLiU"/>
          <w:szCs w:val="28"/>
          <w:lang w:eastAsia="zh-TW"/>
        </w:rPr>
        <w:t>“</w:t>
      </w:r>
      <w:r>
        <w:rPr>
          <w:rFonts w:eastAsia="PMingLiU" w:hint="eastAsia"/>
          <w:szCs w:val="28"/>
          <w:lang w:eastAsia="zh-TW"/>
        </w:rPr>
        <w:t>the Accident</w:t>
      </w:r>
      <w:r>
        <w:rPr>
          <w:rFonts w:eastAsia="PMingLiU"/>
          <w:szCs w:val="28"/>
          <w:lang w:eastAsia="zh-TW"/>
        </w:rPr>
        <w:t>”</w:t>
      </w:r>
      <w:r>
        <w:rPr>
          <w:rFonts w:eastAsia="PMingLiU" w:hint="eastAsia"/>
          <w:szCs w:val="28"/>
          <w:lang w:eastAsia="zh-TW"/>
        </w:rPr>
        <w:t>)</w:t>
      </w:r>
      <w:r w:rsidR="00267EBF">
        <w:rPr>
          <w:rFonts w:eastAsia="PMingLiU"/>
          <w:szCs w:val="28"/>
          <w:lang w:eastAsia="zh-TW"/>
        </w:rPr>
        <w:t>.</w:t>
      </w:r>
      <w:r w:rsidRPr="00A35968">
        <w:rPr>
          <w:szCs w:val="28"/>
          <w:lang w:eastAsia="zh-HK"/>
        </w:rPr>
        <w:t xml:space="preserve"> </w:t>
      </w:r>
      <w:r w:rsidR="00267EBF">
        <w:rPr>
          <w:szCs w:val="28"/>
          <w:lang w:eastAsia="zh-HK"/>
        </w:rPr>
        <w:t>I</w:t>
      </w:r>
      <w:r w:rsidRPr="00A35968">
        <w:rPr>
          <w:szCs w:val="28"/>
          <w:lang w:eastAsia="zh-HK"/>
        </w:rPr>
        <w:t>nterlocutory judgment on liability having been entered ag</w:t>
      </w:r>
      <w:r>
        <w:rPr>
          <w:szCs w:val="28"/>
          <w:lang w:eastAsia="zh-HK"/>
        </w:rPr>
        <w:t xml:space="preserve">ainst </w:t>
      </w:r>
      <w:r>
        <w:rPr>
          <w:rFonts w:eastAsia="PMingLiU" w:hint="eastAsia"/>
          <w:szCs w:val="28"/>
          <w:lang w:eastAsia="zh-TW"/>
        </w:rPr>
        <w:t xml:space="preserve">the </w:t>
      </w:r>
      <w:r>
        <w:rPr>
          <w:rFonts w:eastAsia="PMingLiU" w:hint="eastAsia"/>
          <w:szCs w:val="28"/>
          <w:lang w:eastAsia="zh-TW"/>
        </w:rPr>
        <w:lastRenderedPageBreak/>
        <w:t>defendant</w:t>
      </w:r>
      <w:r w:rsidR="00267EBF">
        <w:rPr>
          <w:szCs w:val="28"/>
          <w:lang w:eastAsia="zh-HK"/>
        </w:rPr>
        <w:t xml:space="preserve">, the only issue remains for the Court to </w:t>
      </w:r>
      <w:r w:rsidR="00E34B9D">
        <w:rPr>
          <w:szCs w:val="28"/>
          <w:lang w:eastAsia="zh-HK"/>
        </w:rPr>
        <w:t>decide is the amount of damages</w:t>
      </w:r>
      <w:r w:rsidR="00DD256B">
        <w:rPr>
          <w:szCs w:val="28"/>
          <w:lang w:eastAsia="zh-HK"/>
        </w:rPr>
        <w:t xml:space="preserve"> which the plaintiff is entitled to</w:t>
      </w:r>
      <w:r w:rsidR="001B536C">
        <w:rPr>
          <w:szCs w:val="28"/>
          <w:lang w:eastAsia="zh-HK"/>
        </w:rPr>
        <w:t xml:space="preserve"> in this case</w:t>
      </w:r>
      <w:r w:rsidR="00E34B9D">
        <w:rPr>
          <w:szCs w:val="28"/>
          <w:lang w:eastAsia="zh-HK"/>
        </w:rPr>
        <w:t>.</w:t>
      </w:r>
    </w:p>
    <w:p w:rsidR="001D48BB" w:rsidRDefault="001D48BB" w:rsidP="0086642B">
      <w:pPr>
        <w:pStyle w:val="ListParagraph"/>
        <w:spacing w:line="360" w:lineRule="auto"/>
        <w:ind w:left="0"/>
        <w:jc w:val="both"/>
      </w:pPr>
    </w:p>
    <w:p w:rsidR="00E34B9D" w:rsidRPr="00E34B9D" w:rsidRDefault="00E34B9D" w:rsidP="0086642B">
      <w:pPr>
        <w:pStyle w:val="ListParagraph"/>
        <w:spacing w:line="360" w:lineRule="auto"/>
        <w:ind w:left="0"/>
        <w:jc w:val="both"/>
        <w:rPr>
          <w:i/>
        </w:rPr>
      </w:pPr>
      <w:r w:rsidRPr="00E34B9D">
        <w:rPr>
          <w:i/>
        </w:rPr>
        <w:t>BACKGROUND</w:t>
      </w:r>
    </w:p>
    <w:p w:rsidR="007E3AFF" w:rsidRPr="007E3AFF" w:rsidRDefault="007E3AFF" w:rsidP="0086642B">
      <w:pPr>
        <w:pStyle w:val="ListParagraph"/>
        <w:spacing w:line="360" w:lineRule="auto"/>
        <w:ind w:left="0"/>
        <w:jc w:val="both"/>
        <w:rPr>
          <w:i/>
        </w:rPr>
      </w:pPr>
    </w:p>
    <w:p w:rsidR="00E34B9D" w:rsidRPr="007E3AFF" w:rsidRDefault="007E3AFF" w:rsidP="0086642B">
      <w:pPr>
        <w:pStyle w:val="ListParagraph"/>
        <w:spacing w:line="360" w:lineRule="auto"/>
        <w:ind w:left="0"/>
        <w:jc w:val="both"/>
        <w:rPr>
          <w:i/>
        </w:rPr>
      </w:pPr>
      <w:r w:rsidRPr="007E3AFF">
        <w:rPr>
          <w:i/>
        </w:rPr>
        <w:t>The Accident</w:t>
      </w:r>
    </w:p>
    <w:p w:rsidR="007E3AFF" w:rsidRDefault="007E3AFF" w:rsidP="0086642B">
      <w:pPr>
        <w:pStyle w:val="ListParagraph"/>
        <w:spacing w:line="360" w:lineRule="auto"/>
        <w:ind w:left="0"/>
        <w:jc w:val="both"/>
      </w:pPr>
    </w:p>
    <w:p w:rsidR="000D5265" w:rsidRDefault="00A35968" w:rsidP="0086642B">
      <w:pPr>
        <w:pStyle w:val="ListParagraph"/>
        <w:numPr>
          <w:ilvl w:val="0"/>
          <w:numId w:val="17"/>
        </w:numPr>
        <w:spacing w:line="360" w:lineRule="auto"/>
        <w:ind w:left="0" w:firstLine="0"/>
        <w:jc w:val="both"/>
      </w:pPr>
      <w:r w:rsidRPr="00E34B9D">
        <w:rPr>
          <w:rFonts w:eastAsia="PMingLiU" w:hint="eastAsia"/>
          <w:szCs w:val="28"/>
          <w:lang w:eastAsia="zh-TW"/>
        </w:rPr>
        <w:t>The plaintiff</w:t>
      </w:r>
      <w:r w:rsidRPr="00E34B9D">
        <w:rPr>
          <w:szCs w:val="28"/>
          <w:lang w:eastAsia="zh-HK"/>
        </w:rPr>
        <w:t xml:space="preserve"> was 27 years </w:t>
      </w:r>
      <w:r w:rsidR="000F5BD4">
        <w:rPr>
          <w:szCs w:val="28"/>
          <w:lang w:eastAsia="zh-HK"/>
        </w:rPr>
        <w:t xml:space="preserve">old </w:t>
      </w:r>
      <w:r w:rsidRPr="00E34B9D">
        <w:rPr>
          <w:szCs w:val="28"/>
          <w:lang w:eastAsia="zh-HK"/>
        </w:rPr>
        <w:t>at the time of the Accident.  She worked fo</w:t>
      </w:r>
      <w:r w:rsidR="00DA2D5B">
        <w:rPr>
          <w:szCs w:val="28"/>
          <w:lang w:eastAsia="zh-HK"/>
        </w:rPr>
        <w:t>r the defendant as a saleslady</w:t>
      </w:r>
      <w:r w:rsidRPr="00E34B9D">
        <w:rPr>
          <w:szCs w:val="28"/>
          <w:lang w:eastAsia="zh-HK"/>
        </w:rPr>
        <w:t xml:space="preserve"> in the defendant’s shop </w:t>
      </w:r>
      <w:r w:rsidR="000F5BD4">
        <w:rPr>
          <w:szCs w:val="28"/>
          <w:lang w:eastAsia="zh-HK"/>
        </w:rPr>
        <w:t xml:space="preserve">situated </w:t>
      </w:r>
      <w:r w:rsidR="00B03581">
        <w:rPr>
          <w:szCs w:val="28"/>
          <w:lang w:eastAsia="zh-HK"/>
        </w:rPr>
        <w:t xml:space="preserve">within a </w:t>
      </w:r>
      <w:r w:rsidR="00B35E52">
        <w:rPr>
          <w:szCs w:val="28"/>
          <w:lang w:eastAsia="zh-HK"/>
        </w:rPr>
        <w:t xml:space="preserve">large </w:t>
      </w:r>
      <w:r w:rsidR="00B03581">
        <w:rPr>
          <w:szCs w:val="28"/>
          <w:lang w:eastAsia="zh-HK"/>
        </w:rPr>
        <w:t xml:space="preserve">shopping centre </w:t>
      </w:r>
      <w:r w:rsidR="007E3AFF">
        <w:rPr>
          <w:szCs w:val="28"/>
          <w:lang w:eastAsia="zh-HK"/>
        </w:rPr>
        <w:t xml:space="preserve">in </w:t>
      </w:r>
      <w:r w:rsidRPr="00E34B9D">
        <w:rPr>
          <w:szCs w:val="28"/>
          <w:lang w:eastAsia="zh-HK"/>
        </w:rPr>
        <w:t xml:space="preserve">Tseung Kwan O.  </w:t>
      </w:r>
      <w:r w:rsidRPr="00E34B9D">
        <w:rPr>
          <w:rFonts w:eastAsia="PMingLiU" w:hint="eastAsia"/>
          <w:szCs w:val="28"/>
          <w:lang w:eastAsia="zh-TW"/>
        </w:rPr>
        <w:t>T</w:t>
      </w:r>
      <w:r w:rsidRPr="00E34B9D">
        <w:rPr>
          <w:szCs w:val="28"/>
          <w:lang w:eastAsia="zh-HK"/>
        </w:rPr>
        <w:t>he defendant</w:t>
      </w:r>
      <w:r w:rsidR="000F5BD4">
        <w:rPr>
          <w:szCs w:val="28"/>
          <w:lang w:eastAsia="zh-HK"/>
        </w:rPr>
        <w:t xml:space="preserve"> is a retailer of shoes</w:t>
      </w:r>
      <w:r w:rsidRPr="00E34B9D">
        <w:rPr>
          <w:szCs w:val="28"/>
          <w:lang w:eastAsia="zh-HK"/>
        </w:rPr>
        <w:t>.</w:t>
      </w:r>
    </w:p>
    <w:p w:rsidR="001D48BB" w:rsidRDefault="001D48BB" w:rsidP="0086642B">
      <w:pPr>
        <w:pStyle w:val="ListParagraph"/>
        <w:spacing w:line="360" w:lineRule="auto"/>
        <w:ind w:left="0"/>
      </w:pPr>
    </w:p>
    <w:p w:rsidR="003A2BD2" w:rsidRPr="00A729FA" w:rsidRDefault="00A35968" w:rsidP="0086642B">
      <w:pPr>
        <w:pStyle w:val="ListParagraph"/>
        <w:numPr>
          <w:ilvl w:val="0"/>
          <w:numId w:val="17"/>
        </w:numPr>
        <w:spacing w:line="360" w:lineRule="auto"/>
        <w:ind w:left="0" w:firstLine="0"/>
        <w:jc w:val="both"/>
      </w:pPr>
      <w:r w:rsidRPr="008846E1">
        <w:rPr>
          <w:szCs w:val="28"/>
          <w:lang w:eastAsia="zh-HK"/>
        </w:rPr>
        <w:t xml:space="preserve">On </w:t>
      </w:r>
      <w:r w:rsidR="000F5BD4">
        <w:rPr>
          <w:szCs w:val="28"/>
          <w:lang w:eastAsia="zh-HK"/>
        </w:rPr>
        <w:t>the date of the Accident,</w:t>
      </w:r>
      <w:r w:rsidRPr="008846E1">
        <w:rPr>
          <w:szCs w:val="28"/>
          <w:lang w:eastAsia="zh-HK"/>
        </w:rPr>
        <w:t xml:space="preserve"> at the request of </w:t>
      </w:r>
      <w:r w:rsidR="000F5BD4">
        <w:rPr>
          <w:szCs w:val="28"/>
          <w:lang w:eastAsia="zh-HK"/>
        </w:rPr>
        <w:t xml:space="preserve">her customers, the plaintiff had to go into </w:t>
      </w:r>
      <w:r w:rsidR="00B56C69">
        <w:rPr>
          <w:szCs w:val="28"/>
          <w:lang w:eastAsia="zh-HK"/>
        </w:rPr>
        <w:t>the storeroom and climbed up a set of</w:t>
      </w:r>
      <w:r w:rsidRPr="008846E1">
        <w:rPr>
          <w:szCs w:val="28"/>
          <w:lang w:eastAsia="zh-HK"/>
        </w:rPr>
        <w:t xml:space="preserve"> ladder in order to get </w:t>
      </w:r>
      <w:r w:rsidR="000F5BD4">
        <w:rPr>
          <w:szCs w:val="28"/>
          <w:lang w:eastAsia="zh-HK"/>
        </w:rPr>
        <w:t>2</w:t>
      </w:r>
      <w:r w:rsidRPr="008846E1">
        <w:rPr>
          <w:szCs w:val="28"/>
          <w:lang w:eastAsia="zh-HK"/>
        </w:rPr>
        <w:t xml:space="preserve"> pairs of shoes for </w:t>
      </w:r>
      <w:r w:rsidR="000F5BD4">
        <w:rPr>
          <w:szCs w:val="28"/>
          <w:lang w:eastAsia="zh-HK"/>
        </w:rPr>
        <w:t>her</w:t>
      </w:r>
      <w:r w:rsidRPr="008846E1">
        <w:rPr>
          <w:szCs w:val="28"/>
          <w:lang w:eastAsia="zh-HK"/>
        </w:rPr>
        <w:t xml:space="preserve"> customers</w:t>
      </w:r>
      <w:r w:rsidR="000F5BD4">
        <w:rPr>
          <w:szCs w:val="28"/>
          <w:lang w:eastAsia="zh-HK"/>
        </w:rPr>
        <w:t xml:space="preserve"> for fitting</w:t>
      </w:r>
      <w:r w:rsidRPr="008846E1">
        <w:rPr>
          <w:szCs w:val="28"/>
          <w:lang w:eastAsia="zh-HK"/>
        </w:rPr>
        <w:t xml:space="preserve">.  While she was </w:t>
      </w:r>
      <w:r w:rsidR="000F5BD4">
        <w:rPr>
          <w:szCs w:val="28"/>
          <w:lang w:eastAsia="zh-HK"/>
        </w:rPr>
        <w:t xml:space="preserve">still standing on the ladder and </w:t>
      </w:r>
      <w:r w:rsidRPr="008846E1">
        <w:rPr>
          <w:szCs w:val="28"/>
          <w:lang w:eastAsia="zh-HK"/>
        </w:rPr>
        <w:t xml:space="preserve">carrying the </w:t>
      </w:r>
      <w:r w:rsidR="00D7538C">
        <w:rPr>
          <w:szCs w:val="28"/>
          <w:lang w:eastAsia="zh-HK"/>
        </w:rPr>
        <w:t xml:space="preserve">2 </w:t>
      </w:r>
      <w:r w:rsidRPr="008846E1">
        <w:rPr>
          <w:szCs w:val="28"/>
          <w:lang w:eastAsia="zh-HK"/>
        </w:rPr>
        <w:t>boxes of shoes in her hands</w:t>
      </w:r>
      <w:r w:rsidR="00D7538C">
        <w:rPr>
          <w:szCs w:val="28"/>
          <w:lang w:eastAsia="zh-HK"/>
        </w:rPr>
        <w:t>,</w:t>
      </w:r>
      <w:r w:rsidRPr="008846E1">
        <w:rPr>
          <w:szCs w:val="28"/>
          <w:lang w:eastAsia="zh-HK"/>
        </w:rPr>
        <w:t xml:space="preserve"> she slipped and fell from the ladder </w:t>
      </w:r>
      <w:r w:rsidR="00D7538C">
        <w:rPr>
          <w:szCs w:val="28"/>
          <w:lang w:eastAsia="zh-HK"/>
        </w:rPr>
        <w:t xml:space="preserve">and thereby </w:t>
      </w:r>
      <w:r w:rsidRPr="008846E1">
        <w:rPr>
          <w:szCs w:val="28"/>
          <w:lang w:eastAsia="zh-HK"/>
        </w:rPr>
        <w:t>injur</w:t>
      </w:r>
      <w:r w:rsidR="00D7538C">
        <w:rPr>
          <w:szCs w:val="28"/>
          <w:lang w:eastAsia="zh-HK"/>
        </w:rPr>
        <w:t>ed</w:t>
      </w:r>
      <w:r w:rsidRPr="008846E1">
        <w:rPr>
          <w:szCs w:val="28"/>
          <w:lang w:eastAsia="zh-HK"/>
        </w:rPr>
        <w:t xml:space="preserve"> her left ankle.</w:t>
      </w:r>
    </w:p>
    <w:p w:rsidR="00A729FA" w:rsidRDefault="00A729FA" w:rsidP="0086642B">
      <w:pPr>
        <w:pStyle w:val="ListParagraph"/>
        <w:spacing w:line="360" w:lineRule="auto"/>
      </w:pPr>
    </w:p>
    <w:p w:rsidR="00A729FA" w:rsidRDefault="00A729FA" w:rsidP="0086642B">
      <w:pPr>
        <w:spacing w:line="360" w:lineRule="auto"/>
        <w:jc w:val="both"/>
        <w:rPr>
          <w:rFonts w:eastAsia="PMingLiU"/>
          <w:i/>
          <w:iCs/>
          <w:szCs w:val="28"/>
          <w:lang w:eastAsia="zh-TW"/>
        </w:rPr>
      </w:pPr>
      <w:r>
        <w:rPr>
          <w:i/>
          <w:iCs/>
          <w:szCs w:val="28"/>
          <w:lang w:eastAsia="zh-HK"/>
        </w:rPr>
        <w:t>I</w:t>
      </w:r>
      <w:r w:rsidRPr="008846E1">
        <w:rPr>
          <w:i/>
          <w:iCs/>
          <w:szCs w:val="28"/>
          <w:lang w:eastAsia="zh-HK"/>
        </w:rPr>
        <w:t>njuries and treatment</w:t>
      </w:r>
    </w:p>
    <w:p w:rsidR="00A729FA" w:rsidRPr="00F06A4D" w:rsidRDefault="00A729FA" w:rsidP="0086642B">
      <w:pPr>
        <w:pStyle w:val="ListParagraph"/>
        <w:spacing w:line="360" w:lineRule="auto"/>
        <w:ind w:left="0"/>
        <w:rPr>
          <w:rFonts w:eastAsia="PMingLiU"/>
          <w:lang w:eastAsia="zh-TW"/>
        </w:rPr>
      </w:pPr>
    </w:p>
    <w:p w:rsidR="00185D51" w:rsidRDefault="00A729FA" w:rsidP="00185D51">
      <w:pPr>
        <w:pStyle w:val="ListParagraph"/>
        <w:numPr>
          <w:ilvl w:val="0"/>
          <w:numId w:val="17"/>
        </w:numPr>
        <w:spacing w:line="360" w:lineRule="auto"/>
        <w:ind w:left="0" w:firstLine="0"/>
        <w:jc w:val="both"/>
        <w:rPr>
          <w:szCs w:val="28"/>
          <w:lang w:eastAsia="zh-HK"/>
        </w:rPr>
      </w:pPr>
      <w:r>
        <w:rPr>
          <w:szCs w:val="28"/>
          <w:lang w:eastAsia="zh-HK"/>
        </w:rPr>
        <w:t>Immediately a</w:t>
      </w:r>
      <w:r w:rsidR="00F86907">
        <w:rPr>
          <w:szCs w:val="28"/>
          <w:lang w:eastAsia="zh-HK"/>
        </w:rPr>
        <w:t>fter the Accident, the p</w:t>
      </w:r>
      <w:r w:rsidRPr="008846E1">
        <w:rPr>
          <w:szCs w:val="28"/>
          <w:lang w:eastAsia="zh-HK"/>
        </w:rPr>
        <w:t xml:space="preserve">laintiff attended the </w:t>
      </w:r>
      <w:r w:rsidR="003C7616">
        <w:rPr>
          <w:rFonts w:eastAsia="PMingLiU" w:hint="eastAsia"/>
          <w:szCs w:val="28"/>
          <w:lang w:eastAsia="zh-TW"/>
        </w:rPr>
        <w:t>Accident &amp; Emergency Department</w:t>
      </w:r>
      <w:r>
        <w:rPr>
          <w:rFonts w:eastAsia="PMingLiU" w:hint="eastAsia"/>
          <w:szCs w:val="28"/>
          <w:lang w:eastAsia="zh-TW"/>
        </w:rPr>
        <w:t xml:space="preserve"> </w:t>
      </w:r>
      <w:r w:rsidRPr="008846E1">
        <w:rPr>
          <w:szCs w:val="28"/>
          <w:lang w:eastAsia="zh-HK"/>
        </w:rPr>
        <w:t>of Tseung Kwan O</w:t>
      </w:r>
      <w:r>
        <w:rPr>
          <w:rFonts w:eastAsia="PMingLiU" w:hint="eastAsia"/>
          <w:szCs w:val="28"/>
          <w:lang w:eastAsia="zh-TW"/>
        </w:rPr>
        <w:t xml:space="preserve"> Hospital (</w:t>
      </w:r>
      <w:r>
        <w:rPr>
          <w:rFonts w:eastAsia="PMingLiU"/>
          <w:szCs w:val="28"/>
          <w:lang w:eastAsia="zh-TW"/>
        </w:rPr>
        <w:t>“</w:t>
      </w:r>
      <w:r>
        <w:rPr>
          <w:rFonts w:eastAsia="PMingLiU" w:hint="eastAsia"/>
          <w:szCs w:val="28"/>
          <w:lang w:eastAsia="zh-TW"/>
        </w:rPr>
        <w:t>TKOH</w:t>
      </w:r>
      <w:r>
        <w:rPr>
          <w:rFonts w:eastAsia="PMingLiU"/>
          <w:szCs w:val="28"/>
          <w:lang w:eastAsia="zh-TW"/>
        </w:rPr>
        <w:t>”</w:t>
      </w:r>
      <w:r>
        <w:rPr>
          <w:rFonts w:eastAsia="PMingLiU" w:hint="eastAsia"/>
          <w:szCs w:val="28"/>
          <w:lang w:eastAsia="zh-TW"/>
        </w:rPr>
        <w:t>)</w:t>
      </w:r>
      <w:r w:rsidRPr="008846E1">
        <w:rPr>
          <w:szCs w:val="28"/>
          <w:lang w:eastAsia="zh-HK"/>
        </w:rPr>
        <w:t xml:space="preserve">.  Physical examination revealed </w:t>
      </w:r>
      <w:r>
        <w:rPr>
          <w:szCs w:val="28"/>
          <w:lang w:eastAsia="zh-HK"/>
        </w:rPr>
        <w:t>‘</w:t>
      </w:r>
      <w:r w:rsidRPr="008846E1">
        <w:rPr>
          <w:szCs w:val="28"/>
          <w:lang w:eastAsia="zh-HK"/>
        </w:rPr>
        <w:t>bimalleolar fracture to her left ankle</w:t>
      </w:r>
      <w:r>
        <w:rPr>
          <w:szCs w:val="28"/>
          <w:lang w:eastAsia="zh-HK"/>
        </w:rPr>
        <w:t>’</w:t>
      </w:r>
      <w:r w:rsidRPr="008846E1">
        <w:rPr>
          <w:szCs w:val="28"/>
          <w:lang w:eastAsia="zh-HK"/>
        </w:rPr>
        <w:t>.  Surgery of open reduction and internal fixation was done on 2</w:t>
      </w:r>
      <w:r>
        <w:rPr>
          <w:rFonts w:eastAsia="PMingLiU" w:hint="eastAsia"/>
          <w:szCs w:val="28"/>
          <w:lang w:eastAsia="zh-TW"/>
        </w:rPr>
        <w:t xml:space="preserve"> February </w:t>
      </w:r>
      <w:r w:rsidRPr="008846E1">
        <w:rPr>
          <w:szCs w:val="28"/>
          <w:lang w:eastAsia="zh-HK"/>
        </w:rPr>
        <w:t xml:space="preserve">2016.  She was discharged </w:t>
      </w:r>
      <w:r>
        <w:rPr>
          <w:szCs w:val="28"/>
          <w:lang w:eastAsia="zh-HK"/>
        </w:rPr>
        <w:t xml:space="preserve">from the hospital </w:t>
      </w:r>
      <w:r w:rsidRPr="008846E1">
        <w:rPr>
          <w:szCs w:val="28"/>
          <w:lang w:eastAsia="zh-HK"/>
        </w:rPr>
        <w:t>on 4</w:t>
      </w:r>
      <w:r>
        <w:rPr>
          <w:rFonts w:eastAsia="PMingLiU" w:hint="eastAsia"/>
          <w:szCs w:val="28"/>
          <w:lang w:eastAsia="zh-TW"/>
        </w:rPr>
        <w:t xml:space="preserve"> February </w:t>
      </w:r>
      <w:r w:rsidR="00FD3417">
        <w:rPr>
          <w:szCs w:val="28"/>
          <w:lang w:eastAsia="zh-HK"/>
        </w:rPr>
        <w:t>2016.  At the time of discharge</w:t>
      </w:r>
      <w:r w:rsidRPr="008846E1">
        <w:rPr>
          <w:szCs w:val="28"/>
          <w:lang w:eastAsia="zh-HK"/>
        </w:rPr>
        <w:t>, she had to walk wi</w:t>
      </w:r>
      <w:r w:rsidR="00185D51">
        <w:rPr>
          <w:szCs w:val="28"/>
          <w:lang w:eastAsia="zh-HK"/>
        </w:rPr>
        <w:t xml:space="preserve">th a frame. </w:t>
      </w:r>
    </w:p>
    <w:p w:rsidR="00185D51" w:rsidRPr="00185D51" w:rsidRDefault="00185D51" w:rsidP="00185D51">
      <w:pPr>
        <w:pStyle w:val="ListParagraph"/>
        <w:spacing w:line="360" w:lineRule="auto"/>
        <w:ind w:left="0"/>
        <w:jc w:val="both"/>
        <w:rPr>
          <w:szCs w:val="28"/>
          <w:lang w:eastAsia="zh-HK"/>
        </w:rPr>
      </w:pPr>
    </w:p>
    <w:p w:rsidR="00A729FA" w:rsidRPr="00185D51" w:rsidRDefault="00A729FA" w:rsidP="00185D51">
      <w:pPr>
        <w:pStyle w:val="ListParagraph"/>
        <w:numPr>
          <w:ilvl w:val="0"/>
          <w:numId w:val="17"/>
        </w:numPr>
        <w:spacing w:line="360" w:lineRule="auto"/>
        <w:ind w:left="0" w:firstLine="0"/>
        <w:jc w:val="both"/>
        <w:rPr>
          <w:szCs w:val="28"/>
          <w:lang w:eastAsia="zh-HK"/>
        </w:rPr>
      </w:pPr>
      <w:r w:rsidRPr="00185D51">
        <w:rPr>
          <w:szCs w:val="28"/>
          <w:lang w:eastAsia="zh-HK"/>
        </w:rPr>
        <w:lastRenderedPageBreak/>
        <w:t>On 26</w:t>
      </w:r>
      <w:r w:rsidRPr="00185D51">
        <w:rPr>
          <w:rFonts w:eastAsia="PMingLiU" w:hint="eastAsia"/>
          <w:szCs w:val="28"/>
          <w:lang w:eastAsia="zh-TW"/>
        </w:rPr>
        <w:t xml:space="preserve"> February </w:t>
      </w:r>
      <w:r w:rsidRPr="00185D51">
        <w:rPr>
          <w:szCs w:val="28"/>
          <w:lang w:eastAsia="zh-HK"/>
        </w:rPr>
        <w:t xml:space="preserve">2016, ankle foot orthosis was moulded and fitted post operation for immobilization after </w:t>
      </w:r>
      <w:r w:rsidR="00B03581" w:rsidRPr="00185D51">
        <w:rPr>
          <w:szCs w:val="28"/>
          <w:lang w:eastAsia="zh-HK"/>
        </w:rPr>
        <w:t>the plaintiff a</w:t>
      </w:r>
      <w:r w:rsidRPr="00185D51">
        <w:rPr>
          <w:szCs w:val="28"/>
          <w:lang w:eastAsia="zh-HK"/>
        </w:rPr>
        <w:t>ttend</w:t>
      </w:r>
      <w:r w:rsidR="00B03581" w:rsidRPr="00185D51">
        <w:rPr>
          <w:szCs w:val="28"/>
          <w:lang w:eastAsia="zh-HK"/>
        </w:rPr>
        <w:t>ed</w:t>
      </w:r>
      <w:r w:rsidRPr="00185D51">
        <w:rPr>
          <w:szCs w:val="28"/>
          <w:lang w:eastAsia="zh-HK"/>
        </w:rPr>
        <w:t xml:space="preserve"> </w:t>
      </w:r>
      <w:r w:rsidRPr="00185D51">
        <w:rPr>
          <w:rFonts w:eastAsia="PMingLiU" w:hint="eastAsia"/>
          <w:szCs w:val="28"/>
          <w:lang w:eastAsia="zh-TW"/>
        </w:rPr>
        <w:t xml:space="preserve">the </w:t>
      </w:r>
      <w:r w:rsidRPr="00185D51">
        <w:rPr>
          <w:szCs w:val="28"/>
          <w:lang w:eastAsia="zh-HK"/>
        </w:rPr>
        <w:t xml:space="preserve">Department of Prosthetic and Orthotic of TKOH.  </w:t>
      </w:r>
    </w:p>
    <w:p w:rsidR="00A729FA" w:rsidRPr="008846E1" w:rsidRDefault="00A729FA" w:rsidP="0086642B">
      <w:pPr>
        <w:pStyle w:val="ListParagraph"/>
        <w:spacing w:line="360" w:lineRule="auto"/>
        <w:ind w:left="0"/>
        <w:rPr>
          <w:szCs w:val="28"/>
          <w:lang w:eastAsia="zh-HK"/>
        </w:rPr>
      </w:pPr>
    </w:p>
    <w:p w:rsidR="00A729FA" w:rsidRPr="008846E1" w:rsidRDefault="00FD3417" w:rsidP="0086642B">
      <w:pPr>
        <w:pStyle w:val="ListParagraph"/>
        <w:numPr>
          <w:ilvl w:val="0"/>
          <w:numId w:val="17"/>
        </w:numPr>
        <w:spacing w:line="360" w:lineRule="auto"/>
        <w:ind w:left="0" w:firstLine="0"/>
        <w:jc w:val="both"/>
        <w:rPr>
          <w:szCs w:val="28"/>
          <w:lang w:eastAsia="zh-HK"/>
        </w:rPr>
      </w:pPr>
      <w:r>
        <w:rPr>
          <w:szCs w:val="28"/>
          <w:lang w:eastAsia="zh-HK"/>
        </w:rPr>
        <w:t>T</w:t>
      </w:r>
      <w:r w:rsidR="00A729FA" w:rsidRPr="008846E1">
        <w:rPr>
          <w:szCs w:val="28"/>
          <w:lang w:eastAsia="zh-HK"/>
        </w:rPr>
        <w:t xml:space="preserve">he </w:t>
      </w:r>
      <w:r>
        <w:rPr>
          <w:szCs w:val="28"/>
          <w:lang w:eastAsia="zh-HK"/>
        </w:rPr>
        <w:t xml:space="preserve">plaintiff was then </w:t>
      </w:r>
      <w:r w:rsidR="00A729FA" w:rsidRPr="008846E1">
        <w:rPr>
          <w:szCs w:val="28"/>
          <w:lang w:eastAsia="zh-HK"/>
        </w:rPr>
        <w:t xml:space="preserve">followed up by the </w:t>
      </w:r>
      <w:r w:rsidR="00A729FA">
        <w:rPr>
          <w:rFonts w:eastAsia="PMingLiU" w:hint="eastAsia"/>
          <w:szCs w:val="28"/>
          <w:lang w:eastAsia="zh-TW"/>
        </w:rPr>
        <w:t xml:space="preserve">Department of Orthopaedics &amp; Traumatology </w:t>
      </w:r>
      <w:r w:rsidR="00A729FA" w:rsidRPr="008846E1">
        <w:rPr>
          <w:szCs w:val="28"/>
          <w:lang w:eastAsia="zh-HK"/>
        </w:rPr>
        <w:t xml:space="preserve">of TKOH </w:t>
      </w:r>
      <w:r>
        <w:rPr>
          <w:szCs w:val="28"/>
          <w:lang w:eastAsia="zh-HK"/>
        </w:rPr>
        <w:t>where she</w:t>
      </w:r>
      <w:r w:rsidR="00A729FA" w:rsidRPr="008846E1">
        <w:rPr>
          <w:szCs w:val="28"/>
          <w:lang w:eastAsia="zh-HK"/>
        </w:rPr>
        <w:t xml:space="preserve"> received physiotherapy and occupational therapy treatments.  </w:t>
      </w:r>
    </w:p>
    <w:p w:rsidR="00A729FA" w:rsidRPr="008846E1" w:rsidRDefault="00A729FA" w:rsidP="0086642B">
      <w:pPr>
        <w:pStyle w:val="ListParagraph"/>
        <w:spacing w:line="360" w:lineRule="auto"/>
        <w:ind w:left="0"/>
        <w:rPr>
          <w:szCs w:val="28"/>
          <w:lang w:eastAsia="zh-HK"/>
        </w:rPr>
      </w:pPr>
    </w:p>
    <w:p w:rsidR="00A729FA" w:rsidRDefault="00A729FA" w:rsidP="0086642B">
      <w:pPr>
        <w:pStyle w:val="ListParagraph"/>
        <w:numPr>
          <w:ilvl w:val="0"/>
          <w:numId w:val="17"/>
        </w:numPr>
        <w:spacing w:line="360" w:lineRule="auto"/>
        <w:ind w:left="0" w:firstLine="0"/>
        <w:jc w:val="both"/>
        <w:rPr>
          <w:szCs w:val="28"/>
          <w:lang w:eastAsia="zh-HK"/>
        </w:rPr>
      </w:pPr>
      <w:r w:rsidRPr="008846E1">
        <w:rPr>
          <w:szCs w:val="28"/>
          <w:lang w:eastAsia="zh-HK"/>
        </w:rPr>
        <w:t>She also attended various out-patient clinics at Tsueng Kwan O Hospital Mona Fong General Out Patient Clinic</w:t>
      </w:r>
      <w:r w:rsidR="00493A10">
        <w:rPr>
          <w:szCs w:val="28"/>
          <w:lang w:eastAsia="zh-HK"/>
        </w:rPr>
        <w:t xml:space="preserve"> (“Mona Fong Clinic”)</w:t>
      </w:r>
      <w:r w:rsidRPr="008846E1">
        <w:rPr>
          <w:szCs w:val="28"/>
          <w:lang w:eastAsia="zh-HK"/>
        </w:rPr>
        <w:t>, Kwun Tong Community Health Centre</w:t>
      </w:r>
      <w:r w:rsidR="00493A10">
        <w:rPr>
          <w:szCs w:val="28"/>
          <w:lang w:eastAsia="zh-HK"/>
        </w:rPr>
        <w:t xml:space="preserve"> and </w:t>
      </w:r>
      <w:r w:rsidRPr="008846E1">
        <w:rPr>
          <w:szCs w:val="28"/>
          <w:lang w:eastAsia="zh-HK"/>
        </w:rPr>
        <w:t>Ngau Tau Kok General Out Patient Clinic</w:t>
      </w:r>
      <w:r w:rsidR="002B0933">
        <w:rPr>
          <w:szCs w:val="28"/>
          <w:lang w:eastAsia="zh-HK"/>
        </w:rPr>
        <w:t xml:space="preserve"> for follow-up treatments</w:t>
      </w:r>
      <w:r w:rsidRPr="008846E1">
        <w:rPr>
          <w:szCs w:val="28"/>
          <w:lang w:eastAsia="zh-HK"/>
        </w:rPr>
        <w:t>.</w:t>
      </w:r>
    </w:p>
    <w:p w:rsidR="00620DF1" w:rsidRPr="00620DF1" w:rsidRDefault="00620DF1" w:rsidP="0086642B">
      <w:pPr>
        <w:pStyle w:val="ListParagraph"/>
        <w:spacing w:line="360" w:lineRule="auto"/>
        <w:rPr>
          <w:szCs w:val="28"/>
          <w:lang w:eastAsia="zh-HK"/>
        </w:rPr>
      </w:pPr>
    </w:p>
    <w:p w:rsidR="00620DF1" w:rsidRPr="00620DF1" w:rsidRDefault="00620DF1" w:rsidP="0086642B">
      <w:pPr>
        <w:pStyle w:val="ListParagraph"/>
        <w:spacing w:line="360" w:lineRule="auto"/>
        <w:ind w:left="0"/>
        <w:jc w:val="both"/>
        <w:rPr>
          <w:i/>
          <w:szCs w:val="28"/>
          <w:lang w:eastAsia="zh-HK"/>
        </w:rPr>
      </w:pPr>
      <w:r w:rsidRPr="00620DF1">
        <w:rPr>
          <w:i/>
          <w:szCs w:val="28"/>
          <w:lang w:eastAsia="zh-HK"/>
        </w:rPr>
        <w:t>DISCUSSION</w:t>
      </w:r>
    </w:p>
    <w:p w:rsidR="00493A10" w:rsidRPr="005315A5" w:rsidRDefault="00493A10" w:rsidP="0086642B">
      <w:pPr>
        <w:spacing w:line="360" w:lineRule="auto"/>
        <w:rPr>
          <w:i/>
          <w:szCs w:val="28"/>
          <w:lang w:eastAsia="zh-HK"/>
        </w:rPr>
      </w:pPr>
    </w:p>
    <w:p w:rsidR="005315A5" w:rsidRPr="008846E1" w:rsidRDefault="005315A5" w:rsidP="0086642B">
      <w:pPr>
        <w:widowControl w:val="0"/>
        <w:tabs>
          <w:tab w:val="left" w:pos="720"/>
        </w:tabs>
        <w:spacing w:line="360" w:lineRule="auto"/>
        <w:contextualSpacing/>
        <w:jc w:val="both"/>
        <w:rPr>
          <w:i/>
          <w:iCs/>
          <w:szCs w:val="28"/>
          <w:lang w:eastAsia="zh-HK"/>
        </w:rPr>
      </w:pPr>
      <w:r w:rsidRPr="008846E1">
        <w:rPr>
          <w:i/>
          <w:iCs/>
          <w:szCs w:val="28"/>
          <w:lang w:eastAsia="zh-HK"/>
        </w:rPr>
        <w:t>The medical expert</w:t>
      </w:r>
      <w:r w:rsidR="000B0D8C">
        <w:rPr>
          <w:i/>
          <w:iCs/>
          <w:szCs w:val="28"/>
          <w:lang w:eastAsia="zh-HK"/>
        </w:rPr>
        <w:t>s’</w:t>
      </w:r>
      <w:r w:rsidRPr="008846E1">
        <w:rPr>
          <w:i/>
          <w:iCs/>
          <w:szCs w:val="28"/>
          <w:lang w:eastAsia="zh-HK"/>
        </w:rPr>
        <w:t xml:space="preserve"> evidence </w:t>
      </w:r>
    </w:p>
    <w:p w:rsidR="005315A5" w:rsidRPr="008846E1" w:rsidRDefault="005315A5" w:rsidP="0086642B">
      <w:pPr>
        <w:pStyle w:val="ListParagraph"/>
        <w:spacing w:line="360" w:lineRule="auto"/>
        <w:ind w:left="0"/>
        <w:rPr>
          <w:szCs w:val="28"/>
          <w:lang w:eastAsia="zh-HK"/>
        </w:rPr>
      </w:pPr>
    </w:p>
    <w:p w:rsidR="005315A5" w:rsidRPr="008846E1"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t>On 26</w:t>
      </w:r>
      <w:r>
        <w:rPr>
          <w:rFonts w:eastAsia="PMingLiU" w:hint="eastAsia"/>
          <w:szCs w:val="28"/>
          <w:lang w:eastAsia="zh-TW"/>
        </w:rPr>
        <w:t xml:space="preserve"> March </w:t>
      </w:r>
      <w:r w:rsidRPr="008846E1">
        <w:rPr>
          <w:szCs w:val="28"/>
          <w:lang w:eastAsia="zh-HK"/>
        </w:rPr>
        <w:t>2019, t</w:t>
      </w:r>
      <w:r>
        <w:rPr>
          <w:szCs w:val="28"/>
          <w:lang w:eastAsia="zh-HK"/>
        </w:rPr>
        <w:t xml:space="preserve">he </w:t>
      </w:r>
      <w:r>
        <w:rPr>
          <w:rFonts w:eastAsia="PMingLiU" w:hint="eastAsia"/>
          <w:szCs w:val="28"/>
          <w:lang w:eastAsia="zh-TW"/>
        </w:rPr>
        <w:t>p</w:t>
      </w:r>
      <w:r w:rsidRPr="008846E1">
        <w:rPr>
          <w:szCs w:val="28"/>
          <w:lang w:eastAsia="zh-HK"/>
        </w:rPr>
        <w:t xml:space="preserve">laintiff was jointly examined by Dr. Wong See Hoi </w:t>
      </w:r>
      <w:r w:rsidR="00307F6E">
        <w:rPr>
          <w:szCs w:val="28"/>
          <w:lang w:eastAsia="zh-HK"/>
        </w:rPr>
        <w:t>(</w:t>
      </w:r>
      <w:r>
        <w:rPr>
          <w:szCs w:val="28"/>
          <w:lang w:eastAsia="zh-HK"/>
        </w:rPr>
        <w:t>the plaintiff’s</w:t>
      </w:r>
      <w:r w:rsidRPr="008846E1">
        <w:rPr>
          <w:szCs w:val="28"/>
          <w:lang w:eastAsia="zh-HK"/>
        </w:rPr>
        <w:t xml:space="preserve"> orthopaedic e</w:t>
      </w:r>
      <w:r>
        <w:rPr>
          <w:szCs w:val="28"/>
          <w:lang w:eastAsia="zh-HK"/>
        </w:rPr>
        <w:t xml:space="preserve">xpert) </w:t>
      </w:r>
      <w:r w:rsidR="00223E4C">
        <w:rPr>
          <w:szCs w:val="28"/>
          <w:lang w:eastAsia="zh-HK"/>
        </w:rPr>
        <w:t xml:space="preserve">(“Dr Wong”) </w:t>
      </w:r>
      <w:r>
        <w:rPr>
          <w:szCs w:val="28"/>
          <w:lang w:eastAsia="zh-HK"/>
        </w:rPr>
        <w:t xml:space="preserve">and Dr. </w:t>
      </w:r>
      <w:r w:rsidR="00223E4C">
        <w:rPr>
          <w:szCs w:val="28"/>
          <w:lang w:eastAsia="zh-HK"/>
        </w:rPr>
        <w:t>Tsoi Chi Wah Danny</w:t>
      </w:r>
      <w:r>
        <w:rPr>
          <w:szCs w:val="28"/>
          <w:lang w:eastAsia="zh-HK"/>
        </w:rPr>
        <w:t xml:space="preserve"> (the </w:t>
      </w:r>
      <w:r>
        <w:rPr>
          <w:rFonts w:eastAsia="PMingLiU" w:hint="eastAsia"/>
          <w:szCs w:val="28"/>
          <w:lang w:eastAsia="zh-TW"/>
        </w:rPr>
        <w:t>d</w:t>
      </w:r>
      <w:r w:rsidRPr="008846E1">
        <w:rPr>
          <w:szCs w:val="28"/>
          <w:lang w:eastAsia="zh-HK"/>
        </w:rPr>
        <w:t xml:space="preserve">efendant’s orthopaedic expert) </w:t>
      </w:r>
      <w:r w:rsidR="00223E4C">
        <w:rPr>
          <w:szCs w:val="28"/>
          <w:lang w:eastAsia="zh-HK"/>
        </w:rPr>
        <w:t xml:space="preserve">(“Dr. Tsoi”) </w:t>
      </w:r>
      <w:r w:rsidRPr="008846E1">
        <w:rPr>
          <w:szCs w:val="28"/>
          <w:lang w:eastAsia="zh-HK"/>
        </w:rPr>
        <w:t>and a joint exp</w:t>
      </w:r>
      <w:r>
        <w:rPr>
          <w:szCs w:val="28"/>
          <w:lang w:eastAsia="zh-HK"/>
        </w:rPr>
        <w:t xml:space="preserve">ert report was prepared </w:t>
      </w:r>
      <w:r w:rsidR="00D1659E">
        <w:rPr>
          <w:szCs w:val="28"/>
          <w:lang w:eastAsia="zh-HK"/>
        </w:rPr>
        <w:t>by them which was dated</w:t>
      </w:r>
      <w:r>
        <w:rPr>
          <w:szCs w:val="28"/>
          <w:lang w:eastAsia="zh-HK"/>
        </w:rPr>
        <w:t xml:space="preserve"> 30</w:t>
      </w:r>
      <w:r>
        <w:rPr>
          <w:rFonts w:eastAsia="PMingLiU" w:hint="eastAsia"/>
          <w:szCs w:val="28"/>
          <w:lang w:eastAsia="zh-TW"/>
        </w:rPr>
        <w:t xml:space="preserve"> April </w:t>
      </w:r>
      <w:r w:rsidRPr="008846E1">
        <w:rPr>
          <w:szCs w:val="28"/>
          <w:lang w:eastAsia="zh-HK"/>
        </w:rPr>
        <w:t>2019</w:t>
      </w:r>
      <w:r w:rsidR="002B0933">
        <w:rPr>
          <w:szCs w:val="28"/>
          <w:lang w:eastAsia="zh-HK"/>
        </w:rPr>
        <w:t xml:space="preserve"> (“the Joint Report”)</w:t>
      </w:r>
      <w:r w:rsidRPr="008846E1">
        <w:rPr>
          <w:szCs w:val="28"/>
          <w:lang w:eastAsia="zh-HK"/>
        </w:rPr>
        <w:t>.</w:t>
      </w:r>
    </w:p>
    <w:p w:rsidR="005315A5" w:rsidRPr="008846E1" w:rsidRDefault="005315A5" w:rsidP="0086642B">
      <w:pPr>
        <w:pStyle w:val="ListParagraph"/>
        <w:spacing w:line="360" w:lineRule="auto"/>
        <w:ind w:left="0"/>
        <w:rPr>
          <w:szCs w:val="28"/>
          <w:lang w:eastAsia="zh-HK"/>
        </w:rPr>
      </w:pPr>
    </w:p>
    <w:p w:rsidR="005315A5" w:rsidRPr="008846E1" w:rsidRDefault="002B0933" w:rsidP="0086642B">
      <w:pPr>
        <w:pStyle w:val="ListParagraph"/>
        <w:numPr>
          <w:ilvl w:val="0"/>
          <w:numId w:val="17"/>
        </w:numPr>
        <w:spacing w:line="360" w:lineRule="auto"/>
        <w:ind w:left="0" w:firstLine="0"/>
        <w:jc w:val="both"/>
        <w:rPr>
          <w:szCs w:val="28"/>
          <w:lang w:eastAsia="zh-HK"/>
        </w:rPr>
      </w:pPr>
      <w:r>
        <w:rPr>
          <w:szCs w:val="28"/>
          <w:lang w:eastAsia="zh-HK"/>
        </w:rPr>
        <w:t>In the Joint Report, b</w:t>
      </w:r>
      <w:r w:rsidR="00D1659E">
        <w:rPr>
          <w:szCs w:val="28"/>
          <w:lang w:eastAsia="zh-HK"/>
        </w:rPr>
        <w:t>oth</w:t>
      </w:r>
      <w:r w:rsidR="005315A5" w:rsidRPr="008846E1">
        <w:rPr>
          <w:szCs w:val="28"/>
          <w:lang w:eastAsia="zh-HK"/>
        </w:rPr>
        <w:t xml:space="preserve"> experts agree that the </w:t>
      </w:r>
      <w:r w:rsidR="005315A5">
        <w:rPr>
          <w:rFonts w:eastAsia="PMingLiU" w:hint="eastAsia"/>
          <w:szCs w:val="28"/>
          <w:lang w:eastAsia="zh-TW"/>
        </w:rPr>
        <w:t>p</w:t>
      </w:r>
      <w:r w:rsidR="005315A5" w:rsidRPr="008846E1">
        <w:rPr>
          <w:szCs w:val="28"/>
          <w:lang w:eastAsia="zh-HK"/>
        </w:rPr>
        <w:t xml:space="preserve">laintiff suffered from </w:t>
      </w:r>
      <w:r w:rsidR="00D1659E">
        <w:rPr>
          <w:szCs w:val="28"/>
          <w:lang w:eastAsia="zh-HK"/>
        </w:rPr>
        <w:t>‘</w:t>
      </w:r>
      <w:r w:rsidR="005315A5" w:rsidRPr="008846E1">
        <w:rPr>
          <w:szCs w:val="28"/>
          <w:lang w:eastAsia="zh-HK"/>
        </w:rPr>
        <w:t>fracture of bimalleolar of left ankle</w:t>
      </w:r>
      <w:r w:rsidR="00D1659E">
        <w:rPr>
          <w:szCs w:val="28"/>
          <w:lang w:eastAsia="zh-HK"/>
        </w:rPr>
        <w:t>’</w:t>
      </w:r>
      <w:r w:rsidR="005315A5" w:rsidRPr="008846E1">
        <w:rPr>
          <w:szCs w:val="28"/>
          <w:lang w:eastAsia="zh-HK"/>
        </w:rPr>
        <w:t xml:space="preserve"> which was direc</w:t>
      </w:r>
      <w:r w:rsidR="00307F6E">
        <w:rPr>
          <w:szCs w:val="28"/>
          <w:lang w:eastAsia="zh-HK"/>
        </w:rPr>
        <w:t>tly caused by the Accident</w:t>
      </w:r>
      <w:r w:rsidR="005315A5" w:rsidRPr="008846E1">
        <w:rPr>
          <w:szCs w:val="28"/>
          <w:lang w:eastAsia="zh-HK"/>
        </w:rPr>
        <w:t>.</w:t>
      </w:r>
    </w:p>
    <w:p w:rsidR="005315A5" w:rsidRPr="008846E1" w:rsidRDefault="005315A5" w:rsidP="0086642B">
      <w:pPr>
        <w:pStyle w:val="ListParagraph"/>
        <w:spacing w:line="360" w:lineRule="auto"/>
        <w:ind w:left="0"/>
        <w:rPr>
          <w:szCs w:val="28"/>
          <w:lang w:eastAsia="zh-HK"/>
        </w:rPr>
      </w:pPr>
    </w:p>
    <w:p w:rsidR="005315A5" w:rsidRPr="008846E1" w:rsidRDefault="002B0933" w:rsidP="0086642B">
      <w:pPr>
        <w:pStyle w:val="ListParagraph"/>
        <w:numPr>
          <w:ilvl w:val="0"/>
          <w:numId w:val="17"/>
        </w:numPr>
        <w:spacing w:line="360" w:lineRule="auto"/>
        <w:ind w:left="0" w:firstLine="0"/>
        <w:jc w:val="both"/>
        <w:rPr>
          <w:szCs w:val="28"/>
          <w:lang w:eastAsia="zh-HK"/>
        </w:rPr>
      </w:pPr>
      <w:r>
        <w:rPr>
          <w:szCs w:val="28"/>
          <w:lang w:eastAsia="zh-HK"/>
        </w:rPr>
        <w:t xml:space="preserve">The experts </w:t>
      </w:r>
      <w:r w:rsidR="005315A5" w:rsidRPr="008846E1">
        <w:rPr>
          <w:szCs w:val="28"/>
          <w:lang w:eastAsia="zh-HK"/>
        </w:rPr>
        <w:t>opin</w:t>
      </w:r>
      <w:r w:rsidR="005315A5">
        <w:rPr>
          <w:szCs w:val="28"/>
          <w:lang w:eastAsia="zh-HK"/>
        </w:rPr>
        <w:t xml:space="preserve">e that the treatments that the </w:t>
      </w:r>
      <w:r w:rsidR="005315A5">
        <w:rPr>
          <w:rFonts w:eastAsia="PMingLiU" w:hint="eastAsia"/>
          <w:szCs w:val="28"/>
          <w:lang w:eastAsia="zh-TW"/>
        </w:rPr>
        <w:t>p</w:t>
      </w:r>
      <w:r w:rsidR="005315A5" w:rsidRPr="008846E1">
        <w:rPr>
          <w:szCs w:val="28"/>
          <w:lang w:eastAsia="zh-HK"/>
        </w:rPr>
        <w:t xml:space="preserve">laintiff received including the operation of open reduction and internal fixation </w:t>
      </w:r>
      <w:r w:rsidR="005315A5" w:rsidRPr="008846E1">
        <w:rPr>
          <w:szCs w:val="28"/>
          <w:lang w:eastAsia="zh-HK"/>
        </w:rPr>
        <w:lastRenderedPageBreak/>
        <w:t>with screw and K-wire, followed by 1</w:t>
      </w:r>
      <w:r w:rsidR="005315A5" w:rsidRPr="008846E1">
        <w:rPr>
          <w:szCs w:val="28"/>
          <w:vertAlign w:val="superscript"/>
          <w:lang w:eastAsia="zh-HK"/>
        </w:rPr>
        <w:t>st</w:t>
      </w:r>
      <w:r w:rsidR="005315A5" w:rsidRPr="008846E1">
        <w:rPr>
          <w:szCs w:val="28"/>
          <w:lang w:eastAsia="zh-HK"/>
        </w:rPr>
        <w:t xml:space="preserve"> course of physiotherapy from 25</w:t>
      </w:r>
      <w:r w:rsidR="005315A5">
        <w:rPr>
          <w:rFonts w:eastAsia="PMingLiU" w:hint="eastAsia"/>
          <w:szCs w:val="28"/>
          <w:lang w:eastAsia="zh-TW"/>
        </w:rPr>
        <w:t xml:space="preserve"> February </w:t>
      </w:r>
      <w:r w:rsidR="005315A5" w:rsidRPr="008846E1">
        <w:rPr>
          <w:szCs w:val="28"/>
          <w:lang w:eastAsia="zh-HK"/>
        </w:rPr>
        <w:t>2016 to 12</w:t>
      </w:r>
      <w:r w:rsidR="005315A5">
        <w:rPr>
          <w:rFonts w:eastAsia="PMingLiU" w:hint="eastAsia"/>
          <w:szCs w:val="28"/>
          <w:lang w:eastAsia="zh-TW"/>
        </w:rPr>
        <w:t xml:space="preserve"> January </w:t>
      </w:r>
      <w:r w:rsidR="005315A5" w:rsidRPr="008846E1">
        <w:rPr>
          <w:szCs w:val="28"/>
          <w:lang w:eastAsia="zh-HK"/>
        </w:rPr>
        <w:t>2017</w:t>
      </w:r>
      <w:r w:rsidR="003C7616">
        <w:rPr>
          <w:szCs w:val="28"/>
          <w:lang w:eastAsia="zh-HK"/>
        </w:rPr>
        <w:t xml:space="preserve">, occupational therapy from 3 August </w:t>
      </w:r>
      <w:r w:rsidR="005315A5" w:rsidRPr="008846E1">
        <w:rPr>
          <w:szCs w:val="28"/>
          <w:lang w:eastAsia="zh-HK"/>
        </w:rPr>
        <w:t xml:space="preserve">2016 to </w:t>
      </w:r>
      <w:r w:rsidR="003C7616">
        <w:rPr>
          <w:szCs w:val="28"/>
          <w:lang w:eastAsia="zh-HK"/>
        </w:rPr>
        <w:t xml:space="preserve">1 </w:t>
      </w:r>
      <w:r w:rsidR="005315A5" w:rsidRPr="008846E1">
        <w:rPr>
          <w:szCs w:val="28"/>
          <w:lang w:eastAsia="zh-HK"/>
        </w:rPr>
        <w:t>January 2017 and 2</w:t>
      </w:r>
      <w:r w:rsidR="005315A5" w:rsidRPr="008846E1">
        <w:rPr>
          <w:szCs w:val="28"/>
          <w:vertAlign w:val="superscript"/>
          <w:lang w:eastAsia="zh-HK"/>
        </w:rPr>
        <w:t>nd</w:t>
      </w:r>
      <w:r w:rsidR="005315A5" w:rsidRPr="008846E1">
        <w:rPr>
          <w:szCs w:val="28"/>
          <w:lang w:eastAsia="zh-HK"/>
        </w:rPr>
        <w:t xml:space="preserve"> course of physiotherapy from 28</w:t>
      </w:r>
      <w:r w:rsidR="005315A5">
        <w:rPr>
          <w:rFonts w:eastAsia="PMingLiU" w:hint="eastAsia"/>
          <w:szCs w:val="28"/>
          <w:lang w:eastAsia="zh-TW"/>
        </w:rPr>
        <w:t xml:space="preserve"> August </w:t>
      </w:r>
      <w:r w:rsidR="005315A5" w:rsidRPr="008846E1">
        <w:rPr>
          <w:szCs w:val="28"/>
          <w:lang w:eastAsia="zh-HK"/>
        </w:rPr>
        <w:t>2017 to 28</w:t>
      </w:r>
      <w:r w:rsidR="005315A5">
        <w:rPr>
          <w:rFonts w:eastAsia="PMingLiU" w:hint="eastAsia"/>
          <w:szCs w:val="28"/>
          <w:lang w:eastAsia="zh-TW"/>
        </w:rPr>
        <w:t xml:space="preserve"> February </w:t>
      </w:r>
      <w:r w:rsidR="005315A5" w:rsidRPr="008846E1">
        <w:rPr>
          <w:szCs w:val="28"/>
          <w:lang w:eastAsia="zh-HK"/>
        </w:rPr>
        <w:t>2018 wer</w:t>
      </w:r>
      <w:r w:rsidR="00307F6E">
        <w:rPr>
          <w:szCs w:val="28"/>
          <w:lang w:eastAsia="zh-HK"/>
        </w:rPr>
        <w:t>e standard and appropriate</w:t>
      </w:r>
      <w:r w:rsidR="005315A5" w:rsidRPr="008846E1">
        <w:rPr>
          <w:szCs w:val="28"/>
          <w:lang w:eastAsia="zh-HK"/>
        </w:rPr>
        <w:t>.</w:t>
      </w:r>
    </w:p>
    <w:p w:rsidR="005315A5" w:rsidRPr="008846E1" w:rsidRDefault="005315A5" w:rsidP="0086642B">
      <w:pPr>
        <w:pStyle w:val="ListParagraph"/>
        <w:spacing w:line="360" w:lineRule="auto"/>
        <w:ind w:left="0"/>
        <w:rPr>
          <w:szCs w:val="28"/>
          <w:lang w:eastAsia="zh-HK"/>
        </w:rPr>
      </w:pPr>
    </w:p>
    <w:p w:rsidR="005315A5" w:rsidRPr="008846E1"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t>Judging from the medical records</w:t>
      </w:r>
      <w:r w:rsidR="00307F6E">
        <w:rPr>
          <w:szCs w:val="28"/>
          <w:lang w:eastAsia="zh-HK"/>
        </w:rPr>
        <w:t>,</w:t>
      </w:r>
      <w:r w:rsidRPr="008846E1">
        <w:rPr>
          <w:szCs w:val="28"/>
          <w:lang w:eastAsia="zh-HK"/>
        </w:rPr>
        <w:t xml:space="preserve"> particularly the record of the last physiotherapy treatment </w:t>
      </w:r>
      <w:r w:rsidR="002B0933">
        <w:rPr>
          <w:szCs w:val="28"/>
          <w:lang w:eastAsia="zh-HK"/>
        </w:rPr>
        <w:t>dated</w:t>
      </w:r>
      <w:r w:rsidRPr="008846E1">
        <w:rPr>
          <w:szCs w:val="28"/>
          <w:lang w:eastAsia="zh-HK"/>
        </w:rPr>
        <w:t xml:space="preserve"> 28</w:t>
      </w:r>
      <w:r>
        <w:rPr>
          <w:rFonts w:eastAsia="PMingLiU" w:hint="eastAsia"/>
          <w:szCs w:val="28"/>
          <w:lang w:eastAsia="zh-TW"/>
        </w:rPr>
        <w:t xml:space="preserve"> February </w:t>
      </w:r>
      <w:r w:rsidRPr="008846E1">
        <w:rPr>
          <w:szCs w:val="28"/>
          <w:lang w:eastAsia="zh-HK"/>
        </w:rPr>
        <w:t>2018, t</w:t>
      </w:r>
      <w:r>
        <w:rPr>
          <w:szCs w:val="28"/>
          <w:lang w:eastAsia="zh-HK"/>
        </w:rPr>
        <w:t xml:space="preserve">he experts opine that the </w:t>
      </w:r>
      <w:r>
        <w:rPr>
          <w:rFonts w:eastAsia="PMingLiU" w:hint="eastAsia"/>
          <w:szCs w:val="28"/>
          <w:lang w:eastAsia="zh-TW"/>
        </w:rPr>
        <w:t>p</w:t>
      </w:r>
      <w:r w:rsidRPr="008846E1">
        <w:rPr>
          <w:szCs w:val="28"/>
          <w:lang w:eastAsia="zh-HK"/>
        </w:rPr>
        <w:t>laintiff has achieved a satisfactory recovery from left ankle fracture after re</w:t>
      </w:r>
      <w:r w:rsidR="00307F6E">
        <w:rPr>
          <w:szCs w:val="28"/>
          <w:lang w:eastAsia="zh-HK"/>
        </w:rPr>
        <w:t>habilitation by early 2018</w:t>
      </w:r>
      <w:r w:rsidRPr="008846E1">
        <w:rPr>
          <w:szCs w:val="28"/>
          <w:lang w:eastAsia="zh-HK"/>
        </w:rPr>
        <w:t>.</w:t>
      </w:r>
    </w:p>
    <w:p w:rsidR="005315A5" w:rsidRPr="008846E1" w:rsidRDefault="005315A5" w:rsidP="0086642B">
      <w:pPr>
        <w:pStyle w:val="ListParagraph"/>
        <w:spacing w:line="360" w:lineRule="auto"/>
        <w:ind w:left="0"/>
        <w:rPr>
          <w:szCs w:val="28"/>
          <w:lang w:eastAsia="zh-HK"/>
        </w:rPr>
      </w:pPr>
    </w:p>
    <w:p w:rsidR="005315A5" w:rsidRPr="008846E1"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t xml:space="preserve">During the joint </w:t>
      </w:r>
      <w:r>
        <w:rPr>
          <w:szCs w:val="28"/>
          <w:lang w:eastAsia="zh-HK"/>
        </w:rPr>
        <w:t xml:space="preserve">examination, the </w:t>
      </w:r>
      <w:r>
        <w:rPr>
          <w:rFonts w:eastAsia="PMingLiU" w:hint="eastAsia"/>
          <w:szCs w:val="28"/>
          <w:lang w:eastAsia="zh-TW"/>
        </w:rPr>
        <w:t>p</w:t>
      </w:r>
      <w:r w:rsidR="00D1659E">
        <w:rPr>
          <w:szCs w:val="28"/>
          <w:lang w:eastAsia="zh-HK"/>
        </w:rPr>
        <w:t xml:space="preserve">laintiff attended </w:t>
      </w:r>
      <w:r w:rsidRPr="008846E1">
        <w:rPr>
          <w:szCs w:val="28"/>
          <w:lang w:eastAsia="zh-HK"/>
        </w:rPr>
        <w:t xml:space="preserve">the clinic and </w:t>
      </w:r>
      <w:r w:rsidR="00D1659E">
        <w:rPr>
          <w:szCs w:val="28"/>
          <w:lang w:eastAsia="zh-HK"/>
        </w:rPr>
        <w:t xml:space="preserve">was able to </w:t>
      </w:r>
      <w:r w:rsidRPr="008846E1">
        <w:rPr>
          <w:szCs w:val="28"/>
          <w:lang w:eastAsia="zh-HK"/>
        </w:rPr>
        <w:t>walk normally</w:t>
      </w:r>
      <w:r w:rsidR="00D1659E">
        <w:rPr>
          <w:szCs w:val="28"/>
          <w:lang w:eastAsia="zh-HK"/>
        </w:rPr>
        <w:t xml:space="preserve">.  She </w:t>
      </w:r>
      <w:r w:rsidRPr="008846E1">
        <w:rPr>
          <w:szCs w:val="28"/>
          <w:lang w:eastAsia="zh-HK"/>
        </w:rPr>
        <w:t xml:space="preserve">managed to perform most tasks including </w:t>
      </w:r>
      <w:r w:rsidR="00866DDF">
        <w:rPr>
          <w:szCs w:val="28"/>
          <w:lang w:eastAsia="zh-HK"/>
        </w:rPr>
        <w:t>s</w:t>
      </w:r>
      <w:r w:rsidRPr="008846E1">
        <w:rPr>
          <w:szCs w:val="28"/>
          <w:lang w:eastAsia="zh-HK"/>
        </w:rPr>
        <w:t>it</w:t>
      </w:r>
      <w:r w:rsidR="00D1659E">
        <w:rPr>
          <w:szCs w:val="28"/>
          <w:lang w:eastAsia="zh-HK"/>
        </w:rPr>
        <w:t>ting</w:t>
      </w:r>
      <w:r w:rsidRPr="008846E1">
        <w:rPr>
          <w:szCs w:val="28"/>
          <w:lang w:eastAsia="zh-HK"/>
        </w:rPr>
        <w:t xml:space="preserve"> </w:t>
      </w:r>
      <w:r w:rsidR="00D1659E">
        <w:rPr>
          <w:szCs w:val="28"/>
          <w:lang w:eastAsia="zh-HK"/>
        </w:rPr>
        <w:t>to</w:t>
      </w:r>
      <w:r w:rsidRPr="008846E1">
        <w:rPr>
          <w:szCs w:val="28"/>
          <w:lang w:eastAsia="zh-HK"/>
        </w:rPr>
        <w:t xml:space="preserve"> stand</w:t>
      </w:r>
      <w:r w:rsidR="00D1659E">
        <w:rPr>
          <w:szCs w:val="28"/>
          <w:lang w:eastAsia="zh-HK"/>
        </w:rPr>
        <w:t>ing</w:t>
      </w:r>
      <w:r w:rsidRPr="008846E1">
        <w:rPr>
          <w:szCs w:val="28"/>
          <w:lang w:eastAsia="zh-HK"/>
        </w:rPr>
        <w:t>, heels walking, single leg standing with no difficulty except presented with mild pain in tip-toes walking.  She could perform full squat but</w:t>
      </w:r>
      <w:r w:rsidR="00307F6E">
        <w:rPr>
          <w:szCs w:val="28"/>
          <w:lang w:eastAsia="zh-HK"/>
        </w:rPr>
        <w:t xml:space="preserve"> needed support to </w:t>
      </w:r>
      <w:r w:rsidR="00866DDF">
        <w:rPr>
          <w:szCs w:val="28"/>
          <w:lang w:eastAsia="zh-HK"/>
        </w:rPr>
        <w:t>get</w:t>
      </w:r>
      <w:r w:rsidR="00307F6E">
        <w:rPr>
          <w:szCs w:val="28"/>
          <w:lang w:eastAsia="zh-HK"/>
        </w:rPr>
        <w:t xml:space="preserve"> up</w:t>
      </w:r>
      <w:r w:rsidRPr="008846E1">
        <w:rPr>
          <w:szCs w:val="28"/>
          <w:lang w:eastAsia="zh-HK"/>
        </w:rPr>
        <w:t xml:space="preserve">. </w:t>
      </w:r>
    </w:p>
    <w:p w:rsidR="005315A5" w:rsidRPr="008846E1" w:rsidRDefault="005315A5" w:rsidP="0086642B">
      <w:pPr>
        <w:pStyle w:val="ListParagraph"/>
        <w:spacing w:line="360" w:lineRule="auto"/>
        <w:ind w:left="0"/>
        <w:rPr>
          <w:szCs w:val="28"/>
          <w:lang w:eastAsia="zh-HK"/>
        </w:rPr>
      </w:pPr>
    </w:p>
    <w:p w:rsidR="005315A5" w:rsidRPr="008846E1"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t>Physical examination showed mild degree of muscle wasting over left thigh and calf muscle which indicated disuse atrophy after injury.  The experts opine that the pain and weakness were compatible</w:t>
      </w:r>
      <w:r w:rsidR="00307F6E">
        <w:rPr>
          <w:szCs w:val="28"/>
          <w:lang w:eastAsia="zh-HK"/>
        </w:rPr>
        <w:t xml:space="preserve"> with post fracture status</w:t>
      </w:r>
      <w:r w:rsidRPr="008846E1">
        <w:rPr>
          <w:szCs w:val="28"/>
          <w:lang w:eastAsia="zh-HK"/>
        </w:rPr>
        <w:t xml:space="preserve">.  </w:t>
      </w:r>
    </w:p>
    <w:p w:rsidR="005315A5" w:rsidRPr="008846E1" w:rsidRDefault="005315A5" w:rsidP="0086642B">
      <w:pPr>
        <w:pStyle w:val="ListParagraph"/>
        <w:spacing w:line="360" w:lineRule="auto"/>
        <w:ind w:left="0"/>
        <w:rPr>
          <w:szCs w:val="28"/>
          <w:lang w:eastAsia="zh-HK"/>
        </w:rPr>
      </w:pPr>
    </w:p>
    <w:p w:rsidR="005315A5" w:rsidRPr="008846E1"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t>As to prognosis, Dr. Wong opines tha</w:t>
      </w:r>
      <w:r>
        <w:rPr>
          <w:szCs w:val="28"/>
          <w:lang w:eastAsia="zh-HK"/>
        </w:rPr>
        <w:t xml:space="preserve">t it is fair.  The </w:t>
      </w:r>
      <w:r>
        <w:rPr>
          <w:rFonts w:eastAsia="PMingLiU" w:hint="eastAsia"/>
          <w:szCs w:val="28"/>
          <w:lang w:eastAsia="zh-TW"/>
        </w:rPr>
        <w:t>p</w:t>
      </w:r>
      <w:r w:rsidRPr="008846E1">
        <w:rPr>
          <w:szCs w:val="28"/>
          <w:lang w:eastAsia="zh-HK"/>
        </w:rPr>
        <w:t>laintiff is expected to have intermittent attack of left ankle pain chiefly on exertion such as heavy lifting and carrying from supermarket, prolonged walking and standing in long journey o</w:t>
      </w:r>
      <w:r w:rsidR="00866DDF">
        <w:rPr>
          <w:szCs w:val="28"/>
          <w:lang w:eastAsia="zh-HK"/>
        </w:rPr>
        <w:t>r walking on uneven ground</w:t>
      </w:r>
      <w:r w:rsidRPr="008846E1">
        <w:rPr>
          <w:szCs w:val="28"/>
          <w:lang w:eastAsia="zh-HK"/>
        </w:rPr>
        <w:t>.  Dr. Tsoi opi</w:t>
      </w:r>
      <w:r>
        <w:rPr>
          <w:szCs w:val="28"/>
          <w:lang w:eastAsia="zh-HK"/>
        </w:rPr>
        <w:t xml:space="preserve">nes that the </w:t>
      </w:r>
      <w:r>
        <w:rPr>
          <w:rFonts w:eastAsia="PMingLiU" w:hint="eastAsia"/>
          <w:szCs w:val="28"/>
          <w:lang w:eastAsia="zh-TW"/>
        </w:rPr>
        <w:t>p</w:t>
      </w:r>
      <w:r w:rsidRPr="008846E1">
        <w:rPr>
          <w:szCs w:val="28"/>
          <w:lang w:eastAsia="zh-HK"/>
        </w:rPr>
        <w:t>laintiff has recovered well.  Residual ankle soreness on prolonged walking, jumping, running and climbing is possible but sho</w:t>
      </w:r>
      <w:r w:rsidR="00307F6E">
        <w:rPr>
          <w:szCs w:val="28"/>
          <w:lang w:eastAsia="zh-HK"/>
        </w:rPr>
        <w:t>uld be of mild degree</w:t>
      </w:r>
      <w:r w:rsidRPr="008846E1">
        <w:rPr>
          <w:szCs w:val="28"/>
          <w:lang w:eastAsia="zh-HK"/>
        </w:rPr>
        <w:t xml:space="preserve">.  </w:t>
      </w:r>
    </w:p>
    <w:p w:rsidR="005315A5" w:rsidRPr="008846E1" w:rsidRDefault="005315A5" w:rsidP="0086642B">
      <w:pPr>
        <w:pStyle w:val="ListParagraph"/>
        <w:spacing w:line="360" w:lineRule="auto"/>
        <w:ind w:left="0"/>
        <w:rPr>
          <w:szCs w:val="28"/>
          <w:lang w:eastAsia="zh-HK"/>
        </w:rPr>
      </w:pPr>
    </w:p>
    <w:p w:rsidR="005315A5" w:rsidRDefault="005315A5" w:rsidP="0086642B">
      <w:pPr>
        <w:pStyle w:val="ListParagraph"/>
        <w:numPr>
          <w:ilvl w:val="0"/>
          <w:numId w:val="17"/>
        </w:numPr>
        <w:spacing w:line="360" w:lineRule="auto"/>
        <w:ind w:left="0" w:firstLine="0"/>
        <w:jc w:val="both"/>
        <w:rPr>
          <w:szCs w:val="28"/>
          <w:lang w:eastAsia="zh-HK"/>
        </w:rPr>
      </w:pPr>
      <w:r w:rsidRPr="008846E1">
        <w:rPr>
          <w:szCs w:val="28"/>
          <w:lang w:eastAsia="zh-HK"/>
        </w:rPr>
        <w:lastRenderedPageBreak/>
        <w:t xml:space="preserve">As to working capacity, the </w:t>
      </w:r>
      <w:r>
        <w:rPr>
          <w:szCs w:val="28"/>
          <w:lang w:eastAsia="zh-HK"/>
        </w:rPr>
        <w:t xml:space="preserve">experts agree that the </w:t>
      </w:r>
      <w:r>
        <w:rPr>
          <w:rFonts w:eastAsia="PMingLiU" w:hint="eastAsia"/>
          <w:szCs w:val="28"/>
          <w:lang w:eastAsia="zh-TW"/>
        </w:rPr>
        <w:t>p</w:t>
      </w:r>
      <w:r w:rsidRPr="008846E1">
        <w:rPr>
          <w:szCs w:val="28"/>
          <w:lang w:eastAsia="zh-HK"/>
        </w:rPr>
        <w:t>laintiff should be able to resume her pre-injury occupation with mild reduced efficiency and capacity, especially in prolonged and persistent standing during sales duty, climbing up and down stairs and ladder for taking stocks, occasional squatting for picking up or serving customers in wearing shoes.  She may require intermittent rest becaus</w:t>
      </w:r>
      <w:r w:rsidR="00307F6E">
        <w:rPr>
          <w:szCs w:val="28"/>
          <w:lang w:eastAsia="zh-HK"/>
        </w:rPr>
        <w:t>e of left ankle pain.</w:t>
      </w:r>
    </w:p>
    <w:p w:rsidR="000B0D8C" w:rsidRPr="00185D51" w:rsidRDefault="000B0D8C" w:rsidP="00185D51">
      <w:pPr>
        <w:spacing w:line="360" w:lineRule="auto"/>
        <w:rPr>
          <w:szCs w:val="28"/>
          <w:lang w:eastAsia="zh-HK"/>
        </w:rPr>
      </w:pPr>
    </w:p>
    <w:p w:rsidR="00307F6E" w:rsidRPr="00307F6E" w:rsidRDefault="00866DDF" w:rsidP="0086642B">
      <w:pPr>
        <w:pStyle w:val="ListParagraph"/>
        <w:spacing w:line="360" w:lineRule="auto"/>
        <w:ind w:left="0"/>
        <w:rPr>
          <w:i/>
          <w:szCs w:val="28"/>
          <w:lang w:eastAsia="zh-HK"/>
        </w:rPr>
      </w:pPr>
      <w:r>
        <w:rPr>
          <w:i/>
          <w:szCs w:val="28"/>
          <w:lang w:eastAsia="zh-HK"/>
        </w:rPr>
        <w:t>The p</w:t>
      </w:r>
      <w:r w:rsidR="00307F6E" w:rsidRPr="00307F6E">
        <w:rPr>
          <w:i/>
          <w:szCs w:val="28"/>
          <w:lang w:eastAsia="zh-HK"/>
        </w:rPr>
        <w:t>laintiff’s e</w:t>
      </w:r>
      <w:r w:rsidR="00E10AF0">
        <w:rPr>
          <w:i/>
          <w:szCs w:val="28"/>
          <w:lang w:eastAsia="zh-HK"/>
        </w:rPr>
        <w:t>vidence</w:t>
      </w:r>
      <w:r w:rsidR="00307F6E" w:rsidRPr="00307F6E">
        <w:rPr>
          <w:i/>
          <w:szCs w:val="28"/>
          <w:lang w:eastAsia="zh-HK"/>
        </w:rPr>
        <w:t xml:space="preserve"> </w:t>
      </w:r>
    </w:p>
    <w:p w:rsidR="00307F6E" w:rsidRPr="008846E1" w:rsidRDefault="00307F6E" w:rsidP="0086642B">
      <w:pPr>
        <w:pStyle w:val="ListParagraph"/>
        <w:spacing w:line="360" w:lineRule="auto"/>
        <w:ind w:left="0"/>
        <w:rPr>
          <w:szCs w:val="28"/>
          <w:lang w:eastAsia="zh-HK"/>
        </w:rPr>
      </w:pPr>
    </w:p>
    <w:p w:rsidR="00866DDF" w:rsidRDefault="00866DDF" w:rsidP="0086642B">
      <w:pPr>
        <w:pStyle w:val="ListParagraph"/>
        <w:numPr>
          <w:ilvl w:val="0"/>
          <w:numId w:val="17"/>
        </w:numPr>
        <w:spacing w:line="360" w:lineRule="auto"/>
        <w:ind w:left="0" w:firstLine="0"/>
        <w:jc w:val="both"/>
        <w:rPr>
          <w:szCs w:val="28"/>
        </w:rPr>
      </w:pPr>
      <w:r>
        <w:rPr>
          <w:szCs w:val="28"/>
        </w:rPr>
        <w:t xml:space="preserve">The plaintiff gave evidence at the assessment hearing.  I find her to be an honest and truthful witness.  Eventhough she was subjected to extensive cross-examination by the defendant’s counsel, she came across as a straightforward and forthcoming witness.  She was never evasive or </w:t>
      </w:r>
      <w:r w:rsidR="006A5F34">
        <w:rPr>
          <w:szCs w:val="28"/>
        </w:rPr>
        <w:t>ambivalent</w:t>
      </w:r>
      <w:r>
        <w:rPr>
          <w:szCs w:val="28"/>
        </w:rPr>
        <w:t xml:space="preserve"> in the answers she gave.  I accept her evidence.</w:t>
      </w:r>
    </w:p>
    <w:p w:rsidR="00866DDF" w:rsidRDefault="00866DDF" w:rsidP="0086642B">
      <w:pPr>
        <w:pStyle w:val="ListParagraph"/>
        <w:spacing w:line="360" w:lineRule="auto"/>
        <w:ind w:left="0"/>
        <w:jc w:val="both"/>
        <w:rPr>
          <w:szCs w:val="28"/>
        </w:rPr>
      </w:pPr>
    </w:p>
    <w:p w:rsidR="00307F6E" w:rsidRDefault="00307F6E" w:rsidP="0086642B">
      <w:pPr>
        <w:pStyle w:val="ListParagraph"/>
        <w:numPr>
          <w:ilvl w:val="0"/>
          <w:numId w:val="17"/>
        </w:numPr>
        <w:spacing w:line="360" w:lineRule="auto"/>
        <w:ind w:left="0" w:firstLine="0"/>
        <w:jc w:val="both"/>
        <w:rPr>
          <w:szCs w:val="28"/>
        </w:rPr>
      </w:pPr>
      <w:r>
        <w:rPr>
          <w:rFonts w:eastAsia="PMingLiU" w:hint="eastAsia"/>
          <w:szCs w:val="28"/>
          <w:lang w:eastAsia="zh-TW"/>
        </w:rPr>
        <w:t>The plaintiff</w:t>
      </w:r>
      <w:r>
        <w:rPr>
          <w:szCs w:val="28"/>
          <w:lang w:eastAsia="zh-HK"/>
        </w:rPr>
        <w:t xml:space="preserve"> was born and grew up</w:t>
      </w:r>
      <w:r w:rsidRPr="00047872">
        <w:rPr>
          <w:szCs w:val="28"/>
          <w:lang w:eastAsia="zh-HK"/>
        </w:rPr>
        <w:t xml:space="preserve"> in the Mainland.  She received education </w:t>
      </w:r>
      <w:r>
        <w:rPr>
          <w:szCs w:val="28"/>
          <w:lang w:eastAsia="zh-HK"/>
        </w:rPr>
        <w:t xml:space="preserve">up </w:t>
      </w:r>
      <w:r w:rsidRPr="00047872">
        <w:rPr>
          <w:szCs w:val="28"/>
          <w:lang w:eastAsia="zh-HK"/>
        </w:rPr>
        <w:t>to secondary three</w:t>
      </w:r>
      <w:r>
        <w:rPr>
          <w:szCs w:val="28"/>
          <w:lang w:eastAsia="zh-HK"/>
        </w:rPr>
        <w:t xml:space="preserve"> level there</w:t>
      </w:r>
      <w:r w:rsidRPr="00047872">
        <w:rPr>
          <w:szCs w:val="28"/>
          <w:lang w:eastAsia="zh-HK"/>
        </w:rPr>
        <w:t>.  In 2007</w:t>
      </w:r>
      <w:r>
        <w:rPr>
          <w:szCs w:val="28"/>
          <w:lang w:eastAsia="zh-HK"/>
        </w:rPr>
        <w:t>,</w:t>
      </w:r>
      <w:r w:rsidRPr="00047872">
        <w:rPr>
          <w:szCs w:val="28"/>
          <w:lang w:eastAsia="zh-HK"/>
        </w:rPr>
        <w:t xml:space="preserve"> she </w:t>
      </w:r>
      <w:r w:rsidR="00866DDF">
        <w:rPr>
          <w:szCs w:val="28"/>
          <w:lang w:eastAsia="zh-HK"/>
        </w:rPr>
        <w:t>started to work as a saleslady</w:t>
      </w:r>
      <w:r w:rsidR="002B0933">
        <w:rPr>
          <w:szCs w:val="28"/>
          <w:lang w:eastAsia="zh-HK"/>
        </w:rPr>
        <w:t xml:space="preserve"> in </w:t>
      </w:r>
      <w:r w:rsidRPr="00047872">
        <w:rPr>
          <w:szCs w:val="28"/>
          <w:lang w:eastAsia="zh-HK"/>
        </w:rPr>
        <w:t xml:space="preserve">Shenzhen.  In 2014, she came to </w:t>
      </w:r>
      <w:r>
        <w:rPr>
          <w:szCs w:val="28"/>
          <w:lang w:eastAsia="zh-HK"/>
        </w:rPr>
        <w:t xml:space="preserve">reside in </w:t>
      </w:r>
      <w:r w:rsidRPr="00047872">
        <w:rPr>
          <w:szCs w:val="28"/>
          <w:lang w:eastAsia="zh-HK"/>
        </w:rPr>
        <w:t>Hong Kong and continued working as a sales</w:t>
      </w:r>
      <w:r>
        <w:rPr>
          <w:szCs w:val="28"/>
          <w:lang w:eastAsia="zh-HK"/>
        </w:rPr>
        <w:t>lady</w:t>
      </w:r>
      <w:r w:rsidRPr="00047872">
        <w:rPr>
          <w:szCs w:val="28"/>
          <w:lang w:eastAsia="zh-HK"/>
        </w:rPr>
        <w:t xml:space="preserve">.  By the time of the Accident, she had been working in the retail industry </w:t>
      </w:r>
      <w:r w:rsidR="002B0933">
        <w:rPr>
          <w:szCs w:val="28"/>
          <w:lang w:eastAsia="zh-HK"/>
        </w:rPr>
        <w:t xml:space="preserve">as a saleslady </w:t>
      </w:r>
      <w:r w:rsidRPr="00047872">
        <w:rPr>
          <w:szCs w:val="28"/>
          <w:lang w:eastAsia="zh-HK"/>
        </w:rPr>
        <w:t>for about 9 years.</w:t>
      </w:r>
    </w:p>
    <w:p w:rsidR="00E10AF0" w:rsidRPr="00185D51" w:rsidRDefault="00E10AF0" w:rsidP="00185D51">
      <w:pPr>
        <w:spacing w:line="360" w:lineRule="auto"/>
        <w:rPr>
          <w:szCs w:val="28"/>
        </w:rPr>
      </w:pPr>
    </w:p>
    <w:p w:rsidR="00E10AF0" w:rsidRDefault="00E10AF0" w:rsidP="0086642B">
      <w:pPr>
        <w:pStyle w:val="ListParagraph"/>
        <w:numPr>
          <w:ilvl w:val="0"/>
          <w:numId w:val="17"/>
        </w:numPr>
        <w:spacing w:line="360" w:lineRule="auto"/>
        <w:ind w:left="0" w:firstLine="0"/>
        <w:jc w:val="both"/>
        <w:rPr>
          <w:szCs w:val="28"/>
        </w:rPr>
      </w:pPr>
      <w:r>
        <w:rPr>
          <w:szCs w:val="28"/>
        </w:rPr>
        <w:t xml:space="preserve">In her pre-accident job with the defendant, she had to stand for at least 8 hours a day and </w:t>
      </w:r>
      <w:r w:rsidR="009A261D">
        <w:rPr>
          <w:szCs w:val="28"/>
        </w:rPr>
        <w:t>climb on the ladder to fetch</w:t>
      </w:r>
      <w:r>
        <w:rPr>
          <w:szCs w:val="28"/>
        </w:rPr>
        <w:t xml:space="preserve"> shoes for customers’ fitting for 40-50 times a day.  Since the Accident, she is not able to stand for more than 2-3 hours at a time. </w:t>
      </w:r>
      <w:r w:rsidR="009A261D">
        <w:rPr>
          <w:szCs w:val="28"/>
        </w:rPr>
        <w:t xml:space="preserve">  </w:t>
      </w:r>
      <w:r>
        <w:rPr>
          <w:szCs w:val="28"/>
        </w:rPr>
        <w:t xml:space="preserve"> </w:t>
      </w:r>
    </w:p>
    <w:p w:rsidR="00E10AF0" w:rsidRPr="00185D51" w:rsidRDefault="00E10AF0" w:rsidP="00185D51">
      <w:pPr>
        <w:spacing w:line="360" w:lineRule="auto"/>
        <w:rPr>
          <w:szCs w:val="28"/>
        </w:rPr>
      </w:pPr>
    </w:p>
    <w:p w:rsidR="009A261D" w:rsidRDefault="00E10AF0" w:rsidP="0086642B">
      <w:pPr>
        <w:pStyle w:val="ListParagraph"/>
        <w:numPr>
          <w:ilvl w:val="0"/>
          <w:numId w:val="17"/>
        </w:numPr>
        <w:spacing w:line="360" w:lineRule="auto"/>
        <w:ind w:left="0" w:firstLine="0"/>
        <w:jc w:val="both"/>
        <w:rPr>
          <w:szCs w:val="28"/>
        </w:rPr>
      </w:pPr>
      <w:r>
        <w:rPr>
          <w:szCs w:val="28"/>
        </w:rPr>
        <w:t>I accept her evidence th</w:t>
      </w:r>
      <w:r w:rsidR="0095514C">
        <w:rPr>
          <w:szCs w:val="28"/>
        </w:rPr>
        <w:t xml:space="preserve">at after the Accident, she was </w:t>
      </w:r>
      <w:r>
        <w:rPr>
          <w:szCs w:val="28"/>
        </w:rPr>
        <w:t>persuaded by the defendant to resign from her</w:t>
      </w:r>
      <w:r w:rsidR="00A705C7">
        <w:rPr>
          <w:szCs w:val="28"/>
        </w:rPr>
        <w:t xml:space="preserve"> </w:t>
      </w:r>
      <w:r w:rsidR="006A5F34">
        <w:rPr>
          <w:szCs w:val="28"/>
        </w:rPr>
        <w:t xml:space="preserve">job </w:t>
      </w:r>
      <w:r w:rsidR="00A705C7">
        <w:rPr>
          <w:szCs w:val="28"/>
        </w:rPr>
        <w:t>after the</w:t>
      </w:r>
      <w:r w:rsidR="009A261D">
        <w:rPr>
          <w:szCs w:val="28"/>
        </w:rPr>
        <w:t xml:space="preserve"> 2-year sick leave period had expired.  She felt that she had no alternative but to resign.  </w:t>
      </w:r>
      <w:r w:rsidR="009A261D">
        <w:rPr>
          <w:szCs w:val="28"/>
        </w:rPr>
        <w:lastRenderedPageBreak/>
        <w:t xml:space="preserve">She did that on 21 February 2019.  The defendant has not </w:t>
      </w:r>
      <w:r w:rsidR="00896308">
        <w:rPr>
          <w:szCs w:val="28"/>
        </w:rPr>
        <w:t xml:space="preserve">produced any evidence to </w:t>
      </w:r>
      <w:r w:rsidR="00A705C7">
        <w:rPr>
          <w:szCs w:val="28"/>
        </w:rPr>
        <w:t>contradict her</w:t>
      </w:r>
      <w:r w:rsidR="009A261D">
        <w:rPr>
          <w:szCs w:val="28"/>
        </w:rPr>
        <w:t xml:space="preserve"> </w:t>
      </w:r>
      <w:r w:rsidR="00896308">
        <w:rPr>
          <w:szCs w:val="28"/>
        </w:rPr>
        <w:t xml:space="preserve">evidence </w:t>
      </w:r>
      <w:r w:rsidR="002B0933">
        <w:rPr>
          <w:szCs w:val="28"/>
        </w:rPr>
        <w:t>in</w:t>
      </w:r>
      <w:r w:rsidR="00A705C7">
        <w:rPr>
          <w:szCs w:val="28"/>
        </w:rPr>
        <w:t xml:space="preserve"> this </w:t>
      </w:r>
      <w:r w:rsidR="00896308">
        <w:rPr>
          <w:szCs w:val="28"/>
        </w:rPr>
        <w:t>respect</w:t>
      </w:r>
      <w:r w:rsidR="009A261D">
        <w:rPr>
          <w:szCs w:val="28"/>
        </w:rPr>
        <w:t>.</w:t>
      </w:r>
    </w:p>
    <w:p w:rsidR="009A261D" w:rsidRPr="009A261D" w:rsidRDefault="009A261D" w:rsidP="0086642B">
      <w:pPr>
        <w:pStyle w:val="ListParagraph"/>
        <w:spacing w:line="360" w:lineRule="auto"/>
        <w:rPr>
          <w:szCs w:val="28"/>
        </w:rPr>
      </w:pPr>
    </w:p>
    <w:p w:rsidR="00A705C7" w:rsidRDefault="009A261D" w:rsidP="0086642B">
      <w:pPr>
        <w:pStyle w:val="ListParagraph"/>
        <w:numPr>
          <w:ilvl w:val="0"/>
          <w:numId w:val="17"/>
        </w:numPr>
        <w:spacing w:line="360" w:lineRule="auto"/>
        <w:ind w:left="0" w:firstLine="0"/>
        <w:jc w:val="both"/>
        <w:rPr>
          <w:szCs w:val="28"/>
        </w:rPr>
      </w:pPr>
      <w:r>
        <w:rPr>
          <w:szCs w:val="28"/>
        </w:rPr>
        <w:t xml:space="preserve">Since the Accident, the plaintiff </w:t>
      </w:r>
      <w:r w:rsidR="00A705C7">
        <w:rPr>
          <w:szCs w:val="28"/>
        </w:rPr>
        <w:t>had tried to look for a sales job for some time in less demandi</w:t>
      </w:r>
      <w:r w:rsidR="00896308">
        <w:rPr>
          <w:szCs w:val="28"/>
        </w:rPr>
        <w:t>ng trades but could not find one</w:t>
      </w:r>
      <w:r w:rsidR="00A705C7">
        <w:rPr>
          <w:szCs w:val="28"/>
        </w:rPr>
        <w:t xml:space="preserve">.  </w:t>
      </w:r>
      <w:r w:rsidR="00896308">
        <w:rPr>
          <w:szCs w:val="28"/>
        </w:rPr>
        <w:t>In this regard, s</w:t>
      </w:r>
      <w:r w:rsidR="00A705C7">
        <w:rPr>
          <w:szCs w:val="28"/>
        </w:rPr>
        <w:t>he has produced advertisements on such jobs which paid substantially less than her pre-accident job.  Again</w:t>
      </w:r>
      <w:r w:rsidR="000B0D8C">
        <w:rPr>
          <w:szCs w:val="28"/>
        </w:rPr>
        <w:t>,</w:t>
      </w:r>
      <w:r w:rsidR="00A705C7">
        <w:rPr>
          <w:szCs w:val="28"/>
        </w:rPr>
        <w:t xml:space="preserve"> this part of the evidence was not challenged by the defendant.</w:t>
      </w:r>
    </w:p>
    <w:p w:rsidR="00A705C7" w:rsidRPr="00A705C7" w:rsidRDefault="00A705C7" w:rsidP="0086642B">
      <w:pPr>
        <w:pStyle w:val="ListParagraph"/>
        <w:spacing w:line="360" w:lineRule="auto"/>
        <w:rPr>
          <w:szCs w:val="28"/>
        </w:rPr>
      </w:pPr>
    </w:p>
    <w:p w:rsidR="00665970" w:rsidRPr="00067DE0" w:rsidRDefault="0095514C" w:rsidP="0086642B">
      <w:pPr>
        <w:pStyle w:val="ListParagraph"/>
        <w:numPr>
          <w:ilvl w:val="0"/>
          <w:numId w:val="17"/>
        </w:numPr>
        <w:spacing w:line="360" w:lineRule="auto"/>
        <w:ind w:left="0" w:firstLine="0"/>
        <w:jc w:val="both"/>
        <w:rPr>
          <w:szCs w:val="28"/>
          <w:lang w:eastAsia="zh-HK"/>
        </w:rPr>
      </w:pPr>
      <w:r>
        <w:rPr>
          <w:szCs w:val="28"/>
          <w:lang w:eastAsia="zh-HK"/>
        </w:rPr>
        <w:t>Eventually, s</w:t>
      </w:r>
      <w:r w:rsidR="00665970" w:rsidRPr="00067DE0">
        <w:rPr>
          <w:szCs w:val="28"/>
          <w:lang w:eastAsia="zh-HK"/>
        </w:rPr>
        <w:t xml:space="preserve">he </w:t>
      </w:r>
      <w:r w:rsidR="00DA2D5B">
        <w:rPr>
          <w:szCs w:val="28"/>
          <w:lang w:eastAsia="zh-HK"/>
        </w:rPr>
        <w:t xml:space="preserve">managed to find a sales </w:t>
      </w:r>
      <w:r w:rsidR="00665970" w:rsidRPr="00067DE0">
        <w:rPr>
          <w:szCs w:val="28"/>
          <w:lang w:eastAsia="zh-HK"/>
        </w:rPr>
        <w:t>job and s</w:t>
      </w:r>
      <w:r w:rsidR="00D92A54">
        <w:rPr>
          <w:szCs w:val="28"/>
          <w:lang w:eastAsia="zh-HK"/>
        </w:rPr>
        <w:t xml:space="preserve">tarted working </w:t>
      </w:r>
      <w:r w:rsidR="00665970">
        <w:rPr>
          <w:szCs w:val="28"/>
          <w:lang w:eastAsia="zh-HK"/>
        </w:rPr>
        <w:t>for Dah Chong Hong on 5</w:t>
      </w:r>
      <w:r w:rsidR="00665970">
        <w:rPr>
          <w:rFonts w:eastAsia="PMingLiU" w:hint="eastAsia"/>
          <w:szCs w:val="28"/>
          <w:lang w:eastAsia="zh-TW"/>
        </w:rPr>
        <w:t xml:space="preserve"> June </w:t>
      </w:r>
      <w:r w:rsidR="00665970" w:rsidRPr="00067DE0">
        <w:rPr>
          <w:szCs w:val="28"/>
          <w:lang w:eastAsia="zh-HK"/>
        </w:rPr>
        <w:t xml:space="preserve">2019 at a monthly salary of $11,020.  </w:t>
      </w:r>
      <w:r w:rsidR="00DA2D5B">
        <w:rPr>
          <w:szCs w:val="28"/>
          <w:lang w:eastAsia="zh-HK"/>
        </w:rPr>
        <w:t xml:space="preserve">However, the plaintiff found that </w:t>
      </w:r>
      <w:r w:rsidR="00665970" w:rsidRPr="00067DE0">
        <w:rPr>
          <w:szCs w:val="28"/>
          <w:lang w:eastAsia="zh-HK"/>
        </w:rPr>
        <w:t xml:space="preserve">she could not cope with </w:t>
      </w:r>
      <w:r w:rsidR="00D92A54">
        <w:rPr>
          <w:szCs w:val="28"/>
          <w:lang w:eastAsia="zh-HK"/>
        </w:rPr>
        <w:t xml:space="preserve">the demands of this job which caused her </w:t>
      </w:r>
      <w:r w:rsidR="00665970" w:rsidRPr="00067DE0">
        <w:rPr>
          <w:szCs w:val="28"/>
          <w:lang w:eastAsia="zh-HK"/>
        </w:rPr>
        <w:t>further pain</w:t>
      </w:r>
      <w:r w:rsidR="00896308">
        <w:rPr>
          <w:szCs w:val="28"/>
          <w:lang w:eastAsia="zh-HK"/>
        </w:rPr>
        <w:t xml:space="preserve"> in her ankle</w:t>
      </w:r>
      <w:r w:rsidR="00D92A54">
        <w:rPr>
          <w:szCs w:val="28"/>
          <w:lang w:eastAsia="zh-HK"/>
        </w:rPr>
        <w:t xml:space="preserve">.  After consulting </w:t>
      </w:r>
      <w:r w:rsidR="00665970">
        <w:rPr>
          <w:szCs w:val="28"/>
          <w:lang w:eastAsia="zh-HK"/>
        </w:rPr>
        <w:t xml:space="preserve">a </w:t>
      </w:r>
      <w:r w:rsidR="00D92A54">
        <w:rPr>
          <w:szCs w:val="28"/>
          <w:lang w:eastAsia="zh-HK"/>
        </w:rPr>
        <w:t>private doctor,</w:t>
      </w:r>
      <w:r w:rsidR="00665970" w:rsidRPr="00067DE0">
        <w:rPr>
          <w:b/>
          <w:bCs/>
          <w:szCs w:val="28"/>
          <w:lang w:eastAsia="zh-HK"/>
        </w:rPr>
        <w:t xml:space="preserve"> </w:t>
      </w:r>
      <w:r w:rsidR="00D92A54">
        <w:rPr>
          <w:szCs w:val="28"/>
          <w:lang w:eastAsia="zh-HK"/>
        </w:rPr>
        <w:t xml:space="preserve">she </w:t>
      </w:r>
      <w:r w:rsidR="00665970">
        <w:rPr>
          <w:szCs w:val="28"/>
          <w:lang w:eastAsia="zh-HK"/>
        </w:rPr>
        <w:t>quit the job on 10</w:t>
      </w:r>
      <w:r w:rsidR="00665970">
        <w:rPr>
          <w:rFonts w:eastAsia="PMingLiU" w:hint="eastAsia"/>
          <w:szCs w:val="28"/>
          <w:lang w:eastAsia="zh-TW"/>
        </w:rPr>
        <w:t xml:space="preserve"> June </w:t>
      </w:r>
      <w:r w:rsidR="00665970" w:rsidRPr="00067DE0">
        <w:rPr>
          <w:szCs w:val="28"/>
          <w:lang w:eastAsia="zh-HK"/>
        </w:rPr>
        <w:t xml:space="preserve">2019.  </w:t>
      </w:r>
    </w:p>
    <w:p w:rsidR="00665970" w:rsidRPr="00067DE0" w:rsidRDefault="00665970" w:rsidP="0086642B">
      <w:pPr>
        <w:pStyle w:val="ListParagraph"/>
        <w:spacing w:line="360" w:lineRule="auto"/>
        <w:ind w:left="0"/>
        <w:rPr>
          <w:szCs w:val="28"/>
          <w:lang w:eastAsia="zh-HK"/>
        </w:rPr>
      </w:pPr>
    </w:p>
    <w:p w:rsidR="00493A10" w:rsidRDefault="00665970" w:rsidP="0086642B">
      <w:pPr>
        <w:pStyle w:val="ListParagraph"/>
        <w:numPr>
          <w:ilvl w:val="0"/>
          <w:numId w:val="17"/>
        </w:numPr>
        <w:spacing w:line="360" w:lineRule="auto"/>
        <w:ind w:left="0" w:firstLine="0"/>
        <w:jc w:val="both"/>
        <w:rPr>
          <w:szCs w:val="28"/>
          <w:lang w:eastAsia="zh-HK"/>
        </w:rPr>
      </w:pPr>
      <w:r>
        <w:rPr>
          <w:rFonts w:eastAsia="PMingLiU" w:hint="eastAsia"/>
          <w:szCs w:val="28"/>
          <w:lang w:eastAsia="zh-TW"/>
        </w:rPr>
        <w:t>The plaintiff</w:t>
      </w:r>
      <w:r w:rsidRPr="00067DE0">
        <w:rPr>
          <w:szCs w:val="28"/>
          <w:lang w:eastAsia="zh-HK"/>
        </w:rPr>
        <w:t xml:space="preserve"> </w:t>
      </w:r>
      <w:r w:rsidR="000B0D8C">
        <w:rPr>
          <w:szCs w:val="28"/>
          <w:lang w:eastAsia="zh-HK"/>
        </w:rPr>
        <w:t xml:space="preserve">then </w:t>
      </w:r>
      <w:r w:rsidRPr="00067DE0">
        <w:rPr>
          <w:szCs w:val="28"/>
          <w:lang w:eastAsia="zh-HK"/>
        </w:rPr>
        <w:t>found a new job as an office assistant earning $11,000 per month which does not require her to stand for long hours</w:t>
      </w:r>
      <w:r w:rsidR="00896308">
        <w:rPr>
          <w:szCs w:val="28"/>
          <w:lang w:eastAsia="zh-HK"/>
        </w:rPr>
        <w:t xml:space="preserve"> or outdoor work</w:t>
      </w:r>
      <w:r w:rsidRPr="00067DE0">
        <w:rPr>
          <w:szCs w:val="28"/>
          <w:lang w:eastAsia="zh-HK"/>
        </w:rPr>
        <w:t xml:space="preserve">.  She has </w:t>
      </w:r>
      <w:r w:rsidR="000B0D8C">
        <w:rPr>
          <w:szCs w:val="28"/>
          <w:lang w:eastAsia="zh-HK"/>
        </w:rPr>
        <w:t xml:space="preserve">been </w:t>
      </w:r>
      <w:r w:rsidRPr="00067DE0">
        <w:rPr>
          <w:szCs w:val="28"/>
          <w:lang w:eastAsia="zh-HK"/>
        </w:rPr>
        <w:t>work</w:t>
      </w:r>
      <w:r w:rsidR="000B0D8C">
        <w:rPr>
          <w:szCs w:val="28"/>
          <w:lang w:eastAsia="zh-HK"/>
        </w:rPr>
        <w:t xml:space="preserve">ing </w:t>
      </w:r>
      <w:r w:rsidRPr="00067DE0">
        <w:rPr>
          <w:szCs w:val="28"/>
          <w:lang w:eastAsia="zh-HK"/>
        </w:rPr>
        <w:t xml:space="preserve">in this job since </w:t>
      </w:r>
      <w:r>
        <w:rPr>
          <w:szCs w:val="28"/>
          <w:lang w:eastAsia="zh-HK"/>
        </w:rPr>
        <w:t>1</w:t>
      </w:r>
      <w:r>
        <w:rPr>
          <w:rFonts w:eastAsia="PMingLiU" w:hint="eastAsia"/>
          <w:szCs w:val="28"/>
          <w:lang w:eastAsia="zh-TW"/>
        </w:rPr>
        <w:t xml:space="preserve"> July </w:t>
      </w:r>
      <w:r w:rsidRPr="00067DE0">
        <w:rPr>
          <w:szCs w:val="28"/>
          <w:lang w:eastAsia="zh-HK"/>
        </w:rPr>
        <w:t>2019.</w:t>
      </w:r>
    </w:p>
    <w:p w:rsidR="00866DDF" w:rsidRDefault="00866DDF" w:rsidP="0086642B">
      <w:pPr>
        <w:pStyle w:val="ListParagraph"/>
        <w:spacing w:line="360" w:lineRule="auto"/>
        <w:rPr>
          <w:szCs w:val="28"/>
          <w:lang w:eastAsia="zh-HK"/>
        </w:rPr>
      </w:pPr>
    </w:p>
    <w:p w:rsidR="00866DDF" w:rsidRPr="00F4688F" w:rsidRDefault="00866DDF" w:rsidP="0086642B">
      <w:pPr>
        <w:pStyle w:val="ListParagraph"/>
        <w:numPr>
          <w:ilvl w:val="0"/>
          <w:numId w:val="17"/>
        </w:numPr>
        <w:spacing w:line="360" w:lineRule="auto"/>
        <w:ind w:left="0" w:firstLine="0"/>
        <w:jc w:val="both"/>
        <w:rPr>
          <w:szCs w:val="28"/>
          <w:lang w:eastAsia="zh-HK"/>
        </w:rPr>
      </w:pPr>
      <w:r>
        <w:rPr>
          <w:szCs w:val="28"/>
          <w:lang w:eastAsia="zh-HK"/>
        </w:rPr>
        <w:t xml:space="preserve">I agree with the plaintiff’s counsel Mr </w:t>
      </w:r>
      <w:r w:rsidR="0095514C">
        <w:rPr>
          <w:szCs w:val="28"/>
          <w:lang w:eastAsia="zh-HK"/>
        </w:rPr>
        <w:t xml:space="preserve">Simon </w:t>
      </w:r>
      <w:r>
        <w:rPr>
          <w:szCs w:val="28"/>
          <w:lang w:eastAsia="zh-HK"/>
        </w:rPr>
        <w:t>Wong’s submissions that t</w:t>
      </w:r>
      <w:r w:rsidRPr="008846E1">
        <w:rPr>
          <w:szCs w:val="28"/>
          <w:lang w:eastAsia="zh-HK"/>
        </w:rPr>
        <w:t xml:space="preserve">he Court is never bound by </w:t>
      </w:r>
      <w:r>
        <w:rPr>
          <w:szCs w:val="28"/>
          <w:lang w:eastAsia="zh-HK"/>
        </w:rPr>
        <w:t xml:space="preserve">the </w:t>
      </w:r>
      <w:r w:rsidRPr="008846E1">
        <w:rPr>
          <w:szCs w:val="28"/>
          <w:lang w:eastAsia="zh-HK"/>
        </w:rPr>
        <w:t>expert</w:t>
      </w:r>
      <w:r>
        <w:rPr>
          <w:szCs w:val="28"/>
          <w:lang w:eastAsia="zh-HK"/>
        </w:rPr>
        <w:t>s’ opinion</w:t>
      </w:r>
      <w:r w:rsidRPr="008846E1">
        <w:rPr>
          <w:szCs w:val="28"/>
          <w:lang w:eastAsia="zh-HK"/>
        </w:rPr>
        <w:t xml:space="preserve">.  On the issue of suitability to return </w:t>
      </w:r>
      <w:r>
        <w:rPr>
          <w:szCs w:val="28"/>
          <w:lang w:eastAsia="zh-HK"/>
        </w:rPr>
        <w:t xml:space="preserve">to </w:t>
      </w:r>
      <w:r w:rsidRPr="008846E1">
        <w:rPr>
          <w:szCs w:val="28"/>
          <w:lang w:eastAsia="zh-HK"/>
        </w:rPr>
        <w:t xml:space="preserve">a particular job, </w:t>
      </w:r>
      <w:r>
        <w:rPr>
          <w:szCs w:val="28"/>
          <w:lang w:eastAsia="zh-HK"/>
        </w:rPr>
        <w:t>t</w:t>
      </w:r>
      <w:r w:rsidRPr="008846E1">
        <w:rPr>
          <w:szCs w:val="28"/>
          <w:lang w:eastAsia="zh-HK"/>
        </w:rPr>
        <w:t xml:space="preserve">he Court </w:t>
      </w:r>
      <w:r>
        <w:rPr>
          <w:szCs w:val="28"/>
          <w:lang w:eastAsia="zh-HK"/>
        </w:rPr>
        <w:t>will take into account of a</w:t>
      </w:r>
      <w:r w:rsidRPr="008846E1">
        <w:rPr>
          <w:szCs w:val="28"/>
          <w:lang w:eastAsia="zh-HK"/>
        </w:rPr>
        <w:t xml:space="preserve">ll </w:t>
      </w:r>
      <w:r>
        <w:rPr>
          <w:szCs w:val="28"/>
          <w:lang w:eastAsia="zh-HK"/>
        </w:rPr>
        <w:t>the evidence available in the case</w:t>
      </w:r>
      <w:r w:rsidRPr="008846E1">
        <w:rPr>
          <w:szCs w:val="28"/>
          <w:lang w:eastAsia="zh-HK"/>
        </w:rPr>
        <w:t xml:space="preserve">, </w:t>
      </w:r>
      <w:r>
        <w:rPr>
          <w:szCs w:val="28"/>
          <w:lang w:eastAsia="zh-HK"/>
        </w:rPr>
        <w:t xml:space="preserve">including both </w:t>
      </w:r>
      <w:r w:rsidRPr="008846E1">
        <w:rPr>
          <w:szCs w:val="28"/>
          <w:lang w:eastAsia="zh-HK"/>
        </w:rPr>
        <w:t>factual and expert</w:t>
      </w:r>
      <w:r>
        <w:rPr>
          <w:szCs w:val="28"/>
          <w:lang w:eastAsia="zh-HK"/>
        </w:rPr>
        <w:t xml:space="preserve"> evidence</w:t>
      </w:r>
      <w:r w:rsidRPr="008846E1">
        <w:rPr>
          <w:szCs w:val="28"/>
          <w:lang w:eastAsia="zh-HK"/>
        </w:rPr>
        <w:t>.</w:t>
      </w:r>
      <w:r>
        <w:rPr>
          <w:szCs w:val="28"/>
          <w:lang w:eastAsia="zh-HK"/>
        </w:rPr>
        <w:t xml:space="preserve"> </w:t>
      </w:r>
      <w:r w:rsidRPr="008846E1">
        <w:rPr>
          <w:szCs w:val="28"/>
          <w:lang w:eastAsia="zh-HK"/>
        </w:rPr>
        <w:t xml:space="preserve"> </w:t>
      </w:r>
      <w:r>
        <w:rPr>
          <w:szCs w:val="28"/>
          <w:lang w:eastAsia="zh-HK"/>
        </w:rPr>
        <w:t>In this case, besides the experts’ opinions</w:t>
      </w:r>
      <w:r w:rsidR="00896308">
        <w:rPr>
          <w:szCs w:val="28"/>
          <w:lang w:eastAsia="zh-HK"/>
        </w:rPr>
        <w:t xml:space="preserve"> stated in the Joint Report</w:t>
      </w:r>
      <w:r>
        <w:rPr>
          <w:szCs w:val="28"/>
          <w:lang w:eastAsia="zh-HK"/>
        </w:rPr>
        <w:t>, I have</w:t>
      </w:r>
      <w:r w:rsidRPr="008846E1">
        <w:rPr>
          <w:szCs w:val="28"/>
          <w:lang w:eastAsia="zh-HK"/>
        </w:rPr>
        <w:t xml:space="preserve"> </w:t>
      </w:r>
      <w:r>
        <w:rPr>
          <w:szCs w:val="28"/>
          <w:lang w:eastAsia="zh-HK"/>
        </w:rPr>
        <w:t>taken into account of t</w:t>
      </w:r>
      <w:r>
        <w:rPr>
          <w:rFonts w:eastAsia="PMingLiU" w:hint="eastAsia"/>
          <w:szCs w:val="28"/>
          <w:lang w:eastAsia="zh-TW"/>
        </w:rPr>
        <w:t xml:space="preserve">he </w:t>
      </w:r>
      <w:r w:rsidR="0095514C">
        <w:rPr>
          <w:rFonts w:eastAsia="PMingLiU"/>
          <w:szCs w:val="28"/>
          <w:lang w:eastAsia="zh-TW"/>
        </w:rPr>
        <w:t xml:space="preserve">nature of the plaintiff’s injuries; the objective medical evidence; her treatment records and history; the </w:t>
      </w:r>
      <w:r>
        <w:rPr>
          <w:rFonts w:eastAsia="PMingLiU" w:hint="eastAsia"/>
          <w:szCs w:val="28"/>
          <w:lang w:eastAsia="zh-TW"/>
        </w:rPr>
        <w:t>plaintiff</w:t>
      </w:r>
      <w:r>
        <w:rPr>
          <w:rFonts w:eastAsia="PMingLiU"/>
          <w:szCs w:val="28"/>
          <w:lang w:eastAsia="zh-TW"/>
        </w:rPr>
        <w:t>’s explanations as to why she was</w:t>
      </w:r>
      <w:r w:rsidRPr="008846E1">
        <w:rPr>
          <w:szCs w:val="28"/>
          <w:lang w:eastAsia="zh-HK"/>
        </w:rPr>
        <w:t xml:space="preserve"> unable to c</w:t>
      </w:r>
      <w:r>
        <w:rPr>
          <w:szCs w:val="28"/>
          <w:lang w:eastAsia="zh-HK"/>
        </w:rPr>
        <w:t>ope with the job as a saleslady; her attempts to find and work in other sales jobs</w:t>
      </w:r>
      <w:r w:rsidR="00896308">
        <w:rPr>
          <w:szCs w:val="28"/>
          <w:lang w:eastAsia="zh-HK"/>
        </w:rPr>
        <w:t xml:space="preserve">; </w:t>
      </w:r>
      <w:r>
        <w:rPr>
          <w:szCs w:val="28"/>
          <w:lang w:eastAsia="zh-HK"/>
        </w:rPr>
        <w:t>the demand of her pre-accident job</w:t>
      </w:r>
      <w:r w:rsidR="00896308">
        <w:rPr>
          <w:szCs w:val="28"/>
          <w:lang w:eastAsia="zh-HK"/>
        </w:rPr>
        <w:t>;</w:t>
      </w:r>
      <w:r>
        <w:rPr>
          <w:szCs w:val="28"/>
          <w:lang w:eastAsia="zh-HK"/>
        </w:rPr>
        <w:t xml:space="preserve"> and </w:t>
      </w:r>
      <w:r w:rsidR="0095514C">
        <w:rPr>
          <w:szCs w:val="28"/>
          <w:lang w:eastAsia="zh-HK"/>
        </w:rPr>
        <w:t xml:space="preserve">her </w:t>
      </w:r>
      <w:r>
        <w:rPr>
          <w:szCs w:val="28"/>
          <w:lang w:eastAsia="zh-HK"/>
        </w:rPr>
        <w:t>present complaints</w:t>
      </w:r>
      <w:r w:rsidRPr="008846E1">
        <w:rPr>
          <w:szCs w:val="28"/>
          <w:lang w:eastAsia="zh-HK"/>
        </w:rPr>
        <w:t>.</w:t>
      </w:r>
    </w:p>
    <w:p w:rsidR="00866DDF" w:rsidRPr="00736936" w:rsidRDefault="00B35E52" w:rsidP="0086642B">
      <w:pPr>
        <w:pStyle w:val="ListParagraph"/>
        <w:numPr>
          <w:ilvl w:val="0"/>
          <w:numId w:val="17"/>
        </w:numPr>
        <w:spacing w:line="360" w:lineRule="auto"/>
        <w:ind w:left="0" w:firstLine="0"/>
        <w:jc w:val="both"/>
      </w:pPr>
      <w:r>
        <w:rPr>
          <w:szCs w:val="28"/>
          <w:lang w:eastAsia="zh-HK"/>
        </w:rPr>
        <w:lastRenderedPageBreak/>
        <w:t>I notice in the Joint Report</w:t>
      </w:r>
      <w:r w:rsidR="000A54F6">
        <w:rPr>
          <w:szCs w:val="28"/>
          <w:lang w:eastAsia="zh-HK"/>
        </w:rPr>
        <w:t xml:space="preserve"> t</w:t>
      </w:r>
      <w:r w:rsidR="00866DDF" w:rsidRPr="00576DBC">
        <w:rPr>
          <w:szCs w:val="28"/>
          <w:lang w:eastAsia="zh-HK"/>
        </w:rPr>
        <w:t xml:space="preserve">here is no suggestion by the experts that </w:t>
      </w:r>
      <w:r w:rsidR="00866DDF" w:rsidRPr="00576DBC">
        <w:rPr>
          <w:rFonts w:eastAsia="PMingLiU" w:hint="eastAsia"/>
          <w:szCs w:val="28"/>
          <w:lang w:eastAsia="zh-TW"/>
        </w:rPr>
        <w:t>the plaintiff</w:t>
      </w:r>
      <w:r w:rsidR="00866DDF" w:rsidRPr="00576DBC">
        <w:rPr>
          <w:szCs w:val="28"/>
          <w:lang w:eastAsia="zh-HK"/>
        </w:rPr>
        <w:t xml:space="preserve"> </w:t>
      </w:r>
      <w:r w:rsidR="00866DDF">
        <w:rPr>
          <w:szCs w:val="28"/>
          <w:lang w:eastAsia="zh-HK"/>
        </w:rPr>
        <w:t xml:space="preserve">has </w:t>
      </w:r>
      <w:r w:rsidR="0095514C">
        <w:rPr>
          <w:szCs w:val="28"/>
          <w:lang w:eastAsia="zh-HK"/>
        </w:rPr>
        <w:t>exaggerated her complaints</w:t>
      </w:r>
      <w:r w:rsidR="00866DDF" w:rsidRPr="00576DBC">
        <w:rPr>
          <w:szCs w:val="28"/>
          <w:lang w:eastAsia="zh-HK"/>
        </w:rPr>
        <w:t>.  Indeed, objective finding</w:t>
      </w:r>
      <w:r w:rsidR="0095514C">
        <w:rPr>
          <w:szCs w:val="28"/>
          <w:lang w:eastAsia="zh-HK"/>
        </w:rPr>
        <w:t>s</w:t>
      </w:r>
      <w:r w:rsidR="00866DDF" w:rsidRPr="00576DBC">
        <w:rPr>
          <w:szCs w:val="28"/>
          <w:lang w:eastAsia="zh-HK"/>
        </w:rPr>
        <w:t xml:space="preserve"> </w:t>
      </w:r>
      <w:r w:rsidR="00866DDF">
        <w:rPr>
          <w:szCs w:val="28"/>
          <w:lang w:eastAsia="zh-HK"/>
        </w:rPr>
        <w:t xml:space="preserve">made by the experts </w:t>
      </w:r>
      <w:r w:rsidR="00866DDF" w:rsidRPr="00576DBC">
        <w:rPr>
          <w:szCs w:val="28"/>
          <w:lang w:eastAsia="zh-HK"/>
        </w:rPr>
        <w:t>show</w:t>
      </w:r>
      <w:r w:rsidR="00866DDF">
        <w:rPr>
          <w:szCs w:val="28"/>
          <w:lang w:eastAsia="zh-HK"/>
        </w:rPr>
        <w:t>s</w:t>
      </w:r>
      <w:r w:rsidR="00866DDF" w:rsidRPr="00576DBC">
        <w:rPr>
          <w:szCs w:val="28"/>
          <w:lang w:eastAsia="zh-HK"/>
        </w:rPr>
        <w:t xml:space="preserve"> that there was muscle wasting on her left lower limb</w:t>
      </w:r>
      <w:r w:rsidR="00866DDF">
        <w:rPr>
          <w:szCs w:val="28"/>
          <w:lang w:eastAsia="zh-HK"/>
        </w:rPr>
        <w:t>.</w:t>
      </w:r>
      <w:r w:rsidR="0095514C">
        <w:rPr>
          <w:szCs w:val="28"/>
          <w:lang w:eastAsia="zh-HK"/>
        </w:rPr>
        <w:t xml:space="preserve">  This is not something which plaintiff could have feigned.</w:t>
      </w:r>
      <w:r w:rsidR="00866DDF">
        <w:rPr>
          <w:szCs w:val="28"/>
          <w:lang w:eastAsia="zh-HK"/>
        </w:rPr>
        <w:t xml:space="preserve">  Further, t</w:t>
      </w:r>
      <w:r w:rsidR="00866DDF" w:rsidRPr="008846E1">
        <w:rPr>
          <w:szCs w:val="28"/>
          <w:lang w:eastAsia="zh-HK"/>
        </w:rPr>
        <w:t>he experts agree that there would be pain and weakness, reduced efficiency and capacity</w:t>
      </w:r>
      <w:r w:rsidR="00866DDF">
        <w:rPr>
          <w:szCs w:val="28"/>
          <w:lang w:eastAsia="zh-HK"/>
        </w:rPr>
        <w:t xml:space="preserve"> and that she</w:t>
      </w:r>
      <w:r w:rsidR="00866DDF" w:rsidRPr="008846E1">
        <w:rPr>
          <w:szCs w:val="28"/>
          <w:lang w:eastAsia="zh-HK"/>
        </w:rPr>
        <w:t xml:space="preserve"> may require intermittent rest </w:t>
      </w:r>
      <w:r w:rsidR="00866DDF">
        <w:rPr>
          <w:szCs w:val="28"/>
          <w:lang w:eastAsia="zh-HK"/>
        </w:rPr>
        <w:t>due to the left ankle pain</w:t>
      </w:r>
      <w:r w:rsidR="00866DDF" w:rsidRPr="008846E1">
        <w:rPr>
          <w:szCs w:val="28"/>
          <w:lang w:eastAsia="zh-HK"/>
        </w:rPr>
        <w:t>.</w:t>
      </w:r>
    </w:p>
    <w:p w:rsidR="00866DDF" w:rsidRDefault="00866DDF" w:rsidP="0086642B">
      <w:pPr>
        <w:pStyle w:val="ListParagraph"/>
        <w:spacing w:line="360" w:lineRule="auto"/>
      </w:pPr>
    </w:p>
    <w:p w:rsidR="00866DDF" w:rsidRPr="006627BD" w:rsidRDefault="00866DDF" w:rsidP="0086642B">
      <w:pPr>
        <w:pStyle w:val="ListParagraph"/>
        <w:numPr>
          <w:ilvl w:val="0"/>
          <w:numId w:val="17"/>
        </w:numPr>
        <w:spacing w:line="360" w:lineRule="auto"/>
        <w:ind w:left="0" w:firstLine="0"/>
        <w:jc w:val="both"/>
        <w:rPr>
          <w:szCs w:val="28"/>
          <w:lang w:eastAsia="zh-HK"/>
        </w:rPr>
      </w:pPr>
      <w:r w:rsidRPr="00736936">
        <w:rPr>
          <w:szCs w:val="28"/>
          <w:lang w:eastAsia="zh-HK"/>
        </w:rPr>
        <w:t xml:space="preserve">I accept </w:t>
      </w:r>
      <w:r w:rsidRPr="00736936">
        <w:rPr>
          <w:rFonts w:eastAsia="PMingLiU" w:hint="eastAsia"/>
          <w:szCs w:val="28"/>
          <w:lang w:eastAsia="zh-TW"/>
        </w:rPr>
        <w:t>the plaintiff</w:t>
      </w:r>
      <w:r w:rsidRPr="00736936">
        <w:rPr>
          <w:szCs w:val="28"/>
          <w:lang w:eastAsia="zh-HK"/>
        </w:rPr>
        <w:t xml:space="preserve">’s injuries have caused her </w:t>
      </w:r>
      <w:r>
        <w:rPr>
          <w:szCs w:val="28"/>
          <w:lang w:eastAsia="zh-HK"/>
        </w:rPr>
        <w:t xml:space="preserve">to </w:t>
      </w:r>
      <w:r w:rsidRPr="00736936">
        <w:rPr>
          <w:szCs w:val="28"/>
          <w:lang w:eastAsia="zh-HK"/>
        </w:rPr>
        <w:t>suffer from some permanent lower limb deficit which would affect her job performance a</w:t>
      </w:r>
      <w:r>
        <w:rPr>
          <w:szCs w:val="28"/>
          <w:lang w:eastAsia="zh-HK"/>
        </w:rPr>
        <w:t>nd earning capacity.</w:t>
      </w:r>
      <w:r w:rsidR="0095514C">
        <w:rPr>
          <w:szCs w:val="28"/>
          <w:lang w:eastAsia="zh-HK"/>
        </w:rPr>
        <w:t xml:space="preserve">  Given the relatively </w:t>
      </w:r>
      <w:r w:rsidR="006627BD">
        <w:rPr>
          <w:szCs w:val="28"/>
          <w:lang w:eastAsia="zh-HK"/>
        </w:rPr>
        <w:t>high physical demands of</w:t>
      </w:r>
      <w:r w:rsidR="0095514C">
        <w:rPr>
          <w:szCs w:val="28"/>
          <w:lang w:eastAsia="zh-HK"/>
        </w:rPr>
        <w:t xml:space="preserve"> her pre-</w:t>
      </w:r>
      <w:r w:rsidR="006627BD">
        <w:rPr>
          <w:szCs w:val="28"/>
          <w:lang w:eastAsia="zh-HK"/>
        </w:rPr>
        <w:t xml:space="preserve">accident job, I accept that she would not be cope and therefore able to return to that job.  </w:t>
      </w:r>
    </w:p>
    <w:p w:rsidR="005315A5" w:rsidRDefault="005315A5" w:rsidP="0086642B">
      <w:pPr>
        <w:pStyle w:val="ListParagraph"/>
        <w:spacing w:line="360" w:lineRule="auto"/>
        <w:ind w:left="0"/>
        <w:rPr>
          <w:rFonts w:eastAsia="PMingLiU"/>
          <w:lang w:eastAsia="zh-TW"/>
        </w:rPr>
      </w:pPr>
    </w:p>
    <w:p w:rsidR="00047872" w:rsidRPr="00047872" w:rsidRDefault="00047872" w:rsidP="0086642B">
      <w:pPr>
        <w:spacing w:line="360" w:lineRule="auto"/>
        <w:jc w:val="both"/>
        <w:rPr>
          <w:rFonts w:eastAsia="PMingLiU"/>
          <w:szCs w:val="28"/>
          <w:lang w:eastAsia="zh-TW"/>
        </w:rPr>
      </w:pPr>
      <w:r w:rsidRPr="008846E1">
        <w:rPr>
          <w:i/>
          <w:iCs/>
          <w:szCs w:val="28"/>
          <w:lang w:eastAsia="zh-HK"/>
        </w:rPr>
        <w:t>P’s pre-accident employment</w:t>
      </w:r>
    </w:p>
    <w:p w:rsidR="00435CF0" w:rsidRDefault="00435CF0" w:rsidP="0086642B">
      <w:pPr>
        <w:pStyle w:val="ListParagraph"/>
        <w:spacing w:line="360" w:lineRule="auto"/>
        <w:ind w:left="0"/>
      </w:pPr>
    </w:p>
    <w:p w:rsidR="00435CF0" w:rsidRDefault="006627BD" w:rsidP="0086642B">
      <w:pPr>
        <w:pStyle w:val="ListParagraph"/>
        <w:numPr>
          <w:ilvl w:val="0"/>
          <w:numId w:val="17"/>
        </w:numPr>
        <w:spacing w:line="360" w:lineRule="auto"/>
        <w:ind w:left="0" w:firstLine="0"/>
        <w:jc w:val="both"/>
      </w:pPr>
      <w:r>
        <w:rPr>
          <w:szCs w:val="28"/>
          <w:lang w:eastAsia="zh-HK"/>
        </w:rPr>
        <w:t>T</w:t>
      </w:r>
      <w:r w:rsidR="008321C7">
        <w:rPr>
          <w:rFonts w:eastAsia="PMingLiU" w:hint="eastAsia"/>
          <w:szCs w:val="28"/>
          <w:lang w:eastAsia="zh-TW"/>
        </w:rPr>
        <w:t>he plaintiff</w:t>
      </w:r>
      <w:r w:rsidR="008321C7">
        <w:rPr>
          <w:szCs w:val="28"/>
          <w:lang w:eastAsia="zh-HK"/>
        </w:rPr>
        <w:t xml:space="preserve"> </w:t>
      </w:r>
      <w:r w:rsidR="00B56C69">
        <w:rPr>
          <w:szCs w:val="28"/>
          <w:lang w:eastAsia="zh-HK"/>
        </w:rPr>
        <w:t>was</w:t>
      </w:r>
      <w:r w:rsidR="008321C7">
        <w:rPr>
          <w:szCs w:val="28"/>
          <w:lang w:eastAsia="zh-HK"/>
        </w:rPr>
        <w:t xml:space="preserve"> </w:t>
      </w:r>
      <w:r>
        <w:rPr>
          <w:szCs w:val="28"/>
          <w:lang w:eastAsia="zh-HK"/>
        </w:rPr>
        <w:t xml:space="preserve">first </w:t>
      </w:r>
      <w:r w:rsidR="008321C7">
        <w:rPr>
          <w:szCs w:val="28"/>
          <w:lang w:eastAsia="zh-HK"/>
        </w:rPr>
        <w:t xml:space="preserve">employed by </w:t>
      </w:r>
      <w:r w:rsidR="008321C7">
        <w:rPr>
          <w:rFonts w:eastAsia="PMingLiU" w:hint="eastAsia"/>
          <w:szCs w:val="28"/>
          <w:lang w:eastAsia="zh-TW"/>
        </w:rPr>
        <w:t>the defendant</w:t>
      </w:r>
      <w:r>
        <w:rPr>
          <w:rFonts w:eastAsia="PMingLiU"/>
          <w:szCs w:val="28"/>
          <w:lang w:eastAsia="zh-TW"/>
        </w:rPr>
        <w:t xml:space="preserve"> </w:t>
      </w:r>
      <w:r>
        <w:rPr>
          <w:szCs w:val="28"/>
          <w:lang w:eastAsia="zh-HK"/>
        </w:rPr>
        <w:t>in October 2014</w:t>
      </w:r>
      <w:r w:rsidR="00047872" w:rsidRPr="008846E1">
        <w:rPr>
          <w:szCs w:val="28"/>
          <w:lang w:eastAsia="zh-HK"/>
        </w:rPr>
        <w:t xml:space="preserve">.  Like many other </w:t>
      </w:r>
      <w:r>
        <w:rPr>
          <w:szCs w:val="28"/>
          <w:lang w:eastAsia="zh-HK"/>
        </w:rPr>
        <w:t xml:space="preserve">new </w:t>
      </w:r>
      <w:r w:rsidR="008747EA">
        <w:rPr>
          <w:szCs w:val="28"/>
          <w:lang w:eastAsia="zh-HK"/>
        </w:rPr>
        <w:t>immigrants</w:t>
      </w:r>
      <w:r>
        <w:rPr>
          <w:szCs w:val="28"/>
          <w:lang w:eastAsia="zh-HK"/>
        </w:rPr>
        <w:t xml:space="preserve"> to </w:t>
      </w:r>
      <w:r w:rsidR="00047872" w:rsidRPr="008846E1">
        <w:rPr>
          <w:szCs w:val="28"/>
          <w:lang w:eastAsia="zh-HK"/>
        </w:rPr>
        <w:t>Hong Kong</w:t>
      </w:r>
      <w:r w:rsidR="000A54F6">
        <w:rPr>
          <w:szCs w:val="28"/>
          <w:lang w:eastAsia="zh-HK"/>
        </w:rPr>
        <w:t>, the plaintiff</w:t>
      </w:r>
      <w:r>
        <w:rPr>
          <w:szCs w:val="28"/>
          <w:lang w:eastAsia="zh-HK"/>
        </w:rPr>
        <w:t xml:space="preserve"> </w:t>
      </w:r>
      <w:r w:rsidR="00047872" w:rsidRPr="008846E1">
        <w:rPr>
          <w:szCs w:val="28"/>
          <w:lang w:eastAsia="zh-HK"/>
        </w:rPr>
        <w:t xml:space="preserve">worked </w:t>
      </w:r>
      <w:r>
        <w:rPr>
          <w:szCs w:val="28"/>
          <w:lang w:eastAsia="zh-HK"/>
        </w:rPr>
        <w:t>hard in order</w:t>
      </w:r>
      <w:r w:rsidR="00047872" w:rsidRPr="008846E1">
        <w:rPr>
          <w:szCs w:val="28"/>
          <w:lang w:eastAsia="zh-HK"/>
        </w:rPr>
        <w:t xml:space="preserve"> to earn more money and gain more </w:t>
      </w:r>
      <w:r w:rsidR="000A54F6">
        <w:rPr>
          <w:szCs w:val="28"/>
          <w:lang w:eastAsia="zh-HK"/>
        </w:rPr>
        <w:t xml:space="preserve">relevant </w:t>
      </w:r>
      <w:r w:rsidR="008747EA">
        <w:rPr>
          <w:szCs w:val="28"/>
          <w:lang w:eastAsia="zh-HK"/>
        </w:rPr>
        <w:t xml:space="preserve">working experience.  She </w:t>
      </w:r>
      <w:r w:rsidR="000A54F6">
        <w:rPr>
          <w:szCs w:val="28"/>
          <w:lang w:eastAsia="zh-HK"/>
        </w:rPr>
        <w:t xml:space="preserve">obviously </w:t>
      </w:r>
      <w:r w:rsidR="008747EA">
        <w:rPr>
          <w:szCs w:val="28"/>
          <w:lang w:eastAsia="zh-HK"/>
        </w:rPr>
        <w:t xml:space="preserve">did so </w:t>
      </w:r>
      <w:r>
        <w:rPr>
          <w:szCs w:val="28"/>
          <w:lang w:eastAsia="zh-HK"/>
        </w:rPr>
        <w:t xml:space="preserve">to equip herself </w:t>
      </w:r>
      <w:r w:rsidR="00047872" w:rsidRPr="008846E1">
        <w:rPr>
          <w:szCs w:val="28"/>
          <w:lang w:eastAsia="zh-HK"/>
        </w:rPr>
        <w:t>for better promotion prospect</w:t>
      </w:r>
      <w:r w:rsidR="000A54F6">
        <w:rPr>
          <w:szCs w:val="28"/>
          <w:lang w:eastAsia="zh-HK"/>
        </w:rPr>
        <w:t>s</w:t>
      </w:r>
      <w:r w:rsidR="00047872" w:rsidRPr="008846E1">
        <w:rPr>
          <w:szCs w:val="28"/>
          <w:lang w:eastAsia="zh-HK"/>
        </w:rPr>
        <w:t xml:space="preserve"> and better future job</w:t>
      </w:r>
      <w:r>
        <w:rPr>
          <w:szCs w:val="28"/>
          <w:lang w:eastAsia="zh-HK"/>
        </w:rPr>
        <w:t xml:space="preserve"> opportunities.</w:t>
      </w:r>
      <w:r w:rsidR="00047872" w:rsidRPr="008846E1">
        <w:rPr>
          <w:szCs w:val="28"/>
          <w:lang w:eastAsia="zh-HK"/>
        </w:rPr>
        <w:t xml:space="preserve">  </w:t>
      </w:r>
      <w:r>
        <w:rPr>
          <w:szCs w:val="28"/>
          <w:lang w:eastAsia="zh-HK"/>
        </w:rPr>
        <w:t>Not long after she was employed by the defendant, sh</w:t>
      </w:r>
      <w:r w:rsidR="00047872" w:rsidRPr="008846E1">
        <w:rPr>
          <w:szCs w:val="28"/>
          <w:lang w:eastAsia="zh-HK"/>
        </w:rPr>
        <w:t>e was promoted to the posit</w:t>
      </w:r>
      <w:r w:rsidR="008321C7">
        <w:rPr>
          <w:rFonts w:eastAsia="PMingLiU" w:hint="eastAsia"/>
          <w:szCs w:val="28"/>
          <w:lang w:eastAsia="zh-TW"/>
        </w:rPr>
        <w:t>ion</w:t>
      </w:r>
      <w:r w:rsidR="00047872" w:rsidRPr="008846E1">
        <w:rPr>
          <w:szCs w:val="28"/>
          <w:lang w:eastAsia="zh-HK"/>
        </w:rPr>
        <w:t xml:space="preserve"> of </w:t>
      </w:r>
      <w:r w:rsidR="008747EA">
        <w:rPr>
          <w:szCs w:val="28"/>
          <w:lang w:eastAsia="zh-HK"/>
        </w:rPr>
        <w:t>‘</w:t>
      </w:r>
      <w:r w:rsidR="00047872" w:rsidRPr="008846E1">
        <w:rPr>
          <w:szCs w:val="28"/>
          <w:lang w:eastAsia="zh-HK"/>
        </w:rPr>
        <w:t>Experienced Salesperson</w:t>
      </w:r>
      <w:r w:rsidR="008747EA">
        <w:rPr>
          <w:szCs w:val="28"/>
          <w:lang w:eastAsia="zh-HK"/>
        </w:rPr>
        <w:t xml:space="preserve">’.  She </w:t>
      </w:r>
      <w:r w:rsidR="0005537D">
        <w:rPr>
          <w:szCs w:val="28"/>
          <w:lang w:eastAsia="zh-HK"/>
        </w:rPr>
        <w:t xml:space="preserve">worked </w:t>
      </w:r>
      <w:r w:rsidR="00047872" w:rsidRPr="008846E1">
        <w:rPr>
          <w:szCs w:val="28"/>
          <w:lang w:eastAsia="zh-HK"/>
        </w:rPr>
        <w:t>many overtime hours</w:t>
      </w:r>
      <w:r w:rsidR="0005537D">
        <w:rPr>
          <w:szCs w:val="28"/>
          <w:lang w:eastAsia="zh-HK"/>
        </w:rPr>
        <w:t xml:space="preserve"> as her income records </w:t>
      </w:r>
      <w:r w:rsidR="004023B6">
        <w:rPr>
          <w:szCs w:val="28"/>
          <w:lang w:eastAsia="zh-HK"/>
        </w:rPr>
        <w:t xml:space="preserve">have </w:t>
      </w:r>
      <w:r w:rsidR="000A54F6">
        <w:rPr>
          <w:szCs w:val="28"/>
          <w:lang w:eastAsia="zh-HK"/>
        </w:rPr>
        <w:t>indicated</w:t>
      </w:r>
      <w:r w:rsidR="00047872" w:rsidRPr="008846E1">
        <w:rPr>
          <w:szCs w:val="28"/>
          <w:lang w:eastAsia="zh-HK"/>
        </w:rPr>
        <w:t xml:space="preserve">.  </w:t>
      </w:r>
      <w:r w:rsidR="008321C7">
        <w:rPr>
          <w:rFonts w:eastAsia="PMingLiU" w:hint="eastAsia"/>
          <w:szCs w:val="28"/>
          <w:lang w:eastAsia="zh-TW"/>
        </w:rPr>
        <w:t>The defendant</w:t>
      </w:r>
      <w:r w:rsidR="00047872" w:rsidRPr="008846E1">
        <w:rPr>
          <w:szCs w:val="28"/>
          <w:lang w:eastAsia="zh-HK"/>
        </w:rPr>
        <w:t xml:space="preserve"> provi</w:t>
      </w:r>
      <w:r w:rsidR="008321C7">
        <w:rPr>
          <w:szCs w:val="28"/>
          <w:lang w:eastAsia="zh-HK"/>
        </w:rPr>
        <w:t xml:space="preserve">ded incentive to </w:t>
      </w:r>
      <w:r w:rsidR="008321C7">
        <w:rPr>
          <w:rFonts w:eastAsia="PMingLiU" w:hint="eastAsia"/>
          <w:szCs w:val="28"/>
          <w:lang w:eastAsia="zh-TW"/>
        </w:rPr>
        <w:t>the plaintiff</w:t>
      </w:r>
      <w:r w:rsidR="00047872" w:rsidRPr="008846E1">
        <w:rPr>
          <w:szCs w:val="28"/>
          <w:lang w:eastAsia="zh-HK"/>
        </w:rPr>
        <w:t xml:space="preserve"> </w:t>
      </w:r>
      <w:r w:rsidR="0005537D">
        <w:rPr>
          <w:szCs w:val="28"/>
          <w:lang w:eastAsia="zh-HK"/>
        </w:rPr>
        <w:t xml:space="preserve">and her colleagues to do that as their </w:t>
      </w:r>
      <w:r w:rsidR="00047872" w:rsidRPr="008846E1">
        <w:rPr>
          <w:szCs w:val="28"/>
          <w:lang w:eastAsia="zh-HK"/>
        </w:rPr>
        <w:t>remuneration</w:t>
      </w:r>
      <w:r w:rsidR="0005537D">
        <w:rPr>
          <w:szCs w:val="28"/>
          <w:lang w:eastAsia="zh-HK"/>
        </w:rPr>
        <w:t>s</w:t>
      </w:r>
      <w:r w:rsidR="00047872" w:rsidRPr="008846E1">
        <w:rPr>
          <w:szCs w:val="28"/>
          <w:lang w:eastAsia="zh-HK"/>
        </w:rPr>
        <w:t xml:space="preserve"> w</w:t>
      </w:r>
      <w:r w:rsidR="0005537D">
        <w:rPr>
          <w:szCs w:val="28"/>
          <w:lang w:eastAsia="zh-HK"/>
        </w:rPr>
        <w:t>ere</w:t>
      </w:r>
      <w:r w:rsidR="00047872" w:rsidRPr="008846E1">
        <w:rPr>
          <w:szCs w:val="28"/>
          <w:lang w:eastAsia="zh-HK"/>
        </w:rPr>
        <w:t xml:space="preserve"> calculated based on the volume of sales </w:t>
      </w:r>
      <w:r w:rsidR="0005537D">
        <w:rPr>
          <w:szCs w:val="28"/>
          <w:lang w:eastAsia="zh-HK"/>
        </w:rPr>
        <w:t>they</w:t>
      </w:r>
      <w:r w:rsidR="00047872" w:rsidRPr="008846E1">
        <w:rPr>
          <w:szCs w:val="28"/>
          <w:lang w:eastAsia="zh-HK"/>
        </w:rPr>
        <w:t xml:space="preserve"> ma</w:t>
      </w:r>
      <w:r w:rsidR="004023B6">
        <w:rPr>
          <w:szCs w:val="28"/>
          <w:lang w:eastAsia="zh-HK"/>
        </w:rPr>
        <w:t>d</w:t>
      </w:r>
      <w:r w:rsidR="00047872" w:rsidRPr="008846E1">
        <w:rPr>
          <w:szCs w:val="28"/>
          <w:lang w:eastAsia="zh-HK"/>
        </w:rPr>
        <w:t xml:space="preserve">e and number of hours </w:t>
      </w:r>
      <w:r w:rsidR="0005537D">
        <w:rPr>
          <w:szCs w:val="28"/>
          <w:lang w:eastAsia="zh-HK"/>
        </w:rPr>
        <w:t>they</w:t>
      </w:r>
      <w:r w:rsidR="00047872" w:rsidRPr="008846E1">
        <w:rPr>
          <w:szCs w:val="28"/>
          <w:lang w:eastAsia="zh-HK"/>
        </w:rPr>
        <w:t xml:space="preserve"> worked.</w:t>
      </w:r>
    </w:p>
    <w:p w:rsidR="009464D0" w:rsidRDefault="009464D0" w:rsidP="0086642B">
      <w:pPr>
        <w:pStyle w:val="ListParagraph"/>
        <w:spacing w:line="360" w:lineRule="auto"/>
        <w:ind w:left="0"/>
      </w:pPr>
    </w:p>
    <w:p w:rsidR="00047872" w:rsidRPr="00195D57" w:rsidRDefault="007B1C09" w:rsidP="0086642B">
      <w:pPr>
        <w:pStyle w:val="ListParagraph"/>
        <w:numPr>
          <w:ilvl w:val="0"/>
          <w:numId w:val="17"/>
        </w:numPr>
        <w:spacing w:line="360" w:lineRule="auto"/>
        <w:ind w:left="0" w:firstLine="0"/>
        <w:jc w:val="both"/>
      </w:pPr>
      <w:r>
        <w:rPr>
          <w:szCs w:val="28"/>
          <w:lang w:eastAsia="zh-HK"/>
        </w:rPr>
        <w:lastRenderedPageBreak/>
        <w:t xml:space="preserve">The following summary of </w:t>
      </w:r>
      <w:r>
        <w:rPr>
          <w:rFonts w:eastAsia="PMingLiU" w:hint="eastAsia"/>
          <w:szCs w:val="28"/>
          <w:lang w:eastAsia="zh-TW"/>
        </w:rPr>
        <w:t>the plaintiff</w:t>
      </w:r>
      <w:r w:rsidR="00047872" w:rsidRPr="003D0962">
        <w:rPr>
          <w:szCs w:val="28"/>
          <w:lang w:eastAsia="zh-HK"/>
        </w:rPr>
        <w:t xml:space="preserve">’s earnings </w:t>
      </w:r>
      <w:r w:rsidR="0005537D">
        <w:rPr>
          <w:szCs w:val="28"/>
          <w:lang w:eastAsia="zh-HK"/>
        </w:rPr>
        <w:t xml:space="preserve">for the </w:t>
      </w:r>
      <w:r w:rsidR="00047872" w:rsidRPr="003D0962">
        <w:rPr>
          <w:szCs w:val="28"/>
          <w:lang w:eastAsia="zh-HK"/>
        </w:rPr>
        <w:t xml:space="preserve">12 months prior to </w:t>
      </w:r>
      <w:r>
        <w:rPr>
          <w:rFonts w:eastAsia="PMingLiU" w:hint="eastAsia"/>
          <w:szCs w:val="28"/>
          <w:lang w:eastAsia="zh-TW"/>
        </w:rPr>
        <w:t>the A</w:t>
      </w:r>
      <w:r w:rsidR="00047872" w:rsidRPr="003D0962">
        <w:rPr>
          <w:szCs w:val="28"/>
          <w:lang w:eastAsia="zh-HK"/>
        </w:rPr>
        <w:t>ccident</w:t>
      </w:r>
      <w:r w:rsidR="0005537D">
        <w:rPr>
          <w:szCs w:val="28"/>
          <w:lang w:eastAsia="zh-HK"/>
        </w:rPr>
        <w:t xml:space="preserve"> </w:t>
      </w:r>
      <w:r w:rsidR="004023B6">
        <w:rPr>
          <w:szCs w:val="28"/>
          <w:lang w:eastAsia="zh-HK"/>
        </w:rPr>
        <w:t xml:space="preserve">has </w:t>
      </w:r>
      <w:r w:rsidR="0005537D">
        <w:rPr>
          <w:szCs w:val="28"/>
          <w:lang w:eastAsia="zh-HK"/>
        </w:rPr>
        <w:t>support</w:t>
      </w:r>
      <w:r w:rsidR="004023B6">
        <w:rPr>
          <w:szCs w:val="28"/>
          <w:lang w:eastAsia="zh-HK"/>
        </w:rPr>
        <w:t>ed</w:t>
      </w:r>
      <w:r w:rsidR="0005537D">
        <w:rPr>
          <w:szCs w:val="28"/>
          <w:lang w:eastAsia="zh-HK"/>
        </w:rPr>
        <w:t xml:space="preserve"> the above</w:t>
      </w:r>
      <w:r w:rsidR="00047872" w:rsidRPr="003D0962">
        <w:rPr>
          <w:szCs w:val="28"/>
          <w:lang w:eastAsia="zh-HK"/>
        </w:rPr>
        <w:t>:</w:t>
      </w:r>
    </w:p>
    <w:p w:rsidR="00195D57" w:rsidRPr="00047872" w:rsidRDefault="00195D57" w:rsidP="00195D57">
      <w:pPr>
        <w:pStyle w:val="ListParagraph"/>
        <w:spacing w:line="360" w:lineRule="auto"/>
        <w:ind w:left="0"/>
        <w:jc w:val="both"/>
      </w:pPr>
    </w:p>
    <w:tbl>
      <w:tblPr>
        <w:tblW w:w="684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900"/>
        <w:gridCol w:w="1260"/>
        <w:gridCol w:w="1260"/>
        <w:gridCol w:w="1170"/>
        <w:gridCol w:w="1080"/>
      </w:tblGrid>
      <w:tr w:rsidR="00C21958" w:rsidRPr="00C21958" w:rsidTr="00C21958">
        <w:trPr>
          <w:trHeight w:val="784"/>
        </w:trPr>
        <w:tc>
          <w:tcPr>
            <w:tcW w:w="1170" w:type="dxa"/>
            <w:shd w:val="clear" w:color="auto" w:fill="auto"/>
          </w:tcPr>
          <w:p w:rsidR="0011189E" w:rsidRPr="00C21958" w:rsidRDefault="0011189E" w:rsidP="00C21958">
            <w:pPr>
              <w:pStyle w:val="ListParagraph"/>
              <w:ind w:left="-108" w:right="-108"/>
              <w:jc w:val="center"/>
              <w:rPr>
                <w:sz w:val="24"/>
                <w:szCs w:val="24"/>
                <w:lang w:eastAsia="zh-HK"/>
              </w:rPr>
            </w:pPr>
          </w:p>
        </w:tc>
        <w:tc>
          <w:tcPr>
            <w:tcW w:w="900" w:type="dxa"/>
            <w:shd w:val="clear" w:color="auto" w:fill="auto"/>
          </w:tcPr>
          <w:p w:rsidR="0011189E" w:rsidRPr="00C21958" w:rsidRDefault="0011189E" w:rsidP="00047872">
            <w:pPr>
              <w:pStyle w:val="ListParagraph"/>
              <w:ind w:left="0"/>
              <w:jc w:val="center"/>
              <w:rPr>
                <w:rFonts w:eastAsia="PMingLiU"/>
                <w:sz w:val="24"/>
                <w:szCs w:val="24"/>
                <w:u w:val="single"/>
                <w:lang w:eastAsia="zh-TW"/>
              </w:rPr>
            </w:pPr>
            <w:r w:rsidRPr="00C21958">
              <w:rPr>
                <w:sz w:val="24"/>
                <w:szCs w:val="24"/>
                <w:u w:val="single"/>
                <w:lang w:eastAsia="zh-HK"/>
              </w:rPr>
              <w:t>Basic salary</w:t>
            </w:r>
          </w:p>
        </w:tc>
        <w:tc>
          <w:tcPr>
            <w:tcW w:w="1260" w:type="dxa"/>
            <w:shd w:val="clear" w:color="auto" w:fill="auto"/>
          </w:tcPr>
          <w:p w:rsidR="0011189E" w:rsidRPr="00C21958" w:rsidRDefault="0011189E" w:rsidP="0011189E">
            <w:pPr>
              <w:pStyle w:val="ListParagraph"/>
              <w:ind w:left="-108" w:right="-102"/>
              <w:jc w:val="center"/>
              <w:rPr>
                <w:sz w:val="24"/>
                <w:szCs w:val="24"/>
                <w:u w:val="single"/>
                <w:lang w:eastAsia="zh-HK"/>
              </w:rPr>
            </w:pPr>
            <w:r w:rsidRPr="00C21958">
              <w:rPr>
                <w:sz w:val="24"/>
                <w:szCs w:val="24"/>
                <w:u w:val="single"/>
                <w:lang w:eastAsia="zh-HK"/>
              </w:rPr>
              <w:t>Commission</w:t>
            </w:r>
          </w:p>
        </w:tc>
        <w:tc>
          <w:tcPr>
            <w:tcW w:w="1260" w:type="dxa"/>
            <w:shd w:val="clear" w:color="auto" w:fill="auto"/>
          </w:tcPr>
          <w:p w:rsidR="0011189E" w:rsidRPr="00C21958" w:rsidRDefault="0011189E" w:rsidP="00786CC7">
            <w:pPr>
              <w:pStyle w:val="ListParagraph"/>
              <w:ind w:left="-114" w:right="-102"/>
              <w:jc w:val="center"/>
              <w:rPr>
                <w:sz w:val="24"/>
                <w:szCs w:val="24"/>
                <w:u w:val="single"/>
                <w:lang w:eastAsia="zh-HK"/>
              </w:rPr>
            </w:pPr>
            <w:r w:rsidRPr="00C21958">
              <w:rPr>
                <w:sz w:val="24"/>
                <w:szCs w:val="24"/>
                <w:u w:val="single"/>
                <w:lang w:eastAsia="zh-HK"/>
              </w:rPr>
              <w:t>Allowance</w:t>
            </w:r>
          </w:p>
        </w:tc>
        <w:tc>
          <w:tcPr>
            <w:tcW w:w="1170" w:type="dxa"/>
            <w:shd w:val="clear" w:color="auto" w:fill="auto"/>
          </w:tcPr>
          <w:p w:rsidR="0011189E" w:rsidRPr="00C21958" w:rsidRDefault="0011189E" w:rsidP="0011189E">
            <w:pPr>
              <w:pStyle w:val="ListParagraph"/>
              <w:ind w:left="-114" w:right="-102"/>
              <w:jc w:val="center"/>
              <w:rPr>
                <w:sz w:val="24"/>
                <w:szCs w:val="24"/>
                <w:u w:val="single"/>
                <w:lang w:eastAsia="zh-HK"/>
              </w:rPr>
            </w:pPr>
            <w:r w:rsidRPr="00C21958">
              <w:rPr>
                <w:sz w:val="24"/>
                <w:szCs w:val="24"/>
                <w:u w:val="single"/>
                <w:lang w:eastAsia="zh-HK"/>
              </w:rPr>
              <w:t>Overtime</w:t>
            </w:r>
          </w:p>
        </w:tc>
        <w:tc>
          <w:tcPr>
            <w:tcW w:w="1080" w:type="dxa"/>
            <w:shd w:val="clear" w:color="auto" w:fill="auto"/>
          </w:tcPr>
          <w:p w:rsidR="0011189E" w:rsidRPr="00C21958" w:rsidRDefault="0011189E" w:rsidP="00786CC7">
            <w:pPr>
              <w:pStyle w:val="ListParagraph"/>
              <w:ind w:left="-114" w:right="-108"/>
              <w:jc w:val="center"/>
              <w:rPr>
                <w:bCs/>
                <w:sz w:val="24"/>
                <w:szCs w:val="24"/>
                <w:u w:val="single"/>
                <w:lang w:eastAsia="zh-HK"/>
              </w:rPr>
            </w:pPr>
            <w:r w:rsidRPr="00C21958">
              <w:rPr>
                <w:bCs/>
                <w:sz w:val="24"/>
                <w:szCs w:val="24"/>
                <w:u w:val="single"/>
                <w:lang w:eastAsia="zh-HK"/>
              </w:rPr>
              <w:t>Total</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Jan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10,000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Feb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1,800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1,295</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12,095</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Mar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1,450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857.50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11,307.50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Apr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1,400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1,400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11,800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May</w:t>
            </w:r>
            <w:r w:rsidRPr="00C21958">
              <w:rPr>
                <w:rFonts w:eastAsia="PMingLiU"/>
                <w:sz w:val="24"/>
                <w:szCs w:val="24"/>
                <w:lang w:eastAsia="zh-TW"/>
              </w:rPr>
              <w:t xml:space="preserve"> </w:t>
            </w:r>
            <w:r w:rsidRPr="00C21958">
              <w:rPr>
                <w:sz w:val="24"/>
                <w:szCs w:val="24"/>
                <w:lang w:eastAsia="zh-HK"/>
              </w:rPr>
              <w:t>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1,800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980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11,780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Jun</w:t>
            </w:r>
            <w:r w:rsidRPr="00C21958">
              <w:rPr>
                <w:rFonts w:eastAsia="PMingLiU"/>
                <w:sz w:val="24"/>
                <w:szCs w:val="24"/>
                <w:lang w:eastAsia="zh-TW"/>
              </w:rPr>
              <w:t xml:space="preserve"> </w:t>
            </w:r>
            <w:r w:rsidRPr="00C21958">
              <w:rPr>
                <w:sz w:val="24"/>
                <w:szCs w:val="24"/>
                <w:lang w:eastAsia="zh-HK"/>
              </w:rPr>
              <w:t>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530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10,530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Jul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805</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10,805</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Aug</w:t>
            </w:r>
            <w:r w:rsidRPr="00C21958">
              <w:rPr>
                <w:rFonts w:eastAsia="PMingLiU"/>
                <w:sz w:val="24"/>
                <w:szCs w:val="24"/>
                <w:lang w:eastAsia="zh-TW"/>
              </w:rPr>
              <w:t xml:space="preserve"> </w:t>
            </w:r>
            <w:r w:rsidRPr="00C21958">
              <w:rPr>
                <w:sz w:val="24"/>
                <w:szCs w:val="24"/>
                <w:lang w:eastAsia="zh-HK"/>
              </w:rPr>
              <w:t>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1,400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700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11,100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Sep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1,225</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11,225</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Oct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 + 400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1,120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11,520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Nov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1,200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 + 800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1,032.50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11,832.50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r w:rsidRPr="00C21958">
              <w:rPr>
                <w:sz w:val="24"/>
                <w:szCs w:val="24"/>
                <w:lang w:eastAsia="zh-HK"/>
              </w:rPr>
              <w:t>Dec 2015</w:t>
            </w:r>
          </w:p>
        </w:tc>
        <w:tc>
          <w:tcPr>
            <w:tcW w:w="900" w:type="dxa"/>
            <w:shd w:val="clear" w:color="auto" w:fill="auto"/>
          </w:tcPr>
          <w:p w:rsidR="0011189E" w:rsidRPr="00C21958" w:rsidRDefault="0011189E" w:rsidP="009C0B20">
            <w:pPr>
              <w:pStyle w:val="ListParagraph"/>
              <w:ind w:left="0"/>
              <w:jc w:val="center"/>
              <w:rPr>
                <w:sz w:val="24"/>
                <w:szCs w:val="24"/>
                <w:lang w:eastAsia="zh-HK"/>
              </w:rPr>
            </w:pPr>
            <w:r w:rsidRPr="00C21958">
              <w:rPr>
                <w:sz w:val="24"/>
                <w:szCs w:val="24"/>
                <w:lang w:eastAsia="zh-HK"/>
              </w:rPr>
              <w:t>7,800</w:t>
            </w: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r w:rsidRPr="00C21958">
              <w:rPr>
                <w:sz w:val="24"/>
                <w:szCs w:val="24"/>
                <w:lang w:eastAsia="zh-HK"/>
              </w:rPr>
              <w:t>1,305.90</w:t>
            </w: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r w:rsidRPr="00C21958">
              <w:rPr>
                <w:sz w:val="24"/>
                <w:szCs w:val="24"/>
                <w:lang w:eastAsia="zh-HK"/>
              </w:rPr>
              <w:t>1,000 + 1,200</w:t>
            </w:r>
          </w:p>
        </w:tc>
        <w:tc>
          <w:tcPr>
            <w:tcW w:w="1170" w:type="dxa"/>
            <w:shd w:val="clear" w:color="auto" w:fill="auto"/>
          </w:tcPr>
          <w:p w:rsidR="0011189E" w:rsidRPr="00C21958" w:rsidRDefault="0011189E" w:rsidP="0011189E">
            <w:pPr>
              <w:pStyle w:val="ListParagraph"/>
              <w:ind w:left="-114" w:right="-102"/>
              <w:jc w:val="center"/>
              <w:rPr>
                <w:sz w:val="24"/>
                <w:szCs w:val="24"/>
                <w:lang w:eastAsia="zh-HK"/>
              </w:rPr>
            </w:pPr>
            <w:r w:rsidRPr="00C21958">
              <w:rPr>
                <w:sz w:val="24"/>
                <w:szCs w:val="24"/>
                <w:lang w:eastAsia="zh-HK"/>
              </w:rPr>
              <w:t>630</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11,935.90</w:t>
            </w:r>
          </w:p>
        </w:tc>
      </w:tr>
      <w:tr w:rsidR="00C21958" w:rsidRPr="00C21958" w:rsidTr="00C21958">
        <w:tc>
          <w:tcPr>
            <w:tcW w:w="1170" w:type="dxa"/>
            <w:shd w:val="clear" w:color="auto" w:fill="auto"/>
          </w:tcPr>
          <w:p w:rsidR="0011189E" w:rsidRPr="00C21958" w:rsidRDefault="0011189E" w:rsidP="00C21958">
            <w:pPr>
              <w:pStyle w:val="ListParagraph"/>
              <w:ind w:left="-108" w:right="-108"/>
              <w:jc w:val="center"/>
              <w:rPr>
                <w:sz w:val="24"/>
                <w:szCs w:val="24"/>
                <w:lang w:eastAsia="zh-HK"/>
              </w:rPr>
            </w:pPr>
          </w:p>
        </w:tc>
        <w:tc>
          <w:tcPr>
            <w:tcW w:w="900" w:type="dxa"/>
            <w:shd w:val="clear" w:color="auto" w:fill="auto"/>
          </w:tcPr>
          <w:p w:rsidR="0011189E" w:rsidRPr="00C21958" w:rsidRDefault="0011189E" w:rsidP="009C0B20">
            <w:pPr>
              <w:pStyle w:val="ListParagraph"/>
              <w:ind w:left="0"/>
              <w:jc w:val="center"/>
              <w:rPr>
                <w:sz w:val="24"/>
                <w:szCs w:val="24"/>
                <w:lang w:eastAsia="zh-HK"/>
              </w:rPr>
            </w:pPr>
          </w:p>
        </w:tc>
        <w:tc>
          <w:tcPr>
            <w:tcW w:w="1260" w:type="dxa"/>
            <w:shd w:val="clear" w:color="auto" w:fill="auto"/>
          </w:tcPr>
          <w:p w:rsidR="0011189E" w:rsidRPr="00C21958" w:rsidRDefault="0011189E" w:rsidP="0011189E">
            <w:pPr>
              <w:pStyle w:val="ListParagraph"/>
              <w:ind w:left="-108" w:right="-102"/>
              <w:jc w:val="center"/>
              <w:rPr>
                <w:sz w:val="24"/>
                <w:szCs w:val="24"/>
                <w:lang w:eastAsia="zh-HK"/>
              </w:rPr>
            </w:pPr>
          </w:p>
        </w:tc>
        <w:tc>
          <w:tcPr>
            <w:tcW w:w="1260" w:type="dxa"/>
            <w:shd w:val="clear" w:color="auto" w:fill="auto"/>
          </w:tcPr>
          <w:p w:rsidR="0011189E" w:rsidRPr="00C21958" w:rsidRDefault="0011189E" w:rsidP="00786CC7">
            <w:pPr>
              <w:pStyle w:val="ListParagraph"/>
              <w:ind w:left="-114" w:right="-102"/>
              <w:jc w:val="center"/>
              <w:rPr>
                <w:sz w:val="24"/>
                <w:szCs w:val="24"/>
                <w:lang w:eastAsia="zh-HK"/>
              </w:rPr>
            </w:pPr>
          </w:p>
        </w:tc>
        <w:tc>
          <w:tcPr>
            <w:tcW w:w="1170" w:type="dxa"/>
            <w:shd w:val="clear" w:color="auto" w:fill="auto"/>
          </w:tcPr>
          <w:p w:rsidR="0011189E" w:rsidRPr="00C21958" w:rsidRDefault="0011189E" w:rsidP="0011189E">
            <w:pPr>
              <w:pStyle w:val="ListParagraph"/>
              <w:ind w:left="-114" w:right="-102"/>
              <w:jc w:val="center"/>
              <w:rPr>
                <w:bCs/>
                <w:sz w:val="24"/>
                <w:szCs w:val="24"/>
                <w:lang w:eastAsia="zh-HK"/>
              </w:rPr>
            </w:pPr>
            <w:r w:rsidRPr="00C21958">
              <w:rPr>
                <w:bCs/>
                <w:sz w:val="24"/>
                <w:szCs w:val="24"/>
                <w:lang w:eastAsia="zh-HK"/>
              </w:rPr>
              <w:t>Average</w:t>
            </w:r>
          </w:p>
        </w:tc>
        <w:tc>
          <w:tcPr>
            <w:tcW w:w="1080" w:type="dxa"/>
            <w:shd w:val="clear" w:color="auto" w:fill="auto"/>
          </w:tcPr>
          <w:p w:rsidR="0011189E" w:rsidRPr="00C21958" w:rsidRDefault="0011189E" w:rsidP="00786CC7">
            <w:pPr>
              <w:pStyle w:val="ListParagraph"/>
              <w:ind w:left="-114" w:right="-108"/>
              <w:jc w:val="center"/>
              <w:rPr>
                <w:bCs/>
                <w:sz w:val="24"/>
                <w:szCs w:val="24"/>
                <w:lang w:eastAsia="zh-HK"/>
              </w:rPr>
            </w:pPr>
            <w:r w:rsidRPr="00C21958">
              <w:rPr>
                <w:bCs/>
                <w:sz w:val="24"/>
                <w:szCs w:val="24"/>
                <w:lang w:eastAsia="zh-HK"/>
              </w:rPr>
              <w:t>11,327.58</w:t>
            </w:r>
          </w:p>
        </w:tc>
      </w:tr>
    </w:tbl>
    <w:p w:rsidR="003D0962" w:rsidRPr="00067DE0" w:rsidRDefault="003D0962" w:rsidP="0086642B">
      <w:pPr>
        <w:pStyle w:val="ListParagraph"/>
        <w:spacing w:line="360" w:lineRule="auto"/>
        <w:ind w:left="0"/>
        <w:rPr>
          <w:szCs w:val="28"/>
        </w:rPr>
      </w:pPr>
    </w:p>
    <w:p w:rsidR="00067DE0" w:rsidRPr="00067DE0" w:rsidRDefault="00067DE0" w:rsidP="0086642B">
      <w:pPr>
        <w:widowControl w:val="0"/>
        <w:tabs>
          <w:tab w:val="left" w:pos="720"/>
        </w:tabs>
        <w:spacing w:line="360" w:lineRule="auto"/>
        <w:contextualSpacing/>
        <w:jc w:val="both"/>
        <w:rPr>
          <w:i/>
          <w:iCs/>
          <w:szCs w:val="28"/>
          <w:lang w:eastAsia="zh-HK"/>
        </w:rPr>
      </w:pPr>
      <w:r w:rsidRPr="00F66454">
        <w:rPr>
          <w:i/>
          <w:iCs/>
          <w:szCs w:val="28"/>
          <w:lang w:eastAsia="zh-HK"/>
        </w:rPr>
        <w:t>Sick leave period</w:t>
      </w:r>
    </w:p>
    <w:p w:rsidR="00067DE0" w:rsidRPr="00067DE0" w:rsidRDefault="00067DE0" w:rsidP="0086642B">
      <w:pPr>
        <w:pStyle w:val="ListParagraph"/>
        <w:spacing w:line="360" w:lineRule="auto"/>
        <w:ind w:left="0"/>
        <w:rPr>
          <w:szCs w:val="28"/>
          <w:lang w:eastAsia="zh-HK"/>
        </w:rPr>
      </w:pPr>
    </w:p>
    <w:p w:rsidR="004023B6" w:rsidRDefault="004023B6" w:rsidP="0086642B">
      <w:pPr>
        <w:pStyle w:val="ListParagraph"/>
        <w:numPr>
          <w:ilvl w:val="0"/>
          <w:numId w:val="17"/>
        </w:numPr>
        <w:spacing w:line="360" w:lineRule="auto"/>
        <w:ind w:left="0" w:firstLine="0"/>
        <w:jc w:val="both"/>
        <w:rPr>
          <w:szCs w:val="28"/>
          <w:lang w:eastAsia="zh-HK"/>
        </w:rPr>
      </w:pPr>
      <w:r>
        <w:rPr>
          <w:rFonts w:eastAsia="PMingLiU"/>
          <w:szCs w:val="28"/>
          <w:lang w:eastAsia="zh-TW"/>
        </w:rPr>
        <w:t>It is not disputed that t</w:t>
      </w:r>
      <w:r w:rsidR="00C27903">
        <w:rPr>
          <w:rFonts w:eastAsia="PMingLiU" w:hint="eastAsia"/>
          <w:szCs w:val="28"/>
          <w:lang w:eastAsia="zh-TW"/>
        </w:rPr>
        <w:t>he plaintiff</w:t>
      </w:r>
      <w:r w:rsidR="00067DE0" w:rsidRPr="00067DE0">
        <w:rPr>
          <w:szCs w:val="28"/>
          <w:lang w:eastAsia="zh-HK"/>
        </w:rPr>
        <w:t xml:space="preserve"> w</w:t>
      </w:r>
      <w:r w:rsidR="00C27903">
        <w:rPr>
          <w:szCs w:val="28"/>
          <w:lang w:eastAsia="zh-HK"/>
        </w:rPr>
        <w:t xml:space="preserve">as granted sick leave </w:t>
      </w:r>
      <w:r>
        <w:rPr>
          <w:szCs w:val="28"/>
          <w:lang w:eastAsia="zh-HK"/>
        </w:rPr>
        <w:t xml:space="preserve">by the doctors at TKOH and various out-patient clinics </w:t>
      </w:r>
      <w:r w:rsidR="00C27903">
        <w:rPr>
          <w:szCs w:val="28"/>
          <w:lang w:eastAsia="zh-HK"/>
        </w:rPr>
        <w:t>from 31</w:t>
      </w:r>
      <w:r w:rsidR="00C27903">
        <w:rPr>
          <w:rFonts w:eastAsia="PMingLiU" w:hint="eastAsia"/>
          <w:szCs w:val="28"/>
          <w:lang w:eastAsia="zh-TW"/>
        </w:rPr>
        <w:t xml:space="preserve"> January </w:t>
      </w:r>
      <w:r w:rsidR="00067DE0" w:rsidRPr="00067DE0">
        <w:rPr>
          <w:szCs w:val="28"/>
          <w:lang w:eastAsia="zh-HK"/>
        </w:rPr>
        <w:t>2016 to</w:t>
      </w:r>
      <w:r w:rsidR="00C27903">
        <w:rPr>
          <w:szCs w:val="28"/>
          <w:lang w:eastAsia="zh-HK"/>
        </w:rPr>
        <w:t xml:space="preserve"> 18</w:t>
      </w:r>
      <w:r w:rsidR="00C27903">
        <w:rPr>
          <w:rFonts w:eastAsia="PMingLiU" w:hint="eastAsia"/>
          <w:szCs w:val="28"/>
          <w:lang w:eastAsia="zh-TW"/>
        </w:rPr>
        <w:t xml:space="preserve"> February </w:t>
      </w:r>
      <w:r w:rsidR="00067DE0" w:rsidRPr="00067DE0">
        <w:rPr>
          <w:szCs w:val="28"/>
          <w:lang w:eastAsia="zh-HK"/>
        </w:rPr>
        <w:t>2019 (</w:t>
      </w:r>
      <w:r>
        <w:rPr>
          <w:szCs w:val="28"/>
          <w:lang w:eastAsia="zh-HK"/>
        </w:rPr>
        <w:t xml:space="preserve">a total of </w:t>
      </w:r>
      <w:r w:rsidR="00067DE0" w:rsidRPr="00067DE0">
        <w:rPr>
          <w:szCs w:val="28"/>
          <w:lang w:eastAsia="zh-HK"/>
        </w:rPr>
        <w:t xml:space="preserve">36.5 months).  </w:t>
      </w:r>
    </w:p>
    <w:p w:rsidR="004023B6" w:rsidRDefault="004023B6" w:rsidP="0086642B">
      <w:pPr>
        <w:pStyle w:val="ListParagraph"/>
        <w:spacing w:line="360" w:lineRule="auto"/>
        <w:ind w:left="0"/>
        <w:jc w:val="both"/>
        <w:rPr>
          <w:szCs w:val="28"/>
          <w:lang w:eastAsia="zh-HK"/>
        </w:rPr>
      </w:pPr>
    </w:p>
    <w:p w:rsidR="00067DE0" w:rsidRPr="00067DE0" w:rsidRDefault="004023B6" w:rsidP="0086642B">
      <w:pPr>
        <w:pStyle w:val="ListParagraph"/>
        <w:numPr>
          <w:ilvl w:val="0"/>
          <w:numId w:val="17"/>
        </w:numPr>
        <w:spacing w:line="360" w:lineRule="auto"/>
        <w:ind w:left="0" w:firstLine="0"/>
        <w:jc w:val="both"/>
        <w:rPr>
          <w:szCs w:val="28"/>
          <w:lang w:eastAsia="zh-HK"/>
        </w:rPr>
      </w:pPr>
      <w:r>
        <w:rPr>
          <w:color w:val="000000"/>
          <w:szCs w:val="28"/>
        </w:rPr>
        <w:t xml:space="preserve">When considering the significance and relevance of </w:t>
      </w:r>
      <w:r w:rsidR="00D100F5">
        <w:rPr>
          <w:color w:val="000000"/>
          <w:szCs w:val="28"/>
        </w:rPr>
        <w:t>sick leave periods granted by doctors at public hospitals or clinics, t</w:t>
      </w:r>
      <w:r w:rsidR="00067DE0" w:rsidRPr="00067DE0">
        <w:rPr>
          <w:color w:val="000000"/>
          <w:szCs w:val="28"/>
        </w:rPr>
        <w:t>he starting point is</w:t>
      </w:r>
      <w:r w:rsidR="00D100F5">
        <w:rPr>
          <w:color w:val="000000"/>
          <w:szCs w:val="28"/>
        </w:rPr>
        <w:t xml:space="preserve"> the case of</w:t>
      </w:r>
      <w:r w:rsidR="00067DE0" w:rsidRPr="00067DE0">
        <w:rPr>
          <w:color w:val="000000"/>
          <w:szCs w:val="28"/>
        </w:rPr>
        <w:t> </w:t>
      </w:r>
      <w:r w:rsidR="00067DE0" w:rsidRPr="00067DE0">
        <w:rPr>
          <w:i/>
          <w:iCs/>
          <w:color w:val="000000"/>
          <w:szCs w:val="28"/>
        </w:rPr>
        <w:t>Tam Fu Yip Fip v Sincere Engineering &amp; Trading Co Ltd</w:t>
      </w:r>
      <w:r w:rsidR="00067DE0" w:rsidRPr="00067DE0">
        <w:rPr>
          <w:color w:val="000000"/>
          <w:szCs w:val="28"/>
        </w:rPr>
        <w:t xml:space="preserve"> [2008] 5 HKLRD 210</w:t>
      </w:r>
      <w:r w:rsidR="00067DE0" w:rsidRPr="00067DE0">
        <w:rPr>
          <w:szCs w:val="28"/>
        </w:rPr>
        <w:t xml:space="preserve"> </w:t>
      </w:r>
      <w:r w:rsidR="00D100F5">
        <w:rPr>
          <w:szCs w:val="28"/>
        </w:rPr>
        <w:t xml:space="preserve">where </w:t>
      </w:r>
      <w:r w:rsidR="00067DE0" w:rsidRPr="00067DE0">
        <w:rPr>
          <w:color w:val="000000"/>
          <w:szCs w:val="28"/>
        </w:rPr>
        <w:t xml:space="preserve">Le Pichon JA </w:t>
      </w:r>
      <w:r w:rsidR="00D100F5">
        <w:rPr>
          <w:color w:val="000000"/>
          <w:szCs w:val="28"/>
        </w:rPr>
        <w:t xml:space="preserve">stated that </w:t>
      </w:r>
      <w:r w:rsidR="00067DE0" w:rsidRPr="00067DE0">
        <w:rPr>
          <w:color w:val="000000"/>
          <w:szCs w:val="28"/>
        </w:rPr>
        <w:t xml:space="preserve">medical certificates </w:t>
      </w:r>
      <w:r w:rsidR="00067DE0" w:rsidRPr="0071525E">
        <w:rPr>
          <w:color w:val="000000"/>
          <w:szCs w:val="28"/>
        </w:rPr>
        <w:t xml:space="preserve">were no more than a piece of evidence to be evaluated in the light of all available evidence including medical evidence, and the judge could not be bound by the mere issue of medical certificates since the issuance of such certificates would be primarily because of subjective symptoms reported to the doctors by the plaintiff.  </w:t>
      </w:r>
      <w:r w:rsidR="001C166C">
        <w:rPr>
          <w:color w:val="000000"/>
          <w:szCs w:val="28"/>
        </w:rPr>
        <w:t>Hence</w:t>
      </w:r>
      <w:r w:rsidR="00067DE0" w:rsidRPr="0071525E">
        <w:rPr>
          <w:color w:val="000000"/>
          <w:szCs w:val="28"/>
        </w:rPr>
        <w:t xml:space="preserve">, the end of sick leave as a result of </w:t>
      </w:r>
      <w:r w:rsidR="00067DE0" w:rsidRPr="0071525E">
        <w:rPr>
          <w:color w:val="000000"/>
          <w:szCs w:val="28"/>
        </w:rPr>
        <w:lastRenderedPageBreak/>
        <w:t>static of maximum medical improvement state on the basis that no further active or therapeutic treatment will be of assistance does not necessarily mean the patient has made full recovery or he can immediately return to pr</w:t>
      </w:r>
      <w:r w:rsidR="00EC7ECC">
        <w:rPr>
          <w:color w:val="000000"/>
          <w:szCs w:val="28"/>
        </w:rPr>
        <w:t>e-a</w:t>
      </w:r>
      <w:r w:rsidR="00067DE0" w:rsidRPr="0071525E">
        <w:rPr>
          <w:color w:val="000000"/>
          <w:szCs w:val="28"/>
        </w:rPr>
        <w:t xml:space="preserve">ccident work or other gainful employment.  </w:t>
      </w:r>
      <w:r w:rsidR="00C27903" w:rsidRPr="0071525E">
        <w:rPr>
          <w:color w:val="000000"/>
          <w:szCs w:val="28"/>
        </w:rPr>
        <w:t>After all</w:t>
      </w:r>
      <w:r w:rsidR="00067DE0" w:rsidRPr="0071525E">
        <w:rPr>
          <w:color w:val="000000"/>
          <w:szCs w:val="28"/>
        </w:rPr>
        <w:t>, it is a matter of assessment and degree.</w:t>
      </w:r>
    </w:p>
    <w:p w:rsidR="00067DE0" w:rsidRPr="00067DE0" w:rsidRDefault="00067DE0" w:rsidP="0086642B">
      <w:pPr>
        <w:pStyle w:val="ListParagraph"/>
        <w:spacing w:line="360" w:lineRule="auto"/>
        <w:ind w:left="0"/>
        <w:rPr>
          <w:szCs w:val="28"/>
          <w:lang w:eastAsia="zh-HK"/>
        </w:rPr>
      </w:pPr>
    </w:p>
    <w:p w:rsidR="00067DE0" w:rsidRPr="00067DE0" w:rsidRDefault="00D32F49" w:rsidP="0086642B">
      <w:pPr>
        <w:pStyle w:val="ListParagraph"/>
        <w:numPr>
          <w:ilvl w:val="0"/>
          <w:numId w:val="17"/>
        </w:numPr>
        <w:spacing w:line="360" w:lineRule="auto"/>
        <w:ind w:left="0" w:firstLine="0"/>
        <w:jc w:val="both"/>
        <w:rPr>
          <w:szCs w:val="28"/>
          <w:lang w:eastAsia="zh-HK"/>
        </w:rPr>
      </w:pPr>
      <w:r>
        <w:rPr>
          <w:szCs w:val="28"/>
          <w:lang w:eastAsia="zh-HK"/>
        </w:rPr>
        <w:t xml:space="preserve">The </w:t>
      </w:r>
      <w:r w:rsidR="00067DE0" w:rsidRPr="00067DE0">
        <w:rPr>
          <w:szCs w:val="28"/>
          <w:lang w:eastAsia="zh-HK"/>
        </w:rPr>
        <w:t xml:space="preserve">experts </w:t>
      </w:r>
      <w:r>
        <w:rPr>
          <w:szCs w:val="28"/>
          <w:lang w:eastAsia="zh-HK"/>
        </w:rPr>
        <w:t xml:space="preserve">in </w:t>
      </w:r>
      <w:r w:rsidR="005672B0">
        <w:rPr>
          <w:szCs w:val="28"/>
          <w:lang w:eastAsia="zh-HK"/>
        </w:rPr>
        <w:t>the</w:t>
      </w:r>
      <w:r>
        <w:rPr>
          <w:szCs w:val="28"/>
          <w:lang w:eastAsia="zh-HK"/>
        </w:rPr>
        <w:t xml:space="preserve"> present case </w:t>
      </w:r>
      <w:r w:rsidR="00067DE0" w:rsidRPr="00067DE0">
        <w:rPr>
          <w:szCs w:val="28"/>
          <w:lang w:eastAsia="zh-HK"/>
        </w:rPr>
        <w:t xml:space="preserve">agree with the </w:t>
      </w:r>
      <w:r w:rsidR="00C27903">
        <w:rPr>
          <w:szCs w:val="28"/>
          <w:lang w:eastAsia="zh-HK"/>
        </w:rPr>
        <w:t xml:space="preserve">sick leave </w:t>
      </w:r>
      <w:r w:rsidR="005672B0">
        <w:rPr>
          <w:szCs w:val="28"/>
          <w:lang w:eastAsia="zh-HK"/>
        </w:rPr>
        <w:t xml:space="preserve">granted </w:t>
      </w:r>
      <w:r w:rsidR="00C27903">
        <w:rPr>
          <w:szCs w:val="28"/>
          <w:lang w:eastAsia="zh-HK"/>
        </w:rPr>
        <w:t>up to 25</w:t>
      </w:r>
      <w:r w:rsidR="00C27903">
        <w:rPr>
          <w:rFonts w:eastAsia="PMingLiU" w:hint="eastAsia"/>
          <w:szCs w:val="28"/>
          <w:lang w:eastAsia="zh-TW"/>
        </w:rPr>
        <w:t xml:space="preserve"> October </w:t>
      </w:r>
      <w:r w:rsidR="00067DE0" w:rsidRPr="00067DE0">
        <w:rPr>
          <w:szCs w:val="28"/>
          <w:lang w:eastAsia="zh-HK"/>
        </w:rPr>
        <w:t xml:space="preserve">2017 as endorsed by </w:t>
      </w:r>
      <w:r w:rsidR="00C27903">
        <w:t>Employees’ Compensation (Ordinary Assessment) Board</w:t>
      </w:r>
      <w:r w:rsidR="00C27903">
        <w:rPr>
          <w:rFonts w:eastAsia="PMingLiU" w:hint="eastAsia"/>
          <w:szCs w:val="28"/>
          <w:lang w:eastAsia="zh-TW"/>
        </w:rPr>
        <w:t xml:space="preserve"> (</w:t>
      </w:r>
      <w:r w:rsidR="00C27903">
        <w:rPr>
          <w:rFonts w:eastAsia="PMingLiU"/>
          <w:szCs w:val="28"/>
          <w:lang w:eastAsia="zh-TW"/>
        </w:rPr>
        <w:t>“</w:t>
      </w:r>
      <w:r w:rsidR="00067DE0" w:rsidRPr="00067DE0">
        <w:rPr>
          <w:szCs w:val="28"/>
          <w:lang w:eastAsia="zh-HK"/>
        </w:rPr>
        <w:t>MAB</w:t>
      </w:r>
      <w:r w:rsidR="00C27903">
        <w:rPr>
          <w:rFonts w:eastAsia="PMingLiU"/>
          <w:szCs w:val="28"/>
          <w:lang w:eastAsia="zh-TW"/>
        </w:rPr>
        <w:t>”</w:t>
      </w:r>
      <w:r w:rsidR="00C27903">
        <w:rPr>
          <w:rFonts w:eastAsia="PMingLiU" w:hint="eastAsia"/>
          <w:szCs w:val="28"/>
          <w:lang w:eastAsia="zh-TW"/>
        </w:rPr>
        <w:t>)</w:t>
      </w:r>
      <w:r w:rsidR="001C166C">
        <w:rPr>
          <w:szCs w:val="28"/>
          <w:lang w:eastAsia="zh-HK"/>
        </w:rPr>
        <w:t xml:space="preserve"> in the Form 9 is reasonable.</w:t>
      </w:r>
      <w:r w:rsidR="00067DE0" w:rsidRPr="00067DE0">
        <w:rPr>
          <w:szCs w:val="28"/>
          <w:lang w:eastAsia="zh-HK"/>
        </w:rPr>
        <w:t xml:space="preserve">  They further recommend one more month of sick leave after</w:t>
      </w:r>
      <w:r w:rsidR="001C166C">
        <w:rPr>
          <w:szCs w:val="28"/>
          <w:lang w:eastAsia="zh-HK"/>
        </w:rPr>
        <w:t xml:space="preserve"> the</w:t>
      </w:r>
      <w:r w:rsidR="00067DE0" w:rsidRPr="00067DE0">
        <w:rPr>
          <w:szCs w:val="28"/>
          <w:lang w:eastAsia="zh-HK"/>
        </w:rPr>
        <w:t xml:space="preserve"> removal of </w:t>
      </w:r>
      <w:r w:rsidR="005672B0">
        <w:rPr>
          <w:szCs w:val="28"/>
          <w:lang w:eastAsia="zh-HK"/>
        </w:rPr>
        <w:t xml:space="preserve">the </w:t>
      </w:r>
      <w:r w:rsidR="00067DE0" w:rsidRPr="00067DE0">
        <w:rPr>
          <w:szCs w:val="28"/>
          <w:lang w:eastAsia="zh-HK"/>
        </w:rPr>
        <w:t>implant</w:t>
      </w:r>
      <w:r w:rsidR="005672B0">
        <w:rPr>
          <w:szCs w:val="28"/>
          <w:lang w:eastAsia="zh-HK"/>
        </w:rPr>
        <w:t>s</w:t>
      </w:r>
      <w:r w:rsidR="00067DE0" w:rsidRPr="00067DE0">
        <w:rPr>
          <w:szCs w:val="28"/>
          <w:lang w:eastAsia="zh-HK"/>
        </w:rPr>
        <w:t xml:space="preserve">.  </w:t>
      </w:r>
    </w:p>
    <w:p w:rsidR="00067DE0" w:rsidRPr="00067DE0" w:rsidRDefault="00067DE0" w:rsidP="0086642B">
      <w:pPr>
        <w:pStyle w:val="ListParagraph"/>
        <w:spacing w:line="360" w:lineRule="auto"/>
        <w:ind w:left="0"/>
        <w:rPr>
          <w:szCs w:val="28"/>
          <w:lang w:eastAsia="zh-HK"/>
        </w:rPr>
      </w:pPr>
    </w:p>
    <w:p w:rsidR="00067DE0" w:rsidRPr="00067DE0" w:rsidRDefault="005672B0" w:rsidP="0086642B">
      <w:pPr>
        <w:pStyle w:val="ListParagraph"/>
        <w:numPr>
          <w:ilvl w:val="0"/>
          <w:numId w:val="17"/>
        </w:numPr>
        <w:spacing w:line="360" w:lineRule="auto"/>
        <w:ind w:left="0" w:firstLine="0"/>
        <w:jc w:val="both"/>
        <w:rPr>
          <w:szCs w:val="28"/>
          <w:lang w:eastAsia="zh-HK"/>
        </w:rPr>
      </w:pPr>
      <w:r>
        <w:rPr>
          <w:szCs w:val="28"/>
          <w:lang w:eastAsia="zh-HK"/>
        </w:rPr>
        <w:t xml:space="preserve">With respect to both </w:t>
      </w:r>
      <w:r w:rsidR="00067DE0" w:rsidRPr="00067DE0">
        <w:rPr>
          <w:szCs w:val="28"/>
          <w:lang w:eastAsia="zh-HK"/>
        </w:rPr>
        <w:t>experts</w:t>
      </w:r>
      <w:r>
        <w:rPr>
          <w:szCs w:val="28"/>
          <w:lang w:eastAsia="zh-HK"/>
        </w:rPr>
        <w:t xml:space="preserve">, </w:t>
      </w:r>
      <w:r w:rsidR="006A1FCC">
        <w:rPr>
          <w:szCs w:val="28"/>
          <w:lang w:eastAsia="zh-HK"/>
        </w:rPr>
        <w:t xml:space="preserve">they </w:t>
      </w:r>
      <w:r w:rsidR="00067DE0" w:rsidRPr="00067DE0">
        <w:rPr>
          <w:szCs w:val="28"/>
          <w:lang w:eastAsia="zh-HK"/>
        </w:rPr>
        <w:t xml:space="preserve">did not </w:t>
      </w:r>
      <w:r w:rsidR="006A1FCC">
        <w:rPr>
          <w:szCs w:val="28"/>
          <w:lang w:eastAsia="zh-HK"/>
        </w:rPr>
        <w:t xml:space="preserve">seem to have </w:t>
      </w:r>
      <w:r w:rsidR="00067DE0" w:rsidRPr="00067DE0">
        <w:rPr>
          <w:szCs w:val="28"/>
          <w:lang w:eastAsia="zh-HK"/>
        </w:rPr>
        <w:t>give</w:t>
      </w:r>
      <w:r w:rsidR="006A1FCC">
        <w:rPr>
          <w:szCs w:val="28"/>
          <w:lang w:eastAsia="zh-HK"/>
        </w:rPr>
        <w:t>n</w:t>
      </w:r>
      <w:r w:rsidR="001C166C">
        <w:rPr>
          <w:szCs w:val="28"/>
          <w:lang w:eastAsia="zh-HK"/>
        </w:rPr>
        <w:t xml:space="preserve"> any particular </w:t>
      </w:r>
      <w:r w:rsidR="00067DE0" w:rsidRPr="00067DE0">
        <w:rPr>
          <w:szCs w:val="28"/>
          <w:lang w:eastAsia="zh-HK"/>
        </w:rPr>
        <w:t>reasons to support their opinion</w:t>
      </w:r>
      <w:r w:rsidR="006A1FCC">
        <w:rPr>
          <w:szCs w:val="28"/>
          <w:lang w:eastAsia="zh-HK"/>
        </w:rPr>
        <w:t xml:space="preserve"> of why sick leave of 21 months was appropriate in this case</w:t>
      </w:r>
      <w:r w:rsidR="00067DE0" w:rsidRPr="00067DE0">
        <w:rPr>
          <w:szCs w:val="28"/>
          <w:lang w:eastAsia="zh-HK"/>
        </w:rPr>
        <w:t>.  It appears that the e</w:t>
      </w:r>
      <w:r w:rsidR="00C27903">
        <w:rPr>
          <w:szCs w:val="28"/>
          <w:lang w:eastAsia="zh-HK"/>
        </w:rPr>
        <w:t xml:space="preserve">xperts did not </w:t>
      </w:r>
      <w:r w:rsidR="001C166C">
        <w:rPr>
          <w:szCs w:val="28"/>
          <w:lang w:eastAsia="zh-HK"/>
        </w:rPr>
        <w:t>analyze</w:t>
      </w:r>
      <w:r w:rsidR="00C27903">
        <w:rPr>
          <w:szCs w:val="28"/>
          <w:lang w:eastAsia="zh-HK"/>
        </w:rPr>
        <w:t xml:space="preserve"> whether </w:t>
      </w:r>
      <w:r w:rsidR="00C27903">
        <w:rPr>
          <w:rFonts w:eastAsia="PMingLiU" w:hint="eastAsia"/>
          <w:szCs w:val="28"/>
          <w:lang w:eastAsia="zh-TW"/>
        </w:rPr>
        <w:t>the plaintiff</w:t>
      </w:r>
      <w:r w:rsidR="00067DE0" w:rsidRPr="00067DE0">
        <w:rPr>
          <w:szCs w:val="28"/>
          <w:lang w:eastAsia="zh-HK"/>
        </w:rPr>
        <w:t>’</w:t>
      </w:r>
      <w:r w:rsidR="00C27903">
        <w:rPr>
          <w:szCs w:val="28"/>
          <w:lang w:eastAsia="zh-HK"/>
        </w:rPr>
        <w:t>s condition was static on 25</w:t>
      </w:r>
      <w:r w:rsidR="00C27903">
        <w:rPr>
          <w:rFonts w:eastAsia="PMingLiU" w:hint="eastAsia"/>
          <w:szCs w:val="28"/>
          <w:lang w:eastAsia="zh-TW"/>
        </w:rPr>
        <w:t xml:space="preserve"> October </w:t>
      </w:r>
      <w:r w:rsidR="00067DE0" w:rsidRPr="00067DE0">
        <w:rPr>
          <w:szCs w:val="28"/>
          <w:lang w:eastAsia="zh-HK"/>
        </w:rPr>
        <w:t>2017</w:t>
      </w:r>
      <w:r w:rsidR="006A1FCC">
        <w:rPr>
          <w:szCs w:val="28"/>
          <w:lang w:eastAsia="zh-HK"/>
        </w:rPr>
        <w:t xml:space="preserve"> or not</w:t>
      </w:r>
      <w:r w:rsidR="00067DE0" w:rsidRPr="00067DE0">
        <w:rPr>
          <w:szCs w:val="28"/>
          <w:lang w:eastAsia="zh-HK"/>
        </w:rPr>
        <w:t xml:space="preserve">.  </w:t>
      </w:r>
      <w:r w:rsidR="006A1FCC">
        <w:rPr>
          <w:szCs w:val="28"/>
          <w:lang w:eastAsia="zh-HK"/>
        </w:rPr>
        <w:t xml:space="preserve">Their opinion on the sick leave seems to have based </w:t>
      </w:r>
      <w:r w:rsidR="001C166C">
        <w:rPr>
          <w:szCs w:val="28"/>
          <w:lang w:eastAsia="zh-HK"/>
        </w:rPr>
        <w:t xml:space="preserve">solely </w:t>
      </w:r>
      <w:r w:rsidR="006A1FCC">
        <w:rPr>
          <w:szCs w:val="28"/>
          <w:lang w:eastAsia="zh-HK"/>
        </w:rPr>
        <w:t>on t</w:t>
      </w:r>
      <w:r w:rsidR="00067DE0" w:rsidRPr="00067DE0">
        <w:rPr>
          <w:szCs w:val="28"/>
          <w:lang w:eastAsia="zh-HK"/>
        </w:rPr>
        <w:t xml:space="preserve">he opinion </w:t>
      </w:r>
      <w:r w:rsidR="006A1FCC">
        <w:rPr>
          <w:szCs w:val="28"/>
          <w:lang w:eastAsia="zh-HK"/>
        </w:rPr>
        <w:t xml:space="preserve">stated in </w:t>
      </w:r>
      <w:r w:rsidR="00067DE0" w:rsidRPr="00067DE0">
        <w:rPr>
          <w:szCs w:val="28"/>
          <w:lang w:eastAsia="zh-HK"/>
        </w:rPr>
        <w:t xml:space="preserve">the Form 9 </w:t>
      </w:r>
      <w:r w:rsidR="006A1FCC">
        <w:rPr>
          <w:szCs w:val="28"/>
          <w:lang w:eastAsia="zh-HK"/>
        </w:rPr>
        <w:t xml:space="preserve">which </w:t>
      </w:r>
      <w:r w:rsidR="00067DE0" w:rsidRPr="00067DE0">
        <w:rPr>
          <w:szCs w:val="28"/>
          <w:lang w:eastAsia="zh-HK"/>
        </w:rPr>
        <w:t>was da</w:t>
      </w:r>
      <w:r w:rsidR="00C27903">
        <w:rPr>
          <w:szCs w:val="28"/>
          <w:lang w:eastAsia="zh-HK"/>
        </w:rPr>
        <w:t>ted 8</w:t>
      </w:r>
      <w:r w:rsidR="00C27903">
        <w:rPr>
          <w:rFonts w:eastAsia="PMingLiU" w:hint="eastAsia"/>
          <w:szCs w:val="28"/>
          <w:lang w:eastAsia="zh-TW"/>
        </w:rPr>
        <w:t xml:space="preserve"> November </w:t>
      </w:r>
      <w:r w:rsidR="00067DE0" w:rsidRPr="00067DE0">
        <w:rPr>
          <w:szCs w:val="28"/>
          <w:lang w:eastAsia="zh-HK"/>
        </w:rPr>
        <w:t>2017</w:t>
      </w:r>
      <w:r w:rsidR="006A1FCC">
        <w:rPr>
          <w:szCs w:val="28"/>
          <w:lang w:eastAsia="zh-HK"/>
        </w:rPr>
        <w:t xml:space="preserve">.  </w:t>
      </w:r>
      <w:r w:rsidR="00A3494E">
        <w:rPr>
          <w:szCs w:val="28"/>
          <w:lang w:eastAsia="zh-HK"/>
        </w:rPr>
        <w:t>They have not taken into consideration of the f</w:t>
      </w:r>
      <w:r w:rsidR="00067DE0" w:rsidRPr="00067DE0">
        <w:rPr>
          <w:szCs w:val="28"/>
          <w:lang w:eastAsia="zh-HK"/>
        </w:rPr>
        <w:t xml:space="preserve">urther sick leave </w:t>
      </w:r>
      <w:r w:rsidR="00A3494E">
        <w:rPr>
          <w:szCs w:val="28"/>
          <w:lang w:eastAsia="zh-HK"/>
        </w:rPr>
        <w:t>obtained by the plaintiff after she attended the</w:t>
      </w:r>
      <w:r w:rsidR="00067DE0" w:rsidRPr="00067DE0">
        <w:rPr>
          <w:szCs w:val="28"/>
          <w:lang w:eastAsia="zh-HK"/>
        </w:rPr>
        <w:t xml:space="preserve"> MAB</w:t>
      </w:r>
      <w:r w:rsidR="00A3494E">
        <w:rPr>
          <w:szCs w:val="28"/>
          <w:lang w:eastAsia="zh-HK"/>
        </w:rPr>
        <w:t xml:space="preserve"> for assessment.</w:t>
      </w:r>
    </w:p>
    <w:p w:rsidR="00067DE0" w:rsidRPr="00067DE0" w:rsidRDefault="00067DE0" w:rsidP="0086642B">
      <w:pPr>
        <w:pStyle w:val="ListParagraph"/>
        <w:spacing w:line="360" w:lineRule="auto"/>
        <w:ind w:left="0"/>
        <w:rPr>
          <w:szCs w:val="28"/>
          <w:lang w:eastAsia="zh-HK"/>
        </w:rPr>
      </w:pPr>
    </w:p>
    <w:p w:rsidR="00067DE0" w:rsidRDefault="00A3494E" w:rsidP="0086642B">
      <w:pPr>
        <w:pStyle w:val="ListParagraph"/>
        <w:numPr>
          <w:ilvl w:val="0"/>
          <w:numId w:val="17"/>
        </w:numPr>
        <w:spacing w:line="360" w:lineRule="auto"/>
        <w:ind w:left="0" w:firstLine="0"/>
        <w:jc w:val="both"/>
        <w:rPr>
          <w:szCs w:val="28"/>
          <w:lang w:eastAsia="zh-HK"/>
        </w:rPr>
      </w:pPr>
      <w:r>
        <w:rPr>
          <w:rFonts w:eastAsia="PMingLiU"/>
          <w:szCs w:val="28"/>
          <w:lang w:eastAsia="zh-TW"/>
        </w:rPr>
        <w:t xml:space="preserve">Judging from the </w:t>
      </w:r>
      <w:r w:rsidR="001C166C">
        <w:rPr>
          <w:rFonts w:eastAsia="PMingLiU"/>
          <w:szCs w:val="28"/>
          <w:lang w:eastAsia="zh-TW"/>
        </w:rPr>
        <w:t xml:space="preserve">medical </w:t>
      </w:r>
      <w:r>
        <w:rPr>
          <w:rFonts w:eastAsia="PMingLiU"/>
          <w:szCs w:val="28"/>
          <w:lang w:eastAsia="zh-TW"/>
        </w:rPr>
        <w:t>evidence</w:t>
      </w:r>
      <w:r w:rsidR="001C166C">
        <w:rPr>
          <w:rFonts w:eastAsia="PMingLiU"/>
          <w:szCs w:val="28"/>
          <w:lang w:eastAsia="zh-TW"/>
        </w:rPr>
        <w:t xml:space="preserve"> which has become available after the MAB assessment</w:t>
      </w:r>
      <w:r>
        <w:rPr>
          <w:rFonts w:eastAsia="PMingLiU"/>
          <w:szCs w:val="28"/>
          <w:lang w:eastAsia="zh-TW"/>
        </w:rPr>
        <w:t>, I accept t</w:t>
      </w:r>
      <w:r w:rsidR="00B1286A">
        <w:rPr>
          <w:rFonts w:eastAsia="PMingLiU" w:hint="eastAsia"/>
          <w:szCs w:val="28"/>
          <w:lang w:eastAsia="zh-TW"/>
        </w:rPr>
        <w:t>he plaintiff</w:t>
      </w:r>
      <w:r w:rsidR="00B35E52">
        <w:rPr>
          <w:szCs w:val="28"/>
          <w:lang w:eastAsia="zh-HK"/>
        </w:rPr>
        <w:t>’s condition had indeed not yet</w:t>
      </w:r>
      <w:r w:rsidR="00A85ADE">
        <w:rPr>
          <w:szCs w:val="28"/>
          <w:lang w:eastAsia="zh-HK"/>
        </w:rPr>
        <w:t xml:space="preserve"> become </w:t>
      </w:r>
      <w:r w:rsidR="00067DE0" w:rsidRPr="00067DE0">
        <w:rPr>
          <w:szCs w:val="28"/>
          <w:lang w:eastAsia="zh-HK"/>
        </w:rPr>
        <w:t>static and ha</w:t>
      </w:r>
      <w:r>
        <w:rPr>
          <w:szCs w:val="28"/>
          <w:lang w:eastAsia="zh-HK"/>
        </w:rPr>
        <w:t>d</w:t>
      </w:r>
      <w:r w:rsidR="00067DE0" w:rsidRPr="00067DE0">
        <w:rPr>
          <w:szCs w:val="28"/>
          <w:lang w:eastAsia="zh-HK"/>
        </w:rPr>
        <w:t xml:space="preserve"> not reached </w:t>
      </w:r>
      <w:r w:rsidR="00A85ADE">
        <w:rPr>
          <w:szCs w:val="28"/>
          <w:lang w:eastAsia="zh-HK"/>
        </w:rPr>
        <w:t xml:space="preserve">the </w:t>
      </w:r>
      <w:r w:rsidR="00067DE0" w:rsidRPr="00067DE0">
        <w:rPr>
          <w:szCs w:val="28"/>
          <w:lang w:eastAsia="zh-HK"/>
        </w:rPr>
        <w:t>maximum medical improvement state</w:t>
      </w:r>
      <w:r w:rsidR="00B1286A">
        <w:rPr>
          <w:szCs w:val="28"/>
          <w:lang w:eastAsia="zh-HK"/>
        </w:rPr>
        <w:t xml:space="preserve"> by 25</w:t>
      </w:r>
      <w:r w:rsidR="00B1286A">
        <w:rPr>
          <w:rFonts w:eastAsia="PMingLiU" w:hint="eastAsia"/>
          <w:szCs w:val="28"/>
          <w:lang w:eastAsia="zh-TW"/>
        </w:rPr>
        <w:t xml:space="preserve"> October </w:t>
      </w:r>
      <w:r w:rsidR="00067DE0" w:rsidRPr="00067DE0">
        <w:rPr>
          <w:szCs w:val="28"/>
          <w:lang w:eastAsia="zh-HK"/>
        </w:rPr>
        <w:t>2017.  At that time, she was still receiving physiotherapy treatments, which</w:t>
      </w:r>
      <w:r>
        <w:rPr>
          <w:szCs w:val="28"/>
          <w:lang w:eastAsia="zh-HK"/>
        </w:rPr>
        <w:t>,</w:t>
      </w:r>
      <w:r w:rsidR="00067DE0" w:rsidRPr="00067DE0">
        <w:rPr>
          <w:szCs w:val="28"/>
          <w:lang w:eastAsia="zh-HK"/>
        </w:rPr>
        <w:t xml:space="preserve"> </w:t>
      </w:r>
      <w:r>
        <w:rPr>
          <w:szCs w:val="28"/>
          <w:lang w:eastAsia="zh-HK"/>
        </w:rPr>
        <w:t xml:space="preserve">as the physiotherapist’s report </w:t>
      </w:r>
      <w:r w:rsidR="002D1D90">
        <w:rPr>
          <w:szCs w:val="28"/>
          <w:lang w:eastAsia="zh-HK"/>
        </w:rPr>
        <w:t>suggests</w:t>
      </w:r>
      <w:r>
        <w:rPr>
          <w:szCs w:val="28"/>
          <w:lang w:eastAsia="zh-HK"/>
        </w:rPr>
        <w:t xml:space="preserve">, </w:t>
      </w:r>
      <w:r w:rsidR="00AF546B">
        <w:rPr>
          <w:szCs w:val="28"/>
          <w:lang w:eastAsia="zh-HK"/>
        </w:rPr>
        <w:t>had</w:t>
      </w:r>
      <w:r w:rsidR="00067DE0" w:rsidRPr="00067DE0">
        <w:rPr>
          <w:szCs w:val="28"/>
          <w:lang w:eastAsia="zh-HK"/>
        </w:rPr>
        <w:t xml:space="preserve"> l</w:t>
      </w:r>
      <w:r>
        <w:rPr>
          <w:szCs w:val="28"/>
          <w:lang w:eastAsia="zh-HK"/>
        </w:rPr>
        <w:t>e</w:t>
      </w:r>
      <w:r w:rsidR="00067DE0" w:rsidRPr="00067DE0">
        <w:rPr>
          <w:szCs w:val="28"/>
          <w:lang w:eastAsia="zh-HK"/>
        </w:rPr>
        <w:t xml:space="preserve">d to </w:t>
      </w:r>
      <w:r>
        <w:rPr>
          <w:szCs w:val="28"/>
          <w:lang w:eastAsia="zh-HK"/>
        </w:rPr>
        <w:t xml:space="preserve">further </w:t>
      </w:r>
      <w:r w:rsidR="00067DE0" w:rsidRPr="00067DE0">
        <w:rPr>
          <w:szCs w:val="28"/>
          <w:lang w:eastAsia="zh-HK"/>
        </w:rPr>
        <w:t>improvement</w:t>
      </w:r>
      <w:r>
        <w:rPr>
          <w:szCs w:val="28"/>
          <w:lang w:eastAsia="zh-HK"/>
        </w:rPr>
        <w:t>s</w:t>
      </w:r>
      <w:r w:rsidR="00067DE0" w:rsidRPr="00067DE0">
        <w:rPr>
          <w:szCs w:val="28"/>
          <w:lang w:eastAsia="zh-HK"/>
        </w:rPr>
        <w:t xml:space="preserve"> to her condition</w:t>
      </w:r>
      <w:r w:rsidR="002D1D90">
        <w:rPr>
          <w:szCs w:val="28"/>
          <w:lang w:eastAsia="zh-HK"/>
        </w:rPr>
        <w:t xml:space="preserve"> when comparing her August 2017 condition to that of her January 2018 </w:t>
      </w:r>
      <w:r w:rsidR="002D1D90">
        <w:rPr>
          <w:szCs w:val="28"/>
          <w:lang w:eastAsia="zh-HK"/>
        </w:rPr>
        <w:lastRenderedPageBreak/>
        <w:t>condition</w:t>
      </w:r>
      <w:r>
        <w:rPr>
          <w:szCs w:val="28"/>
          <w:lang w:eastAsia="zh-HK"/>
        </w:rPr>
        <w:t>.</w:t>
      </w:r>
      <w:r>
        <w:rPr>
          <w:rStyle w:val="FootnoteReference"/>
          <w:szCs w:val="28"/>
          <w:lang w:eastAsia="zh-HK"/>
        </w:rPr>
        <w:footnoteReference w:id="1"/>
      </w:r>
      <w:r w:rsidR="001C166C">
        <w:rPr>
          <w:szCs w:val="28"/>
          <w:lang w:eastAsia="zh-HK"/>
        </w:rPr>
        <w:t xml:space="preserve">  </w:t>
      </w:r>
      <w:r w:rsidR="00067DE0" w:rsidRPr="00067DE0">
        <w:rPr>
          <w:szCs w:val="28"/>
          <w:lang w:eastAsia="zh-HK"/>
        </w:rPr>
        <w:t>The last session of phys</w:t>
      </w:r>
      <w:r w:rsidR="00B1286A">
        <w:rPr>
          <w:szCs w:val="28"/>
          <w:lang w:eastAsia="zh-HK"/>
        </w:rPr>
        <w:t>iotherapy treatment was on 28</w:t>
      </w:r>
      <w:r w:rsidR="00B1286A">
        <w:rPr>
          <w:rFonts w:eastAsia="PMingLiU" w:hint="eastAsia"/>
          <w:szCs w:val="28"/>
          <w:lang w:eastAsia="zh-TW"/>
        </w:rPr>
        <w:t xml:space="preserve"> February </w:t>
      </w:r>
      <w:r w:rsidR="00067DE0" w:rsidRPr="00067DE0">
        <w:rPr>
          <w:szCs w:val="28"/>
          <w:lang w:eastAsia="zh-HK"/>
        </w:rPr>
        <w:t xml:space="preserve">2018, when she reported overall subjective improvement was 60-70% and she </w:t>
      </w:r>
      <w:r w:rsidR="00AF546B">
        <w:rPr>
          <w:szCs w:val="28"/>
          <w:lang w:eastAsia="zh-HK"/>
        </w:rPr>
        <w:t xml:space="preserve">subjectively </w:t>
      </w:r>
      <w:r w:rsidR="00067DE0" w:rsidRPr="00067DE0">
        <w:rPr>
          <w:szCs w:val="28"/>
          <w:lang w:eastAsia="zh-HK"/>
        </w:rPr>
        <w:t>felt condition static.  She was discha</w:t>
      </w:r>
      <w:r w:rsidR="00B1286A">
        <w:rPr>
          <w:szCs w:val="28"/>
          <w:lang w:eastAsia="zh-HK"/>
        </w:rPr>
        <w:t xml:space="preserve">rged from physiotherapy on </w:t>
      </w:r>
      <w:r w:rsidR="00AF546B">
        <w:rPr>
          <w:szCs w:val="28"/>
          <w:lang w:eastAsia="zh-HK"/>
        </w:rPr>
        <w:t>that day</w:t>
      </w:r>
      <w:r w:rsidR="002D1D90">
        <w:rPr>
          <w:szCs w:val="28"/>
          <w:lang w:eastAsia="zh-HK"/>
        </w:rPr>
        <w:t>.</w:t>
      </w:r>
      <w:r w:rsidR="00B1286A">
        <w:rPr>
          <w:szCs w:val="28"/>
          <w:lang w:eastAsia="zh-HK"/>
        </w:rPr>
        <w:t xml:space="preserve"> </w:t>
      </w:r>
      <w:r w:rsidR="00AF546B">
        <w:rPr>
          <w:szCs w:val="28"/>
          <w:lang w:eastAsia="zh-HK"/>
        </w:rPr>
        <w:t xml:space="preserve"> </w:t>
      </w:r>
      <w:r w:rsidR="002D1D90">
        <w:rPr>
          <w:szCs w:val="28"/>
          <w:lang w:eastAsia="zh-HK"/>
        </w:rPr>
        <w:t>Obviously, t</w:t>
      </w:r>
      <w:r w:rsidR="00B1286A">
        <w:rPr>
          <w:szCs w:val="28"/>
          <w:lang w:eastAsia="zh-HK"/>
        </w:rPr>
        <w:t xml:space="preserve">he </w:t>
      </w:r>
      <w:r w:rsidR="002D1D90">
        <w:rPr>
          <w:szCs w:val="28"/>
          <w:lang w:eastAsia="zh-HK"/>
        </w:rPr>
        <w:t xml:space="preserve">plaintiff </w:t>
      </w:r>
      <w:r w:rsidR="00AF546B">
        <w:rPr>
          <w:szCs w:val="28"/>
          <w:lang w:eastAsia="zh-HK"/>
        </w:rPr>
        <w:t xml:space="preserve">must have </w:t>
      </w:r>
      <w:r w:rsidR="002D1D90">
        <w:rPr>
          <w:szCs w:val="28"/>
          <w:lang w:eastAsia="zh-HK"/>
        </w:rPr>
        <w:t xml:space="preserve">found the </w:t>
      </w:r>
      <w:r w:rsidR="00B1286A">
        <w:rPr>
          <w:szCs w:val="28"/>
          <w:lang w:eastAsia="zh-HK"/>
        </w:rPr>
        <w:t xml:space="preserve">physiotherapy </w:t>
      </w:r>
      <w:r w:rsidR="002D1D90">
        <w:rPr>
          <w:szCs w:val="28"/>
          <w:lang w:eastAsia="zh-HK"/>
        </w:rPr>
        <w:t>treatm</w:t>
      </w:r>
      <w:r w:rsidR="0080356B">
        <w:rPr>
          <w:szCs w:val="28"/>
          <w:lang w:eastAsia="zh-HK"/>
        </w:rPr>
        <w:t>ents helpful, o</w:t>
      </w:r>
      <w:r w:rsidR="00AF546B">
        <w:rPr>
          <w:szCs w:val="28"/>
          <w:lang w:eastAsia="zh-HK"/>
        </w:rPr>
        <w:t xml:space="preserve">therwise I do not think she would have agreed to undergo </w:t>
      </w:r>
      <w:r w:rsidR="00B35E52">
        <w:rPr>
          <w:szCs w:val="28"/>
          <w:lang w:eastAsia="zh-HK"/>
        </w:rPr>
        <w:t>the 2 lengthy</w:t>
      </w:r>
      <w:r w:rsidR="00AF546B">
        <w:rPr>
          <w:szCs w:val="28"/>
          <w:lang w:eastAsia="zh-HK"/>
        </w:rPr>
        <w:t xml:space="preserve"> treatment sessions.</w:t>
      </w:r>
      <w:r w:rsidR="002D1D90">
        <w:rPr>
          <w:szCs w:val="28"/>
          <w:lang w:eastAsia="zh-HK"/>
        </w:rPr>
        <w:t xml:space="preserve">  </w:t>
      </w:r>
    </w:p>
    <w:p w:rsidR="002D1D90" w:rsidRPr="002D1D90" w:rsidRDefault="002D1D90" w:rsidP="0086642B">
      <w:pPr>
        <w:pStyle w:val="ListParagraph"/>
        <w:spacing w:line="360" w:lineRule="auto"/>
        <w:rPr>
          <w:szCs w:val="28"/>
          <w:lang w:eastAsia="zh-HK"/>
        </w:rPr>
      </w:pPr>
    </w:p>
    <w:p w:rsidR="00064EAB" w:rsidRDefault="009F77AA" w:rsidP="0086642B">
      <w:pPr>
        <w:pStyle w:val="ListParagraph"/>
        <w:numPr>
          <w:ilvl w:val="0"/>
          <w:numId w:val="17"/>
        </w:numPr>
        <w:spacing w:line="360" w:lineRule="auto"/>
        <w:ind w:left="0" w:firstLine="0"/>
        <w:jc w:val="both"/>
        <w:rPr>
          <w:szCs w:val="28"/>
          <w:lang w:eastAsia="zh-HK"/>
        </w:rPr>
      </w:pPr>
      <w:r>
        <w:rPr>
          <w:szCs w:val="28"/>
          <w:lang w:eastAsia="zh-HK"/>
        </w:rPr>
        <w:t>I do not accept the defendant’s contention that the plaintiff had deliberately “</w:t>
      </w:r>
      <w:r w:rsidR="0046194D">
        <w:rPr>
          <w:szCs w:val="28"/>
          <w:lang w:eastAsia="zh-HK"/>
        </w:rPr>
        <w:t>gambled</w:t>
      </w:r>
      <w:r>
        <w:rPr>
          <w:szCs w:val="28"/>
          <w:lang w:eastAsia="zh-HK"/>
        </w:rPr>
        <w:t>” for longer sick leave when she went back to consult the doctors at the Mona Fong Clinic.  Nor do I accept the</w:t>
      </w:r>
      <w:r w:rsidR="00AF546B">
        <w:rPr>
          <w:szCs w:val="28"/>
          <w:lang w:eastAsia="zh-HK"/>
        </w:rPr>
        <w:t xml:space="preserve"> proposition that she had deliberately refused to undergo any “vocational resettlement program” offered by the occupational therapist because she wanted to have longer sick leave.  I do not find the plaintiff as such kind of person.  I believe her when she said the reason of her in declining the resettlement programme was </w:t>
      </w:r>
      <w:r w:rsidR="00064EAB">
        <w:rPr>
          <w:szCs w:val="28"/>
          <w:lang w:eastAsia="zh-HK"/>
        </w:rPr>
        <w:t>because at that time she could not walk for more than 2</w:t>
      </w:r>
      <w:r w:rsidR="00451670">
        <w:rPr>
          <w:szCs w:val="28"/>
          <w:lang w:eastAsia="zh-HK"/>
        </w:rPr>
        <w:t>-3</w:t>
      </w:r>
      <w:r w:rsidR="00064EAB">
        <w:rPr>
          <w:szCs w:val="28"/>
          <w:lang w:eastAsia="zh-HK"/>
        </w:rPr>
        <w:t xml:space="preserve"> hours and any resettlement programme may further aggravate her condition.</w:t>
      </w:r>
    </w:p>
    <w:p w:rsidR="00451670" w:rsidRPr="00451670" w:rsidRDefault="00451670" w:rsidP="0086642B">
      <w:pPr>
        <w:pStyle w:val="ListParagraph"/>
        <w:spacing w:line="360" w:lineRule="auto"/>
        <w:rPr>
          <w:szCs w:val="28"/>
          <w:lang w:eastAsia="zh-HK"/>
        </w:rPr>
      </w:pPr>
    </w:p>
    <w:p w:rsidR="00451670" w:rsidRDefault="00451670" w:rsidP="0086642B">
      <w:pPr>
        <w:pStyle w:val="ListParagraph"/>
        <w:numPr>
          <w:ilvl w:val="0"/>
          <w:numId w:val="17"/>
        </w:numPr>
        <w:spacing w:line="360" w:lineRule="auto"/>
        <w:ind w:left="0" w:firstLine="0"/>
        <w:jc w:val="both"/>
        <w:rPr>
          <w:szCs w:val="28"/>
          <w:lang w:eastAsia="zh-HK"/>
        </w:rPr>
      </w:pPr>
      <w:r>
        <w:rPr>
          <w:szCs w:val="28"/>
          <w:lang w:eastAsia="zh-HK"/>
        </w:rPr>
        <w:t xml:space="preserve">The defendant submits that the plaintiff has adopted a “sick role” after the reasonable sick leave period had expired.  It submits that she was “unmotivated to get back to work”.  I do not find that was the case at all.        </w:t>
      </w:r>
    </w:p>
    <w:p w:rsidR="00064EAB" w:rsidRPr="00064EAB" w:rsidRDefault="00064EAB" w:rsidP="0086642B">
      <w:pPr>
        <w:pStyle w:val="ListParagraph"/>
        <w:spacing w:line="360" w:lineRule="auto"/>
        <w:rPr>
          <w:szCs w:val="28"/>
          <w:lang w:eastAsia="zh-HK"/>
        </w:rPr>
      </w:pPr>
    </w:p>
    <w:p w:rsidR="00067DE0" w:rsidRDefault="005E4814" w:rsidP="0086642B">
      <w:pPr>
        <w:pStyle w:val="ListParagraph"/>
        <w:numPr>
          <w:ilvl w:val="0"/>
          <w:numId w:val="17"/>
        </w:numPr>
        <w:spacing w:line="360" w:lineRule="auto"/>
        <w:ind w:left="0" w:firstLine="0"/>
        <w:jc w:val="both"/>
        <w:rPr>
          <w:szCs w:val="28"/>
          <w:lang w:eastAsia="zh-HK"/>
        </w:rPr>
      </w:pPr>
      <w:r>
        <w:rPr>
          <w:szCs w:val="28"/>
          <w:lang w:eastAsia="zh-HK"/>
        </w:rPr>
        <w:t>Taking all the circumstances into account, I would</w:t>
      </w:r>
      <w:r w:rsidR="00064EAB">
        <w:rPr>
          <w:szCs w:val="28"/>
          <w:lang w:eastAsia="zh-HK"/>
        </w:rPr>
        <w:t xml:space="preserve"> </w:t>
      </w:r>
      <w:r w:rsidR="00067DE0" w:rsidRPr="005E4814">
        <w:rPr>
          <w:szCs w:val="28"/>
          <w:lang w:eastAsia="zh-HK"/>
        </w:rPr>
        <w:t xml:space="preserve">allow sick leave up to end of </w:t>
      </w:r>
      <w:r w:rsidR="00620DF1">
        <w:rPr>
          <w:szCs w:val="28"/>
          <w:lang w:eastAsia="zh-HK"/>
        </w:rPr>
        <w:t>the plaintiff’s</w:t>
      </w:r>
      <w:r>
        <w:rPr>
          <w:szCs w:val="28"/>
          <w:lang w:eastAsia="zh-HK"/>
        </w:rPr>
        <w:t xml:space="preserve"> last </w:t>
      </w:r>
      <w:r w:rsidR="00067DE0" w:rsidRPr="005E4814">
        <w:rPr>
          <w:szCs w:val="28"/>
          <w:lang w:eastAsia="zh-HK"/>
        </w:rPr>
        <w:t>course o</w:t>
      </w:r>
      <w:r w:rsidR="00B1286A" w:rsidRPr="005E4814">
        <w:rPr>
          <w:szCs w:val="28"/>
          <w:lang w:eastAsia="zh-HK"/>
        </w:rPr>
        <w:t>f physiotherapy treatment on 28</w:t>
      </w:r>
      <w:r w:rsidR="00B1286A" w:rsidRPr="005E4814">
        <w:rPr>
          <w:rFonts w:eastAsia="PMingLiU" w:hint="eastAsia"/>
          <w:szCs w:val="28"/>
          <w:lang w:eastAsia="zh-TW"/>
        </w:rPr>
        <w:t xml:space="preserve"> February </w:t>
      </w:r>
      <w:r w:rsidR="00067DE0" w:rsidRPr="005E4814">
        <w:rPr>
          <w:szCs w:val="28"/>
          <w:lang w:eastAsia="zh-HK"/>
        </w:rPr>
        <w:t>2018</w:t>
      </w:r>
      <w:r>
        <w:rPr>
          <w:szCs w:val="28"/>
          <w:lang w:eastAsia="zh-HK"/>
        </w:rPr>
        <w:t xml:space="preserve"> in this case</w:t>
      </w:r>
      <w:r w:rsidR="00067DE0" w:rsidRPr="005E4814">
        <w:rPr>
          <w:szCs w:val="28"/>
          <w:lang w:eastAsia="zh-HK"/>
        </w:rPr>
        <w:t>.</w:t>
      </w:r>
    </w:p>
    <w:p w:rsidR="00451670" w:rsidRPr="00451670" w:rsidRDefault="00451670" w:rsidP="0086642B">
      <w:pPr>
        <w:pStyle w:val="ListParagraph"/>
        <w:spacing w:line="360" w:lineRule="auto"/>
        <w:rPr>
          <w:szCs w:val="28"/>
          <w:lang w:eastAsia="zh-HK"/>
        </w:rPr>
      </w:pPr>
    </w:p>
    <w:p w:rsidR="00067DE0" w:rsidRPr="00620DF1" w:rsidRDefault="00620DF1" w:rsidP="0086642B">
      <w:pPr>
        <w:pStyle w:val="ListParagraph"/>
        <w:spacing w:line="360" w:lineRule="auto"/>
        <w:ind w:left="0"/>
        <w:rPr>
          <w:i/>
          <w:szCs w:val="28"/>
          <w:lang w:eastAsia="zh-HK"/>
        </w:rPr>
      </w:pPr>
      <w:r w:rsidRPr="00620DF1">
        <w:rPr>
          <w:i/>
          <w:szCs w:val="28"/>
          <w:lang w:eastAsia="zh-HK"/>
        </w:rPr>
        <w:lastRenderedPageBreak/>
        <w:t>Assessment of Damages</w:t>
      </w:r>
    </w:p>
    <w:p w:rsidR="0071525E" w:rsidRPr="00067DE0" w:rsidRDefault="0071525E" w:rsidP="0086642B">
      <w:pPr>
        <w:pStyle w:val="ListParagraph"/>
        <w:spacing w:line="360" w:lineRule="auto"/>
        <w:ind w:left="0"/>
        <w:jc w:val="both"/>
        <w:rPr>
          <w:szCs w:val="28"/>
          <w:lang w:eastAsia="zh-HK"/>
        </w:rPr>
      </w:pPr>
    </w:p>
    <w:p w:rsidR="00A33C32" w:rsidRPr="00451670" w:rsidRDefault="00620DF1" w:rsidP="0086642B">
      <w:pPr>
        <w:pStyle w:val="ListParagraph"/>
        <w:numPr>
          <w:ilvl w:val="0"/>
          <w:numId w:val="17"/>
        </w:numPr>
        <w:spacing w:line="360" w:lineRule="auto"/>
        <w:ind w:left="0" w:firstLine="0"/>
        <w:jc w:val="both"/>
      </w:pPr>
      <w:r>
        <w:t>The plaintiff has claimed damages under the following heads which I shall ma</w:t>
      </w:r>
      <w:r w:rsidR="00451670">
        <w:t>k</w:t>
      </w:r>
      <w:r>
        <w:t xml:space="preserve">e my assessment accordingly. </w:t>
      </w:r>
    </w:p>
    <w:p w:rsidR="00435CF0" w:rsidRPr="008806EB" w:rsidRDefault="00435CF0" w:rsidP="0086642B">
      <w:pPr>
        <w:spacing w:line="360" w:lineRule="auto"/>
        <w:rPr>
          <w:szCs w:val="28"/>
        </w:rPr>
      </w:pPr>
    </w:p>
    <w:p w:rsidR="008806EB" w:rsidRPr="00831E50" w:rsidRDefault="00451670" w:rsidP="00185D51">
      <w:pPr>
        <w:pStyle w:val="ListParagraph"/>
        <w:widowControl w:val="0"/>
        <w:numPr>
          <w:ilvl w:val="0"/>
          <w:numId w:val="32"/>
        </w:numPr>
        <w:tabs>
          <w:tab w:val="clear" w:pos="1440"/>
          <w:tab w:val="clear" w:pos="4320"/>
          <w:tab w:val="clear" w:pos="9072"/>
        </w:tabs>
        <w:spacing w:line="360" w:lineRule="auto"/>
        <w:ind w:left="0" w:firstLine="0"/>
        <w:contextualSpacing/>
        <w:jc w:val="both"/>
        <w:rPr>
          <w:i/>
          <w:iCs/>
          <w:szCs w:val="28"/>
          <w:lang w:eastAsia="zh-HK"/>
        </w:rPr>
      </w:pPr>
      <w:r w:rsidRPr="00831E50">
        <w:rPr>
          <w:i/>
          <w:iCs/>
          <w:szCs w:val="28"/>
          <w:lang w:eastAsia="zh-HK"/>
        </w:rPr>
        <w:t>Pain &amp; suffering and loss of amenities (“</w:t>
      </w:r>
      <w:r w:rsidR="008806EB" w:rsidRPr="00831E50">
        <w:rPr>
          <w:i/>
          <w:iCs/>
          <w:szCs w:val="28"/>
          <w:lang w:eastAsia="zh-HK"/>
        </w:rPr>
        <w:t>PSLA</w:t>
      </w:r>
      <w:r w:rsidRPr="00831E50">
        <w:rPr>
          <w:i/>
          <w:iCs/>
          <w:szCs w:val="28"/>
          <w:lang w:eastAsia="zh-HK"/>
        </w:rPr>
        <w:t>”)</w:t>
      </w:r>
    </w:p>
    <w:p w:rsidR="008806EB" w:rsidRPr="008806EB" w:rsidRDefault="008806EB" w:rsidP="0086642B">
      <w:pPr>
        <w:pStyle w:val="ListParagraph"/>
        <w:spacing w:line="360" w:lineRule="auto"/>
        <w:ind w:left="0"/>
        <w:rPr>
          <w:szCs w:val="28"/>
          <w:lang w:eastAsia="zh-HK"/>
        </w:rPr>
      </w:pPr>
    </w:p>
    <w:p w:rsidR="008806EB" w:rsidRDefault="009E5617" w:rsidP="0086642B">
      <w:pPr>
        <w:pStyle w:val="ListParagraph"/>
        <w:numPr>
          <w:ilvl w:val="0"/>
          <w:numId w:val="17"/>
        </w:numPr>
        <w:spacing w:line="360" w:lineRule="auto"/>
        <w:ind w:left="0" w:firstLine="0"/>
        <w:jc w:val="both"/>
        <w:rPr>
          <w:szCs w:val="28"/>
          <w:lang w:eastAsia="zh-HK"/>
        </w:rPr>
      </w:pPr>
      <w:r>
        <w:rPr>
          <w:rFonts w:eastAsia="PMingLiU" w:hint="eastAsia"/>
          <w:szCs w:val="28"/>
          <w:lang w:eastAsia="zh-TW"/>
        </w:rPr>
        <w:t>The plaintiff</w:t>
      </w:r>
      <w:r w:rsidR="008806EB" w:rsidRPr="008806EB">
        <w:rPr>
          <w:szCs w:val="28"/>
          <w:lang w:eastAsia="zh-HK"/>
        </w:rPr>
        <w:t xml:space="preserve"> submits that PSLA award should be in the range of $260,000 to $310,000</w:t>
      </w:r>
      <w:r w:rsidR="00451670">
        <w:rPr>
          <w:szCs w:val="28"/>
          <w:lang w:eastAsia="zh-HK"/>
        </w:rPr>
        <w:t xml:space="preserve"> while Mr Poon for the defendant </w:t>
      </w:r>
      <w:r w:rsidR="00323EF3">
        <w:rPr>
          <w:szCs w:val="28"/>
          <w:lang w:eastAsia="zh-HK"/>
        </w:rPr>
        <w:t>submits that a reasonable PSLA award should be in the region of $150,000 to $200,000.</w:t>
      </w:r>
    </w:p>
    <w:p w:rsidR="008806EB" w:rsidRPr="008806EB" w:rsidRDefault="008806EB" w:rsidP="0086642B">
      <w:pPr>
        <w:pStyle w:val="ListParagraph"/>
        <w:spacing w:line="360" w:lineRule="auto"/>
        <w:ind w:left="0"/>
        <w:rPr>
          <w:szCs w:val="28"/>
          <w:lang w:eastAsia="zh-HK"/>
        </w:rPr>
      </w:pPr>
    </w:p>
    <w:p w:rsidR="00323EF3" w:rsidRDefault="00323EF3" w:rsidP="0086642B">
      <w:pPr>
        <w:pStyle w:val="ListParagraph"/>
        <w:numPr>
          <w:ilvl w:val="0"/>
          <w:numId w:val="17"/>
        </w:numPr>
        <w:spacing w:line="360" w:lineRule="auto"/>
        <w:ind w:left="0" w:firstLine="0"/>
        <w:jc w:val="both"/>
        <w:rPr>
          <w:szCs w:val="28"/>
          <w:lang w:eastAsia="zh-HK"/>
        </w:rPr>
      </w:pPr>
      <w:r>
        <w:rPr>
          <w:szCs w:val="28"/>
          <w:lang w:eastAsia="zh-HK"/>
        </w:rPr>
        <w:t>Mr Wong for the plaintiff relies on the following cases</w:t>
      </w:r>
      <w:r w:rsidR="00F54B57">
        <w:rPr>
          <w:szCs w:val="28"/>
          <w:lang w:eastAsia="zh-HK"/>
        </w:rPr>
        <w:t>:</w:t>
      </w:r>
    </w:p>
    <w:p w:rsidR="00323EF3" w:rsidRDefault="00323EF3" w:rsidP="0086642B">
      <w:pPr>
        <w:pStyle w:val="ListParagraph"/>
        <w:spacing w:line="360" w:lineRule="auto"/>
        <w:ind w:left="0"/>
        <w:jc w:val="both"/>
        <w:rPr>
          <w:szCs w:val="28"/>
          <w:lang w:eastAsia="zh-HK"/>
        </w:rPr>
      </w:pPr>
    </w:p>
    <w:p w:rsidR="00D42A6D" w:rsidRDefault="00D42A6D" w:rsidP="00D42A6D">
      <w:pPr>
        <w:pStyle w:val="ListParagraph"/>
        <w:ind w:left="2160" w:hanging="720"/>
        <w:jc w:val="both"/>
        <w:rPr>
          <w:szCs w:val="28"/>
          <w:lang w:eastAsia="zh-HK"/>
        </w:rPr>
      </w:pPr>
      <w:r>
        <w:rPr>
          <w:szCs w:val="28"/>
          <w:lang w:eastAsia="zh-HK"/>
        </w:rPr>
        <w:t>(a)</w:t>
      </w:r>
      <w:r>
        <w:rPr>
          <w:szCs w:val="28"/>
          <w:lang w:eastAsia="zh-HK"/>
        </w:rPr>
        <w:tab/>
      </w:r>
      <w:r w:rsidR="008806EB" w:rsidRPr="008806EB">
        <w:rPr>
          <w:i/>
          <w:iCs/>
          <w:color w:val="000000"/>
          <w:szCs w:val="28"/>
        </w:rPr>
        <w:t>Tamang Tikaram v Tong Kee Company Limited &amp; Others</w:t>
      </w:r>
      <w:r w:rsidR="008806EB" w:rsidRPr="008806EB">
        <w:rPr>
          <w:color w:val="000000"/>
          <w:szCs w:val="28"/>
        </w:rPr>
        <w:t xml:space="preserve"> (unreported, HCPI 19/2013, 1</w:t>
      </w:r>
      <w:r w:rsidR="00E40020">
        <w:rPr>
          <w:rFonts w:eastAsia="PMingLiU" w:hint="eastAsia"/>
          <w:color w:val="000000"/>
          <w:szCs w:val="28"/>
          <w:lang w:eastAsia="zh-TW"/>
        </w:rPr>
        <w:t xml:space="preserve"> April </w:t>
      </w:r>
      <w:r w:rsidR="008806EB" w:rsidRPr="008806EB">
        <w:rPr>
          <w:color w:val="000000"/>
          <w:szCs w:val="28"/>
        </w:rPr>
        <w:t xml:space="preserve">2015), the 36-year-old plaintiff had a minimally displaced fracture of right medial malleolus.  He received no operation but was given a short leg dynast which he wore for 7 weeks.  He was hospitalized for 3 days, attended 19 sessions of physiotherapy and 17 sessions of occupational therapy.  </w:t>
      </w:r>
      <w:r w:rsidR="008806EB" w:rsidRPr="00B35E52">
        <w:rPr>
          <w:color w:val="000000"/>
          <w:szCs w:val="28"/>
        </w:rPr>
        <w:t xml:space="preserve">He could walk unaided.  X-ray showed no the fracture to have healed in anatomic position.  PSLA of $200,000 was awarded.  </w:t>
      </w:r>
      <w:r w:rsidR="008806EB" w:rsidRPr="00B35E52">
        <w:rPr>
          <w:szCs w:val="28"/>
          <w:lang w:eastAsia="zh-HK"/>
        </w:rPr>
        <w:t>The award would be about $220,000 now</w:t>
      </w:r>
      <w:r w:rsidR="008806EB" w:rsidRPr="00B35E52">
        <w:rPr>
          <w:rStyle w:val="FootnoteReference"/>
          <w:szCs w:val="28"/>
          <w:lang w:eastAsia="zh-HK"/>
        </w:rPr>
        <w:footnoteReference w:id="2"/>
      </w:r>
      <w:r w:rsidR="008806EB" w:rsidRPr="00B35E52">
        <w:rPr>
          <w:szCs w:val="28"/>
          <w:lang w:eastAsia="zh-HK"/>
        </w:rPr>
        <w:t>.</w:t>
      </w:r>
    </w:p>
    <w:p w:rsidR="00B35E52" w:rsidRPr="00B35E52" w:rsidRDefault="00B35E52" w:rsidP="00D42A6D">
      <w:pPr>
        <w:pStyle w:val="ListParagraph"/>
        <w:ind w:left="2160" w:hanging="720"/>
        <w:jc w:val="both"/>
        <w:rPr>
          <w:szCs w:val="28"/>
          <w:lang w:eastAsia="zh-HK"/>
        </w:rPr>
      </w:pPr>
    </w:p>
    <w:p w:rsidR="00D42A6D" w:rsidRPr="00B35E52" w:rsidRDefault="00AA5BE4" w:rsidP="00B35E52">
      <w:pPr>
        <w:pStyle w:val="ListParagraph"/>
        <w:ind w:left="2160" w:hanging="720"/>
        <w:jc w:val="both"/>
        <w:rPr>
          <w:color w:val="000000"/>
          <w:szCs w:val="28"/>
        </w:rPr>
      </w:pPr>
      <w:r w:rsidRPr="00B35E52">
        <w:rPr>
          <w:szCs w:val="28"/>
          <w:lang w:eastAsia="zh-HK"/>
        </w:rPr>
        <w:t>(b)</w:t>
      </w:r>
      <w:r w:rsidR="00D42A6D" w:rsidRPr="00B35E52">
        <w:rPr>
          <w:szCs w:val="28"/>
          <w:lang w:eastAsia="zh-HK"/>
        </w:rPr>
        <w:tab/>
      </w:r>
      <w:r w:rsidR="008B4F95" w:rsidRPr="00B35E52">
        <w:rPr>
          <w:i/>
          <w:color w:val="000000"/>
          <w:szCs w:val="28"/>
        </w:rPr>
        <w:t>Li Chi Sing v Equal Link Limited</w:t>
      </w:r>
      <w:r w:rsidR="008806EB" w:rsidRPr="00B35E52">
        <w:rPr>
          <w:color w:val="000000"/>
          <w:szCs w:val="28"/>
        </w:rPr>
        <w:t xml:space="preserve"> (</w:t>
      </w:r>
      <w:r w:rsidR="00DA70BE" w:rsidRPr="00B35E52">
        <w:rPr>
          <w:color w:val="000000"/>
          <w:szCs w:val="28"/>
        </w:rPr>
        <w:t>unreported, DCPI 1930/2011, 6</w:t>
      </w:r>
      <w:r w:rsidR="00DA70BE" w:rsidRPr="00B35E52">
        <w:rPr>
          <w:rFonts w:hint="eastAsia"/>
          <w:color w:val="000000"/>
          <w:szCs w:val="28"/>
        </w:rPr>
        <w:t xml:space="preserve"> March </w:t>
      </w:r>
      <w:r w:rsidR="008806EB" w:rsidRPr="00B35E52">
        <w:rPr>
          <w:color w:val="000000"/>
          <w:szCs w:val="28"/>
        </w:rPr>
        <w:t xml:space="preserve">2013), the plaintiff had a fracture of left malleolus and received open reduction and internal fixation with plate and screws.  He had 14 sessions of physiotherapy and total sick leave of 166 </w:t>
      </w:r>
      <w:r w:rsidR="008806EB" w:rsidRPr="00B35E52">
        <w:rPr>
          <w:color w:val="000000"/>
          <w:szCs w:val="28"/>
        </w:rPr>
        <w:lastRenderedPageBreak/>
        <w:t>days.  He could achieve good recovery with normal walking resumed.  The fracture was also healed with good alignment.  Prognosis was good.  PSLA was awarded at $220,000.  The award would be about $260,000 now</w:t>
      </w:r>
      <w:r w:rsidR="008806EB" w:rsidRPr="004C67E0">
        <w:rPr>
          <w:rStyle w:val="FootnoteReference"/>
          <w:szCs w:val="28"/>
          <w:lang w:eastAsia="zh-HK"/>
        </w:rPr>
        <w:footnoteReference w:id="3"/>
      </w:r>
      <w:r w:rsidR="008806EB" w:rsidRPr="004C67E0">
        <w:rPr>
          <w:lang w:eastAsia="zh-HK"/>
        </w:rPr>
        <w:t>.</w:t>
      </w:r>
    </w:p>
    <w:p w:rsidR="00D42A6D" w:rsidRDefault="00D42A6D" w:rsidP="00B35E52">
      <w:pPr>
        <w:pStyle w:val="ListParagraph"/>
        <w:ind w:left="2160" w:hanging="720"/>
        <w:jc w:val="both"/>
        <w:rPr>
          <w:szCs w:val="28"/>
          <w:lang w:eastAsia="zh-HK"/>
        </w:rPr>
      </w:pPr>
    </w:p>
    <w:p w:rsidR="00D42A6D" w:rsidRDefault="00F54B57" w:rsidP="00B35E52">
      <w:pPr>
        <w:pStyle w:val="ListParagraph"/>
        <w:ind w:left="2160" w:hanging="720"/>
        <w:jc w:val="both"/>
        <w:rPr>
          <w:szCs w:val="28"/>
          <w:lang w:eastAsia="zh-HK"/>
        </w:rPr>
      </w:pPr>
      <w:r w:rsidRPr="00D42A6D">
        <w:rPr>
          <w:color w:val="000000"/>
          <w:szCs w:val="28"/>
        </w:rPr>
        <w:t>(c)</w:t>
      </w:r>
      <w:r w:rsidR="00D42A6D">
        <w:rPr>
          <w:color w:val="000000"/>
          <w:szCs w:val="28"/>
        </w:rPr>
        <w:tab/>
      </w:r>
      <w:r w:rsidR="008806EB" w:rsidRPr="00D21026">
        <w:rPr>
          <w:i/>
          <w:iCs/>
          <w:color w:val="000000"/>
          <w:szCs w:val="28"/>
        </w:rPr>
        <w:t>Lam Kam Fai v Yau Sh</w:t>
      </w:r>
      <w:r w:rsidR="008B4F95" w:rsidRPr="00D21026">
        <w:rPr>
          <w:i/>
          <w:iCs/>
          <w:color w:val="000000"/>
          <w:szCs w:val="28"/>
        </w:rPr>
        <w:t>ing Scaffolding Co Ltd</w:t>
      </w:r>
      <w:r w:rsidR="008806EB" w:rsidRPr="00D21026">
        <w:rPr>
          <w:color w:val="000000"/>
          <w:szCs w:val="28"/>
        </w:rPr>
        <w:t xml:space="preserve"> [2014] 2 HKLRD 448, the plaintiff was 24 years old at time of accident.  He had a fracture of left distal fibula requiring surgery.  He had to walk with crutches for about 9 months, and underwent 4-month physiotherapy. Two years later, he was readmitted for 6 days for removal of implants and required further physiotherapy.  But he could walk unaided and achieved full recovery.  The prognosis was good.  The Court accepted expert evidence that he suffered from a pre-existing old injury to left ankle and therefore made a discount of 10% to $325,000 to arrive at a PSLA award of $292,500.  </w:t>
      </w:r>
      <w:r w:rsidR="008806EB" w:rsidRPr="00D21026">
        <w:rPr>
          <w:szCs w:val="28"/>
          <w:lang w:eastAsia="zh-HK"/>
        </w:rPr>
        <w:t>The award of $325,000 would be about $370,000 now</w:t>
      </w:r>
      <w:r w:rsidR="008806EB" w:rsidRPr="00D21026">
        <w:rPr>
          <w:rStyle w:val="FootnoteReference"/>
          <w:szCs w:val="28"/>
          <w:lang w:eastAsia="zh-HK"/>
        </w:rPr>
        <w:footnoteReference w:id="4"/>
      </w:r>
      <w:r w:rsidR="008806EB" w:rsidRPr="00D21026">
        <w:rPr>
          <w:szCs w:val="28"/>
          <w:lang w:eastAsia="zh-HK"/>
        </w:rPr>
        <w:t>.</w:t>
      </w:r>
    </w:p>
    <w:p w:rsidR="00D42A6D" w:rsidRDefault="00D42A6D" w:rsidP="00D42A6D">
      <w:pPr>
        <w:pStyle w:val="ListParagraph"/>
        <w:ind w:left="2160" w:hanging="720"/>
        <w:jc w:val="both"/>
        <w:rPr>
          <w:szCs w:val="28"/>
        </w:rPr>
      </w:pPr>
    </w:p>
    <w:p w:rsidR="00D42A6D" w:rsidRDefault="00D42A6D" w:rsidP="00D42A6D">
      <w:pPr>
        <w:pStyle w:val="ListParagraph"/>
        <w:ind w:left="2160" w:hanging="720"/>
        <w:jc w:val="both"/>
        <w:rPr>
          <w:color w:val="000000"/>
          <w:szCs w:val="28"/>
        </w:rPr>
      </w:pPr>
      <w:r>
        <w:rPr>
          <w:szCs w:val="28"/>
        </w:rPr>
        <w:t>(d)</w:t>
      </w:r>
      <w:r>
        <w:rPr>
          <w:szCs w:val="28"/>
        </w:rPr>
        <w:tab/>
      </w:r>
      <w:r w:rsidR="008806EB" w:rsidRPr="00D42A6D">
        <w:rPr>
          <w:i/>
          <w:iCs/>
          <w:color w:val="000000"/>
          <w:szCs w:val="28"/>
        </w:rPr>
        <w:t>Tsui Wai Ho v Pride Glory Limited trading as Ziti’s</w:t>
      </w:r>
      <w:r w:rsidR="008806EB" w:rsidRPr="00D42A6D">
        <w:rPr>
          <w:color w:val="000000"/>
          <w:szCs w:val="28"/>
        </w:rPr>
        <w:t xml:space="preserve"> </w:t>
      </w:r>
      <w:r w:rsidR="008B4F95" w:rsidRPr="00D42A6D">
        <w:rPr>
          <w:color w:val="000000"/>
          <w:szCs w:val="28"/>
        </w:rPr>
        <w:t>[2019] HKDC 657</w:t>
      </w:r>
      <w:r w:rsidR="008806EB" w:rsidRPr="00D42A6D">
        <w:rPr>
          <w:color w:val="000000"/>
          <w:szCs w:val="28"/>
        </w:rPr>
        <w:t xml:space="preserve">, the plaintiff suffered from fractured distal fibula requiring open reduction and internal fixation.  There was also an operation for implant removal.  The fracture was found to be healed well with satisfactory range of movement.  There was no limitation to his daily activities and full recovery was achieved 2 years after the accident.  PSLA of $250,000 was awarded.  </w:t>
      </w:r>
    </w:p>
    <w:p w:rsidR="00D42A6D" w:rsidRDefault="00D42A6D" w:rsidP="00D42A6D">
      <w:pPr>
        <w:pStyle w:val="ListParagraph"/>
        <w:ind w:left="2160" w:hanging="720"/>
        <w:jc w:val="both"/>
        <w:rPr>
          <w:szCs w:val="28"/>
          <w:lang w:eastAsia="zh-HK"/>
        </w:rPr>
      </w:pPr>
    </w:p>
    <w:p w:rsidR="008806EB" w:rsidRPr="00D42A6D" w:rsidRDefault="003076D4" w:rsidP="00D42A6D">
      <w:pPr>
        <w:pStyle w:val="ListParagraph"/>
        <w:ind w:left="2160" w:hanging="720"/>
        <w:jc w:val="both"/>
        <w:rPr>
          <w:szCs w:val="28"/>
          <w:lang w:eastAsia="zh-HK"/>
        </w:rPr>
      </w:pPr>
      <w:r w:rsidRPr="00D42A6D">
        <w:rPr>
          <w:szCs w:val="28"/>
          <w:lang w:eastAsia="zh-HK"/>
        </w:rPr>
        <w:t>(e)</w:t>
      </w:r>
      <w:r w:rsidR="00D42A6D">
        <w:rPr>
          <w:szCs w:val="28"/>
          <w:lang w:eastAsia="zh-HK"/>
        </w:rPr>
        <w:tab/>
      </w:r>
      <w:r w:rsidR="008806EB" w:rsidRPr="00D42A6D">
        <w:rPr>
          <w:i/>
          <w:iCs/>
          <w:color w:val="000000"/>
          <w:szCs w:val="28"/>
        </w:rPr>
        <w:t xml:space="preserve">Chan </w:t>
      </w:r>
      <w:r w:rsidR="00671A4D" w:rsidRPr="00D42A6D">
        <w:rPr>
          <w:i/>
          <w:iCs/>
          <w:color w:val="000000"/>
          <w:szCs w:val="28"/>
        </w:rPr>
        <w:t>Mok Yau v</w:t>
      </w:r>
      <w:r w:rsidR="008806EB" w:rsidRPr="00D42A6D">
        <w:rPr>
          <w:i/>
          <w:color w:val="000000"/>
          <w:szCs w:val="28"/>
        </w:rPr>
        <w:t> </w:t>
      </w:r>
      <w:r w:rsidR="008806EB" w:rsidRPr="00D42A6D">
        <w:rPr>
          <w:rFonts w:ascii="MingLiU" w:eastAsia="MingLiU" w:hAnsi="MingLiU" w:cs="MingLiU" w:hint="eastAsia"/>
          <w:i/>
          <w:iCs/>
          <w:color w:val="000000"/>
          <w:szCs w:val="28"/>
        </w:rPr>
        <w:t>黃吉利</w:t>
      </w:r>
      <w:r w:rsidR="008806EB" w:rsidRPr="00D42A6D">
        <w:rPr>
          <w:i/>
          <w:color w:val="000000"/>
          <w:szCs w:val="28"/>
        </w:rPr>
        <w:t> </w:t>
      </w:r>
      <w:r w:rsidR="008806EB" w:rsidRPr="00D42A6D">
        <w:rPr>
          <w:i/>
          <w:iCs/>
          <w:color w:val="000000"/>
          <w:szCs w:val="28"/>
        </w:rPr>
        <w:t>and Another</w:t>
      </w:r>
      <w:r w:rsidR="008806EB" w:rsidRPr="00D42A6D">
        <w:rPr>
          <w:color w:val="000000"/>
          <w:szCs w:val="28"/>
        </w:rPr>
        <w:t xml:space="preserve"> [2018] HKCFI 1084, the plaintiff was 54 years old.  He only received conservative treatment by way of cast for his right ankle fracture.  But he required 424 days of sick leave.  Almost 2 years after accident, he still had moderately reduced range of movement as examined by an </w:t>
      </w:r>
      <w:r w:rsidR="008806EB" w:rsidRPr="00D42A6D">
        <w:rPr>
          <w:color w:val="000000"/>
          <w:szCs w:val="28"/>
        </w:rPr>
        <w:lastRenderedPageBreak/>
        <w:t>orthopaedic specialist.  PSLA of $250,000 was awarded.</w:t>
      </w:r>
    </w:p>
    <w:p w:rsidR="00323EF3" w:rsidRPr="00323EF3" w:rsidRDefault="00323EF3" w:rsidP="0086642B">
      <w:pPr>
        <w:pStyle w:val="ListParagraph"/>
        <w:spacing w:line="360" w:lineRule="auto"/>
        <w:rPr>
          <w:szCs w:val="28"/>
          <w:lang w:eastAsia="zh-HK"/>
        </w:rPr>
      </w:pPr>
    </w:p>
    <w:p w:rsidR="00323EF3" w:rsidRDefault="00323EF3" w:rsidP="0086642B">
      <w:pPr>
        <w:pStyle w:val="ListParagraph"/>
        <w:numPr>
          <w:ilvl w:val="0"/>
          <w:numId w:val="17"/>
        </w:numPr>
        <w:spacing w:line="360" w:lineRule="auto"/>
        <w:ind w:left="0" w:firstLine="0"/>
        <w:jc w:val="both"/>
        <w:rPr>
          <w:szCs w:val="28"/>
          <w:lang w:eastAsia="zh-HK"/>
        </w:rPr>
      </w:pPr>
      <w:r>
        <w:rPr>
          <w:szCs w:val="28"/>
          <w:lang w:eastAsia="zh-HK"/>
        </w:rPr>
        <w:t xml:space="preserve">Mr Poon on the other hand has asked the Court to take into account of the following cases </w:t>
      </w:r>
      <w:r w:rsidR="003076D4">
        <w:rPr>
          <w:szCs w:val="28"/>
          <w:lang w:eastAsia="zh-HK"/>
        </w:rPr>
        <w:t>(besides case (b) &amp; (e) abov</w:t>
      </w:r>
      <w:r w:rsidR="004646F8">
        <w:rPr>
          <w:szCs w:val="28"/>
          <w:lang w:eastAsia="zh-HK"/>
        </w:rPr>
        <w:t>e which have also been relied on</w:t>
      </w:r>
      <w:r w:rsidR="003076D4">
        <w:rPr>
          <w:szCs w:val="28"/>
          <w:lang w:eastAsia="zh-HK"/>
        </w:rPr>
        <w:t xml:space="preserve"> by him) </w:t>
      </w:r>
      <w:r>
        <w:rPr>
          <w:szCs w:val="28"/>
          <w:lang w:eastAsia="zh-HK"/>
        </w:rPr>
        <w:t>when considering the PSLA award:-</w:t>
      </w:r>
    </w:p>
    <w:p w:rsidR="00323EF3" w:rsidRPr="00323EF3" w:rsidRDefault="00323EF3" w:rsidP="0086642B">
      <w:pPr>
        <w:pStyle w:val="ListParagraph"/>
        <w:spacing w:line="360" w:lineRule="auto"/>
        <w:rPr>
          <w:szCs w:val="28"/>
          <w:lang w:eastAsia="zh-HK"/>
        </w:rPr>
      </w:pPr>
    </w:p>
    <w:p w:rsidR="00D42A6D" w:rsidRDefault="004646F8" w:rsidP="00D42A6D">
      <w:pPr>
        <w:pStyle w:val="ListParagraph"/>
        <w:ind w:left="2160" w:hanging="720"/>
        <w:jc w:val="both"/>
        <w:rPr>
          <w:szCs w:val="28"/>
        </w:rPr>
      </w:pPr>
      <w:r w:rsidRPr="00463EF7">
        <w:rPr>
          <w:szCs w:val="28"/>
        </w:rPr>
        <w:t>(a)</w:t>
      </w:r>
      <w:r w:rsidR="00D42A6D">
        <w:rPr>
          <w:i/>
          <w:szCs w:val="28"/>
        </w:rPr>
        <w:tab/>
      </w:r>
      <w:r w:rsidR="00144BD5" w:rsidRPr="005D18C7">
        <w:rPr>
          <w:i/>
          <w:szCs w:val="28"/>
        </w:rPr>
        <w:t>Cheng Muk Ping v Chan’s Machine Engineering Co</w:t>
      </w:r>
      <w:r w:rsidR="0087318B">
        <w:rPr>
          <w:i/>
          <w:szCs w:val="28"/>
        </w:rPr>
        <w:t>mpany Limited</w:t>
      </w:r>
      <w:r w:rsidR="00144BD5" w:rsidRPr="005D18C7">
        <w:rPr>
          <w:szCs w:val="28"/>
        </w:rPr>
        <w:t xml:space="preserve"> (unreported, DCPI 932/2007, 20 October 2008),</w:t>
      </w:r>
      <w:r w:rsidR="005D18C7" w:rsidRPr="005D18C7">
        <w:rPr>
          <w:szCs w:val="28"/>
        </w:rPr>
        <w:t xml:space="preserve"> </w:t>
      </w:r>
      <w:r w:rsidR="005D18C7">
        <w:rPr>
          <w:szCs w:val="28"/>
        </w:rPr>
        <w:t>the plaintiff was hurt by the push arm of a bulldozer and sustained a Lisfranc fracture on his right foot second metatarsal. He received an operation of open reduction and internal fixation. His foot was put in cast for 6 weeks. Sick leave for almost 6 months was granted. Further operation was conducted to remove screws inserted. The plaintiff suffered from 10% whole person impairment and 8% loss of earning capacity. PSLA of HK$180,000 was awarded.</w:t>
      </w:r>
    </w:p>
    <w:p w:rsidR="00D42A6D" w:rsidRDefault="00D42A6D" w:rsidP="00D42A6D">
      <w:pPr>
        <w:pStyle w:val="ListParagraph"/>
        <w:ind w:left="2160" w:hanging="720"/>
        <w:jc w:val="both"/>
        <w:rPr>
          <w:szCs w:val="28"/>
        </w:rPr>
      </w:pPr>
    </w:p>
    <w:p w:rsidR="00CA29A5" w:rsidRPr="00D42A6D" w:rsidRDefault="004646F8" w:rsidP="00D42A6D">
      <w:pPr>
        <w:pStyle w:val="ListParagraph"/>
        <w:ind w:left="2160" w:hanging="720"/>
        <w:jc w:val="both"/>
        <w:rPr>
          <w:szCs w:val="28"/>
        </w:rPr>
      </w:pPr>
      <w:r w:rsidRPr="00D42A6D">
        <w:rPr>
          <w:szCs w:val="28"/>
        </w:rPr>
        <w:t>(b)</w:t>
      </w:r>
      <w:r w:rsidR="00D42A6D">
        <w:rPr>
          <w:szCs w:val="28"/>
        </w:rPr>
        <w:tab/>
      </w:r>
      <w:r w:rsidR="005D18C7" w:rsidRPr="00D42A6D">
        <w:rPr>
          <w:i/>
          <w:szCs w:val="28"/>
        </w:rPr>
        <w:t>Hau Kit Ho v Starway International Development Limited trading as Tao Heung Super 88</w:t>
      </w:r>
      <w:r w:rsidR="005D18C7" w:rsidRPr="00D42A6D">
        <w:rPr>
          <w:szCs w:val="28"/>
        </w:rPr>
        <w:t xml:space="preserve"> (unreported, DCPI 329/2002, 22 September 2003), the plaintiff was a customer of the defendant’s restaurant. When she went to the female toilet after the tea, she had a fall and suffered a fracture to her left ankle. X-ray on admission showed a fracture over the left lateral malleolus. Open reduction and screw fixation of the fracture were performed. The wound healing was satisfactory. There was no post-traumatic arthritic change. PSLA of HK$200,000 was awarded.</w:t>
      </w:r>
    </w:p>
    <w:p w:rsidR="007052A7" w:rsidRPr="007052A7" w:rsidRDefault="007052A7" w:rsidP="007052A7">
      <w:pPr>
        <w:pStyle w:val="ListParagraph"/>
        <w:spacing w:line="360" w:lineRule="auto"/>
        <w:ind w:left="0"/>
        <w:jc w:val="both"/>
        <w:rPr>
          <w:szCs w:val="28"/>
        </w:rPr>
      </w:pPr>
    </w:p>
    <w:p w:rsidR="008806EB" w:rsidRPr="008806EB" w:rsidRDefault="001E5DE8" w:rsidP="0086642B">
      <w:pPr>
        <w:pStyle w:val="ListParagraph"/>
        <w:numPr>
          <w:ilvl w:val="0"/>
          <w:numId w:val="17"/>
        </w:numPr>
        <w:spacing w:line="360" w:lineRule="auto"/>
        <w:ind w:left="0" w:firstLine="0"/>
        <w:jc w:val="both"/>
        <w:rPr>
          <w:szCs w:val="28"/>
          <w:lang w:eastAsia="zh-HK"/>
        </w:rPr>
      </w:pPr>
      <w:r>
        <w:rPr>
          <w:szCs w:val="28"/>
          <w:lang w:eastAsia="zh-HK"/>
        </w:rPr>
        <w:t xml:space="preserve">In considering what would be the appropriate PSLA award in this case, I have taken into account of the </w:t>
      </w:r>
      <w:r w:rsidR="008806EB" w:rsidRPr="008806EB">
        <w:rPr>
          <w:szCs w:val="28"/>
          <w:lang w:eastAsia="zh-HK"/>
        </w:rPr>
        <w:t xml:space="preserve">following </w:t>
      </w:r>
      <w:r w:rsidR="004646F8">
        <w:rPr>
          <w:szCs w:val="28"/>
          <w:lang w:eastAsia="zh-HK"/>
        </w:rPr>
        <w:t xml:space="preserve">special </w:t>
      </w:r>
      <w:r w:rsidR="008806EB" w:rsidRPr="008806EB">
        <w:rPr>
          <w:szCs w:val="28"/>
          <w:lang w:eastAsia="zh-HK"/>
        </w:rPr>
        <w:t>features in the present case:</w:t>
      </w:r>
    </w:p>
    <w:p w:rsidR="008806EB" w:rsidRPr="008806EB" w:rsidRDefault="008806EB" w:rsidP="0086642B">
      <w:pPr>
        <w:pStyle w:val="ListParagraph"/>
        <w:spacing w:line="360" w:lineRule="auto"/>
        <w:ind w:left="0"/>
        <w:rPr>
          <w:szCs w:val="28"/>
          <w:lang w:eastAsia="zh-HK"/>
        </w:rPr>
      </w:pPr>
    </w:p>
    <w:p w:rsidR="008806EB" w:rsidRPr="00F66454" w:rsidRDefault="00F66454" w:rsidP="0086642B">
      <w:pPr>
        <w:pStyle w:val="ListParagraph"/>
        <w:numPr>
          <w:ilvl w:val="0"/>
          <w:numId w:val="21"/>
        </w:numPr>
        <w:spacing w:line="360" w:lineRule="auto"/>
        <w:ind w:left="2160" w:hanging="720"/>
        <w:jc w:val="both"/>
        <w:rPr>
          <w:szCs w:val="28"/>
          <w:lang w:eastAsia="zh-HK"/>
        </w:rPr>
      </w:pPr>
      <w:r>
        <w:rPr>
          <w:rFonts w:eastAsia="PMingLiU" w:hint="eastAsia"/>
          <w:szCs w:val="28"/>
          <w:lang w:eastAsia="zh-TW"/>
        </w:rPr>
        <w:t>The plaintiff</w:t>
      </w:r>
      <w:r w:rsidR="001E5DE8">
        <w:rPr>
          <w:szCs w:val="28"/>
          <w:lang w:eastAsia="zh-HK"/>
        </w:rPr>
        <w:t xml:space="preserve"> is relatively </w:t>
      </w:r>
      <w:r w:rsidR="008806EB" w:rsidRPr="008806EB">
        <w:rPr>
          <w:szCs w:val="28"/>
          <w:lang w:eastAsia="zh-HK"/>
        </w:rPr>
        <w:t xml:space="preserve">young: </w:t>
      </w:r>
      <w:r w:rsidR="001E5DE8">
        <w:rPr>
          <w:szCs w:val="28"/>
          <w:lang w:eastAsia="zh-HK"/>
        </w:rPr>
        <w:t xml:space="preserve">she was </w:t>
      </w:r>
      <w:r w:rsidR="008806EB" w:rsidRPr="008806EB">
        <w:rPr>
          <w:szCs w:val="28"/>
          <w:lang w:eastAsia="zh-HK"/>
        </w:rPr>
        <w:t>only 27 at the time of the Accident</w:t>
      </w:r>
      <w:r w:rsidR="001E5DE8">
        <w:rPr>
          <w:szCs w:val="28"/>
          <w:lang w:eastAsia="zh-HK"/>
        </w:rPr>
        <w:t xml:space="preserve"> and 32 at the </w:t>
      </w:r>
      <w:r w:rsidR="00DC2D22">
        <w:rPr>
          <w:szCs w:val="28"/>
          <w:lang w:eastAsia="zh-HK"/>
        </w:rPr>
        <w:t>date of assessment;</w:t>
      </w:r>
    </w:p>
    <w:p w:rsidR="00F66454" w:rsidRPr="00F66454" w:rsidRDefault="00F66454" w:rsidP="0086642B">
      <w:pPr>
        <w:spacing w:line="360" w:lineRule="auto"/>
        <w:jc w:val="both"/>
        <w:rPr>
          <w:rFonts w:eastAsia="PMingLiU"/>
          <w:szCs w:val="28"/>
          <w:lang w:eastAsia="zh-TW"/>
        </w:rPr>
      </w:pPr>
    </w:p>
    <w:p w:rsidR="008806EB" w:rsidRPr="00F66454" w:rsidRDefault="008806EB" w:rsidP="0086642B">
      <w:pPr>
        <w:pStyle w:val="ListParagraph"/>
        <w:numPr>
          <w:ilvl w:val="0"/>
          <w:numId w:val="21"/>
        </w:numPr>
        <w:spacing w:line="360" w:lineRule="auto"/>
        <w:ind w:left="2160" w:hanging="720"/>
        <w:jc w:val="both"/>
        <w:rPr>
          <w:szCs w:val="28"/>
          <w:lang w:eastAsia="zh-HK"/>
        </w:rPr>
      </w:pPr>
      <w:r w:rsidRPr="008806EB">
        <w:rPr>
          <w:szCs w:val="28"/>
          <w:lang w:eastAsia="zh-HK"/>
        </w:rPr>
        <w:t>She had a fracture which required open re</w:t>
      </w:r>
      <w:r w:rsidR="00DC2D22">
        <w:rPr>
          <w:szCs w:val="28"/>
          <w:lang w:eastAsia="zh-HK"/>
        </w:rPr>
        <w:t>duction and internal fixation;</w:t>
      </w:r>
    </w:p>
    <w:p w:rsidR="00F66454" w:rsidRPr="00F66454" w:rsidRDefault="00F66454" w:rsidP="0086642B">
      <w:pPr>
        <w:spacing w:line="360" w:lineRule="auto"/>
        <w:jc w:val="both"/>
        <w:rPr>
          <w:rFonts w:eastAsia="PMingLiU"/>
          <w:szCs w:val="28"/>
          <w:lang w:eastAsia="zh-TW"/>
        </w:rPr>
      </w:pPr>
    </w:p>
    <w:p w:rsidR="008806EB" w:rsidRPr="00F66454" w:rsidRDefault="008806EB" w:rsidP="0086642B">
      <w:pPr>
        <w:pStyle w:val="ListParagraph"/>
        <w:numPr>
          <w:ilvl w:val="0"/>
          <w:numId w:val="21"/>
        </w:numPr>
        <w:spacing w:line="360" w:lineRule="auto"/>
        <w:ind w:left="2160" w:hanging="720"/>
        <w:jc w:val="both"/>
        <w:rPr>
          <w:szCs w:val="28"/>
          <w:lang w:eastAsia="zh-HK"/>
        </w:rPr>
      </w:pPr>
      <w:r w:rsidRPr="008806EB">
        <w:rPr>
          <w:szCs w:val="28"/>
          <w:lang w:eastAsia="zh-HK"/>
        </w:rPr>
        <w:t xml:space="preserve">She was hospitalized for </w:t>
      </w:r>
      <w:r w:rsidR="00DC2D22">
        <w:rPr>
          <w:szCs w:val="28"/>
          <w:lang w:eastAsia="zh-HK"/>
        </w:rPr>
        <w:t>5 days;</w:t>
      </w:r>
    </w:p>
    <w:p w:rsidR="00F66454" w:rsidRPr="00F66454" w:rsidRDefault="00F66454" w:rsidP="0086642B">
      <w:pPr>
        <w:spacing w:line="360" w:lineRule="auto"/>
        <w:jc w:val="both"/>
        <w:rPr>
          <w:rFonts w:eastAsia="PMingLiU"/>
          <w:szCs w:val="28"/>
          <w:lang w:eastAsia="zh-TW"/>
        </w:rPr>
      </w:pPr>
    </w:p>
    <w:p w:rsidR="008806EB" w:rsidRPr="00F66454" w:rsidRDefault="004646F8" w:rsidP="0086642B">
      <w:pPr>
        <w:pStyle w:val="ListParagraph"/>
        <w:numPr>
          <w:ilvl w:val="0"/>
          <w:numId w:val="21"/>
        </w:numPr>
        <w:spacing w:line="360" w:lineRule="auto"/>
        <w:ind w:left="2160" w:hanging="720"/>
        <w:jc w:val="both"/>
        <w:rPr>
          <w:szCs w:val="28"/>
          <w:lang w:eastAsia="zh-HK"/>
        </w:rPr>
      </w:pPr>
      <w:r>
        <w:rPr>
          <w:szCs w:val="28"/>
          <w:lang w:eastAsia="zh-HK"/>
        </w:rPr>
        <w:t>There is a possibility</w:t>
      </w:r>
      <w:r w:rsidR="00340A87">
        <w:rPr>
          <w:szCs w:val="28"/>
          <w:lang w:eastAsia="zh-HK"/>
        </w:rPr>
        <w:t xml:space="preserve"> that the plaintiff w</w:t>
      </w:r>
      <w:r w:rsidR="008806EB" w:rsidRPr="008806EB">
        <w:rPr>
          <w:szCs w:val="28"/>
          <w:lang w:eastAsia="zh-HK"/>
        </w:rPr>
        <w:t xml:space="preserve">ill </w:t>
      </w:r>
      <w:r w:rsidR="00340A87">
        <w:rPr>
          <w:szCs w:val="28"/>
          <w:lang w:eastAsia="zh-HK"/>
        </w:rPr>
        <w:t>need to</w:t>
      </w:r>
      <w:r w:rsidR="001E5DE8">
        <w:rPr>
          <w:szCs w:val="28"/>
          <w:lang w:eastAsia="zh-HK"/>
        </w:rPr>
        <w:t xml:space="preserve"> </w:t>
      </w:r>
      <w:r w:rsidR="008806EB" w:rsidRPr="008806EB">
        <w:rPr>
          <w:szCs w:val="28"/>
          <w:lang w:eastAsia="zh-HK"/>
        </w:rPr>
        <w:t xml:space="preserve">have another operation for </w:t>
      </w:r>
      <w:r w:rsidR="001E5DE8">
        <w:rPr>
          <w:szCs w:val="28"/>
          <w:lang w:eastAsia="zh-HK"/>
        </w:rPr>
        <w:t xml:space="preserve">the </w:t>
      </w:r>
      <w:r w:rsidR="008806EB" w:rsidRPr="008806EB">
        <w:rPr>
          <w:szCs w:val="28"/>
          <w:lang w:eastAsia="zh-HK"/>
        </w:rPr>
        <w:t>removal of implant</w:t>
      </w:r>
      <w:r w:rsidR="001E5DE8">
        <w:rPr>
          <w:szCs w:val="28"/>
          <w:lang w:eastAsia="zh-HK"/>
        </w:rPr>
        <w:t xml:space="preserve"> </w:t>
      </w:r>
      <w:r w:rsidR="00DC2D22">
        <w:rPr>
          <w:szCs w:val="28"/>
          <w:lang w:eastAsia="zh-HK"/>
        </w:rPr>
        <w:t xml:space="preserve">sometime in </w:t>
      </w:r>
      <w:r w:rsidR="001E5DE8">
        <w:rPr>
          <w:szCs w:val="28"/>
          <w:lang w:eastAsia="zh-HK"/>
        </w:rPr>
        <w:t>future</w:t>
      </w:r>
      <w:r>
        <w:rPr>
          <w:szCs w:val="28"/>
          <w:lang w:eastAsia="zh-HK"/>
        </w:rPr>
        <w:t xml:space="preserve"> although </w:t>
      </w:r>
      <w:r w:rsidR="008447B6">
        <w:rPr>
          <w:szCs w:val="28"/>
          <w:lang w:eastAsia="zh-HK"/>
        </w:rPr>
        <w:t xml:space="preserve">in my view </w:t>
      </w:r>
      <w:r>
        <w:rPr>
          <w:szCs w:val="28"/>
          <w:lang w:eastAsia="zh-HK"/>
        </w:rPr>
        <w:t xml:space="preserve">this is </w:t>
      </w:r>
      <w:r w:rsidR="008447B6">
        <w:rPr>
          <w:szCs w:val="28"/>
          <w:lang w:eastAsia="zh-HK"/>
        </w:rPr>
        <w:t>rather unlikely</w:t>
      </w:r>
      <w:r w:rsidR="00F547AD">
        <w:rPr>
          <w:szCs w:val="28"/>
          <w:lang w:eastAsia="zh-HK"/>
        </w:rPr>
        <w:t>;</w:t>
      </w:r>
    </w:p>
    <w:p w:rsidR="00F66454" w:rsidRPr="00F66454" w:rsidRDefault="00F66454" w:rsidP="0086642B">
      <w:pPr>
        <w:spacing w:line="360" w:lineRule="auto"/>
        <w:jc w:val="both"/>
        <w:rPr>
          <w:rFonts w:eastAsia="PMingLiU"/>
          <w:szCs w:val="28"/>
          <w:lang w:eastAsia="zh-TW"/>
        </w:rPr>
      </w:pPr>
    </w:p>
    <w:p w:rsidR="008806EB" w:rsidRDefault="008806EB" w:rsidP="0086642B">
      <w:pPr>
        <w:pStyle w:val="ListParagraph"/>
        <w:numPr>
          <w:ilvl w:val="0"/>
          <w:numId w:val="21"/>
        </w:numPr>
        <w:spacing w:line="360" w:lineRule="auto"/>
        <w:ind w:left="2160" w:hanging="720"/>
        <w:jc w:val="both"/>
        <w:rPr>
          <w:szCs w:val="28"/>
          <w:lang w:eastAsia="zh-HK"/>
        </w:rPr>
      </w:pPr>
      <w:r w:rsidRPr="008806EB">
        <w:rPr>
          <w:szCs w:val="28"/>
          <w:lang w:eastAsia="zh-HK"/>
        </w:rPr>
        <w:t>She required</w:t>
      </w:r>
      <w:r w:rsidR="005A397E">
        <w:rPr>
          <w:szCs w:val="28"/>
          <w:lang w:eastAsia="zh-HK"/>
        </w:rPr>
        <w:t xml:space="preserve"> 2</w:t>
      </w:r>
      <w:r w:rsidR="001E5DE8">
        <w:rPr>
          <w:szCs w:val="28"/>
          <w:lang w:eastAsia="zh-HK"/>
        </w:rPr>
        <w:t xml:space="preserve"> </w:t>
      </w:r>
      <w:r w:rsidRPr="008806EB">
        <w:rPr>
          <w:szCs w:val="28"/>
          <w:lang w:eastAsia="zh-HK"/>
        </w:rPr>
        <w:t xml:space="preserve">courses of physiotherapy treatments </w:t>
      </w:r>
      <w:r w:rsidR="001E5DE8">
        <w:rPr>
          <w:szCs w:val="28"/>
          <w:lang w:eastAsia="zh-HK"/>
        </w:rPr>
        <w:t>(</w:t>
      </w:r>
      <w:r w:rsidR="005A397E">
        <w:rPr>
          <w:szCs w:val="28"/>
          <w:lang w:eastAsia="zh-HK"/>
        </w:rPr>
        <w:t>from February 2016 to January 2017 and from August 2017 to February 2018</w:t>
      </w:r>
      <w:r w:rsidR="00DC2D22">
        <w:rPr>
          <w:szCs w:val="28"/>
          <w:lang w:eastAsia="zh-HK"/>
        </w:rPr>
        <w:t xml:space="preserve">) </w:t>
      </w:r>
      <w:r w:rsidRPr="008806EB">
        <w:rPr>
          <w:szCs w:val="28"/>
          <w:lang w:eastAsia="zh-HK"/>
        </w:rPr>
        <w:t>and 1 course of</w:t>
      </w:r>
      <w:r w:rsidR="005A397E">
        <w:rPr>
          <w:szCs w:val="28"/>
          <w:lang w:eastAsia="zh-HK"/>
        </w:rPr>
        <w:t xml:space="preserve"> occupational therapy treatment</w:t>
      </w:r>
      <w:r w:rsidR="00DC2D22">
        <w:rPr>
          <w:szCs w:val="28"/>
          <w:lang w:eastAsia="zh-HK"/>
        </w:rPr>
        <w:t xml:space="preserve"> </w:t>
      </w:r>
      <w:r w:rsidR="005A397E">
        <w:rPr>
          <w:szCs w:val="28"/>
          <w:lang w:eastAsia="zh-HK"/>
        </w:rPr>
        <w:t xml:space="preserve">(from August 2016 to January 2017) </w:t>
      </w:r>
      <w:r w:rsidR="004646F8">
        <w:rPr>
          <w:szCs w:val="28"/>
          <w:lang w:eastAsia="zh-HK"/>
        </w:rPr>
        <w:t>after the Accident</w:t>
      </w:r>
      <w:r w:rsidR="00F547AD">
        <w:rPr>
          <w:szCs w:val="28"/>
          <w:lang w:eastAsia="zh-HK"/>
        </w:rPr>
        <w:t>;</w:t>
      </w:r>
    </w:p>
    <w:p w:rsidR="00F547AD" w:rsidRPr="00F547AD" w:rsidRDefault="00F547AD" w:rsidP="0086642B">
      <w:pPr>
        <w:pStyle w:val="ListParagraph"/>
        <w:spacing w:line="360" w:lineRule="auto"/>
        <w:rPr>
          <w:szCs w:val="28"/>
          <w:lang w:eastAsia="zh-HK"/>
        </w:rPr>
      </w:pPr>
    </w:p>
    <w:p w:rsidR="00340A87" w:rsidRDefault="00F547AD" w:rsidP="0086642B">
      <w:pPr>
        <w:pStyle w:val="ListParagraph"/>
        <w:numPr>
          <w:ilvl w:val="0"/>
          <w:numId w:val="21"/>
        </w:numPr>
        <w:spacing w:line="360" w:lineRule="auto"/>
        <w:ind w:left="2160" w:hanging="720"/>
        <w:jc w:val="both"/>
        <w:rPr>
          <w:szCs w:val="28"/>
          <w:lang w:eastAsia="zh-HK"/>
        </w:rPr>
      </w:pPr>
      <w:r>
        <w:rPr>
          <w:szCs w:val="28"/>
          <w:lang w:eastAsia="zh-HK"/>
        </w:rPr>
        <w:t>There was sl</w:t>
      </w:r>
      <w:r w:rsidR="000E720C">
        <w:rPr>
          <w:szCs w:val="28"/>
          <w:lang w:eastAsia="zh-HK"/>
        </w:rPr>
        <w:t xml:space="preserve">ight muscle wastage at her </w:t>
      </w:r>
      <w:r>
        <w:rPr>
          <w:szCs w:val="28"/>
          <w:lang w:eastAsia="zh-HK"/>
        </w:rPr>
        <w:t>thigh and</w:t>
      </w:r>
      <w:r w:rsidR="00340A87">
        <w:rPr>
          <w:szCs w:val="28"/>
          <w:lang w:eastAsia="zh-HK"/>
        </w:rPr>
        <w:t xml:space="preserve"> calf on her left leg;</w:t>
      </w:r>
    </w:p>
    <w:p w:rsidR="00F547AD" w:rsidRPr="00340A87" w:rsidRDefault="00F547AD" w:rsidP="0086642B">
      <w:pPr>
        <w:spacing w:line="360" w:lineRule="auto"/>
        <w:jc w:val="both"/>
        <w:rPr>
          <w:szCs w:val="28"/>
          <w:lang w:eastAsia="zh-HK"/>
        </w:rPr>
      </w:pPr>
      <w:r w:rsidRPr="00340A87">
        <w:rPr>
          <w:szCs w:val="28"/>
          <w:lang w:eastAsia="zh-HK"/>
        </w:rPr>
        <w:t xml:space="preserve">  </w:t>
      </w:r>
    </w:p>
    <w:p w:rsidR="00F66454" w:rsidRDefault="000E720C" w:rsidP="0086642B">
      <w:pPr>
        <w:pStyle w:val="ListParagraph"/>
        <w:numPr>
          <w:ilvl w:val="0"/>
          <w:numId w:val="21"/>
        </w:numPr>
        <w:spacing w:line="360" w:lineRule="auto"/>
        <w:ind w:left="2160" w:hanging="720"/>
        <w:jc w:val="both"/>
        <w:rPr>
          <w:szCs w:val="28"/>
          <w:lang w:eastAsia="zh-HK"/>
        </w:rPr>
      </w:pPr>
      <w:r>
        <w:rPr>
          <w:szCs w:val="28"/>
          <w:lang w:eastAsia="zh-HK"/>
        </w:rPr>
        <w:t>T</w:t>
      </w:r>
      <w:r w:rsidR="008806EB" w:rsidRPr="008806EB">
        <w:rPr>
          <w:szCs w:val="28"/>
          <w:lang w:eastAsia="zh-HK"/>
        </w:rPr>
        <w:t xml:space="preserve">he injuries have left her </w:t>
      </w:r>
      <w:r w:rsidR="00B4117B">
        <w:rPr>
          <w:szCs w:val="28"/>
          <w:lang w:eastAsia="zh-HK"/>
        </w:rPr>
        <w:t xml:space="preserve">with </w:t>
      </w:r>
      <w:r w:rsidR="00F547AD">
        <w:rPr>
          <w:szCs w:val="28"/>
          <w:lang w:eastAsia="zh-HK"/>
        </w:rPr>
        <w:t xml:space="preserve">some well healed </w:t>
      </w:r>
      <w:r w:rsidR="008806EB" w:rsidRPr="008806EB">
        <w:rPr>
          <w:szCs w:val="28"/>
          <w:lang w:eastAsia="zh-HK"/>
        </w:rPr>
        <w:t>scars</w:t>
      </w:r>
      <w:r w:rsidR="00340A87">
        <w:rPr>
          <w:szCs w:val="28"/>
          <w:lang w:eastAsia="zh-HK"/>
        </w:rPr>
        <w:t xml:space="preserve"> at the ankle area</w:t>
      </w:r>
      <w:r w:rsidR="00F547AD">
        <w:rPr>
          <w:szCs w:val="28"/>
          <w:lang w:eastAsia="zh-HK"/>
        </w:rPr>
        <w:t>;</w:t>
      </w:r>
    </w:p>
    <w:p w:rsidR="00340A87" w:rsidRPr="00340A87" w:rsidRDefault="00340A87" w:rsidP="0086642B">
      <w:pPr>
        <w:pStyle w:val="ListParagraph"/>
        <w:spacing w:line="360" w:lineRule="auto"/>
        <w:rPr>
          <w:szCs w:val="28"/>
          <w:lang w:eastAsia="zh-HK"/>
        </w:rPr>
      </w:pPr>
    </w:p>
    <w:p w:rsidR="008806EB" w:rsidRDefault="00FC270D" w:rsidP="0086642B">
      <w:pPr>
        <w:pStyle w:val="ListParagraph"/>
        <w:numPr>
          <w:ilvl w:val="0"/>
          <w:numId w:val="21"/>
        </w:numPr>
        <w:spacing w:line="360" w:lineRule="auto"/>
        <w:ind w:left="2160" w:hanging="720"/>
        <w:jc w:val="both"/>
        <w:rPr>
          <w:szCs w:val="28"/>
          <w:lang w:eastAsia="zh-HK"/>
        </w:rPr>
      </w:pPr>
      <w:r>
        <w:rPr>
          <w:szCs w:val="28"/>
          <w:lang w:eastAsia="zh-HK"/>
        </w:rPr>
        <w:t>Both e</w:t>
      </w:r>
      <w:r w:rsidR="008806EB" w:rsidRPr="008806EB">
        <w:rPr>
          <w:szCs w:val="28"/>
          <w:lang w:eastAsia="zh-HK"/>
        </w:rPr>
        <w:t xml:space="preserve">xperts agree that there would be </w:t>
      </w:r>
      <w:r w:rsidR="00340A87">
        <w:rPr>
          <w:szCs w:val="28"/>
          <w:lang w:eastAsia="zh-HK"/>
        </w:rPr>
        <w:t xml:space="preserve">some </w:t>
      </w:r>
      <w:r w:rsidR="008806EB" w:rsidRPr="008806EB">
        <w:rPr>
          <w:szCs w:val="28"/>
          <w:lang w:eastAsia="zh-HK"/>
        </w:rPr>
        <w:t>residual attack</w:t>
      </w:r>
      <w:r w:rsidR="00340A87">
        <w:rPr>
          <w:szCs w:val="28"/>
          <w:lang w:eastAsia="zh-HK"/>
        </w:rPr>
        <w:t>s</w:t>
      </w:r>
      <w:r w:rsidR="008806EB" w:rsidRPr="008806EB">
        <w:rPr>
          <w:szCs w:val="28"/>
          <w:lang w:eastAsia="zh-HK"/>
        </w:rPr>
        <w:t xml:space="preserve"> </w:t>
      </w:r>
      <w:r w:rsidR="00340A87">
        <w:rPr>
          <w:szCs w:val="28"/>
          <w:lang w:eastAsia="zh-HK"/>
        </w:rPr>
        <w:t>of left ankle pain and weakness;</w:t>
      </w:r>
    </w:p>
    <w:p w:rsidR="008447B6" w:rsidRDefault="008447B6" w:rsidP="008447B6">
      <w:pPr>
        <w:pStyle w:val="ListParagraph"/>
        <w:spacing w:line="360" w:lineRule="auto"/>
        <w:ind w:left="2160"/>
        <w:jc w:val="both"/>
        <w:rPr>
          <w:szCs w:val="28"/>
          <w:lang w:eastAsia="zh-HK"/>
        </w:rPr>
      </w:pPr>
    </w:p>
    <w:p w:rsidR="008447B6" w:rsidRDefault="00364390" w:rsidP="0086642B">
      <w:pPr>
        <w:pStyle w:val="ListParagraph"/>
        <w:numPr>
          <w:ilvl w:val="0"/>
          <w:numId w:val="21"/>
        </w:numPr>
        <w:spacing w:line="360" w:lineRule="auto"/>
        <w:ind w:left="2160" w:hanging="720"/>
        <w:jc w:val="both"/>
        <w:rPr>
          <w:szCs w:val="28"/>
          <w:lang w:eastAsia="zh-HK"/>
        </w:rPr>
      </w:pPr>
      <w:r>
        <w:rPr>
          <w:szCs w:val="28"/>
          <w:lang w:eastAsia="zh-HK"/>
        </w:rPr>
        <w:t xml:space="preserve">She </w:t>
      </w:r>
      <w:r w:rsidR="00C12E4D">
        <w:rPr>
          <w:szCs w:val="28"/>
          <w:lang w:eastAsia="zh-HK"/>
        </w:rPr>
        <w:t>was given</w:t>
      </w:r>
      <w:r>
        <w:rPr>
          <w:szCs w:val="28"/>
          <w:lang w:eastAsia="zh-HK"/>
        </w:rPr>
        <w:t xml:space="preserve"> </w:t>
      </w:r>
      <w:r w:rsidR="008447B6">
        <w:rPr>
          <w:szCs w:val="28"/>
          <w:lang w:eastAsia="zh-HK"/>
        </w:rPr>
        <w:t xml:space="preserve">sick leave of </w:t>
      </w:r>
      <w:r>
        <w:rPr>
          <w:szCs w:val="28"/>
          <w:lang w:eastAsia="zh-HK"/>
        </w:rPr>
        <w:t>around</w:t>
      </w:r>
      <w:r w:rsidR="00C12E4D">
        <w:rPr>
          <w:szCs w:val="28"/>
          <w:lang w:eastAsia="zh-HK"/>
        </w:rPr>
        <w:t xml:space="preserve"> 36.5</w:t>
      </w:r>
      <w:r w:rsidR="008447B6">
        <w:rPr>
          <w:szCs w:val="28"/>
          <w:lang w:eastAsia="zh-HK"/>
        </w:rPr>
        <w:t xml:space="preserve"> months; and</w:t>
      </w:r>
    </w:p>
    <w:p w:rsidR="00340A87" w:rsidRPr="00340A87" w:rsidRDefault="00340A87" w:rsidP="0086642B">
      <w:pPr>
        <w:pStyle w:val="ListParagraph"/>
        <w:spacing w:line="360" w:lineRule="auto"/>
        <w:rPr>
          <w:szCs w:val="28"/>
          <w:lang w:eastAsia="zh-HK"/>
        </w:rPr>
      </w:pPr>
      <w:bookmarkStart w:id="0" w:name="_GoBack"/>
      <w:bookmarkEnd w:id="0"/>
    </w:p>
    <w:p w:rsidR="00340A87" w:rsidRPr="00F66454" w:rsidRDefault="00340A87" w:rsidP="0086642B">
      <w:pPr>
        <w:pStyle w:val="ListParagraph"/>
        <w:numPr>
          <w:ilvl w:val="0"/>
          <w:numId w:val="21"/>
        </w:numPr>
        <w:spacing w:line="360" w:lineRule="auto"/>
        <w:ind w:left="2160" w:hanging="720"/>
        <w:jc w:val="both"/>
        <w:rPr>
          <w:szCs w:val="28"/>
          <w:lang w:eastAsia="zh-HK"/>
        </w:rPr>
      </w:pPr>
      <w:r>
        <w:rPr>
          <w:szCs w:val="28"/>
          <w:lang w:eastAsia="zh-HK"/>
        </w:rPr>
        <w:t>The plaintiff cann</w:t>
      </w:r>
      <w:r w:rsidR="002E4F83">
        <w:rPr>
          <w:szCs w:val="28"/>
          <w:lang w:eastAsia="zh-HK"/>
        </w:rPr>
        <w:t>ot stand or walk for more than 2-3 hours</w:t>
      </w:r>
      <w:r w:rsidR="004122B5">
        <w:rPr>
          <w:szCs w:val="28"/>
          <w:lang w:eastAsia="zh-HK"/>
        </w:rPr>
        <w:t xml:space="preserve"> which makes it </w:t>
      </w:r>
      <w:r w:rsidR="003076D4">
        <w:rPr>
          <w:szCs w:val="28"/>
          <w:lang w:eastAsia="zh-HK"/>
        </w:rPr>
        <w:t xml:space="preserve">extremely difficult if not </w:t>
      </w:r>
      <w:r w:rsidR="003076D4">
        <w:rPr>
          <w:szCs w:val="28"/>
          <w:lang w:eastAsia="zh-HK"/>
        </w:rPr>
        <w:lastRenderedPageBreak/>
        <w:t xml:space="preserve">impossible </w:t>
      </w:r>
      <w:r w:rsidR="004122B5">
        <w:rPr>
          <w:szCs w:val="28"/>
          <w:lang w:eastAsia="zh-HK"/>
        </w:rPr>
        <w:t>for her to return to her pre-accident job</w:t>
      </w:r>
      <w:r w:rsidR="00B4117B">
        <w:rPr>
          <w:szCs w:val="28"/>
          <w:lang w:eastAsia="zh-HK"/>
        </w:rPr>
        <w:t xml:space="preserve"> in a busy shoe shop</w:t>
      </w:r>
      <w:r w:rsidR="002E4F83">
        <w:rPr>
          <w:szCs w:val="28"/>
          <w:lang w:eastAsia="zh-HK"/>
        </w:rPr>
        <w:t xml:space="preserve">. </w:t>
      </w:r>
      <w:r w:rsidR="00FC270D">
        <w:rPr>
          <w:szCs w:val="28"/>
          <w:lang w:eastAsia="zh-HK"/>
        </w:rPr>
        <w:t xml:space="preserve"> </w:t>
      </w:r>
    </w:p>
    <w:p w:rsidR="008806EB" w:rsidRPr="008806EB" w:rsidRDefault="008806EB" w:rsidP="0086642B">
      <w:pPr>
        <w:pStyle w:val="ListParagraph"/>
        <w:spacing w:line="360" w:lineRule="auto"/>
        <w:ind w:left="0"/>
        <w:rPr>
          <w:szCs w:val="28"/>
          <w:lang w:eastAsia="zh-HK"/>
        </w:rPr>
      </w:pPr>
    </w:p>
    <w:p w:rsidR="00817CBC" w:rsidRDefault="003076D4" w:rsidP="0086642B">
      <w:pPr>
        <w:pStyle w:val="ListParagraph"/>
        <w:numPr>
          <w:ilvl w:val="0"/>
          <w:numId w:val="17"/>
        </w:numPr>
        <w:spacing w:line="360" w:lineRule="auto"/>
        <w:ind w:left="0" w:firstLine="0"/>
        <w:jc w:val="both"/>
        <w:rPr>
          <w:szCs w:val="28"/>
          <w:lang w:eastAsia="zh-HK"/>
        </w:rPr>
      </w:pPr>
      <w:r>
        <w:rPr>
          <w:szCs w:val="28"/>
          <w:lang w:eastAsia="zh-HK"/>
        </w:rPr>
        <w:t>In my judgment, the plain</w:t>
      </w:r>
      <w:r w:rsidR="00817CBC">
        <w:rPr>
          <w:szCs w:val="28"/>
          <w:lang w:eastAsia="zh-HK"/>
        </w:rPr>
        <w:t>t</w:t>
      </w:r>
      <w:r>
        <w:rPr>
          <w:szCs w:val="28"/>
          <w:lang w:eastAsia="zh-HK"/>
        </w:rPr>
        <w:t>iff’s injuries and condition are more akin to those suffered by the victims in the less serious cases c</w:t>
      </w:r>
      <w:r w:rsidR="00817CBC">
        <w:rPr>
          <w:szCs w:val="28"/>
          <w:lang w:eastAsia="zh-HK"/>
        </w:rPr>
        <w:t>ited by Mr W</w:t>
      </w:r>
      <w:r>
        <w:rPr>
          <w:szCs w:val="28"/>
          <w:lang w:eastAsia="zh-HK"/>
        </w:rPr>
        <w:t>ong than th</w:t>
      </w:r>
      <w:r w:rsidR="00817CBC">
        <w:rPr>
          <w:szCs w:val="28"/>
          <w:lang w:eastAsia="zh-HK"/>
        </w:rPr>
        <w:t xml:space="preserve">e more serious cases cited by him and Mr Poon.  </w:t>
      </w:r>
      <w:r w:rsidR="00492E1B">
        <w:rPr>
          <w:szCs w:val="28"/>
          <w:lang w:eastAsia="zh-HK"/>
        </w:rPr>
        <w:t xml:space="preserve">In particular, I find they are similar to those suffered by the plaintiffs in </w:t>
      </w:r>
      <w:r w:rsidR="00492E1B" w:rsidRPr="00492E1B">
        <w:rPr>
          <w:i/>
          <w:szCs w:val="28"/>
          <w:lang w:eastAsia="zh-HK"/>
        </w:rPr>
        <w:t>Li Chi Sing</w:t>
      </w:r>
      <w:r w:rsidR="00CA4C8A">
        <w:rPr>
          <w:i/>
          <w:szCs w:val="28"/>
          <w:lang w:eastAsia="zh-HK"/>
        </w:rPr>
        <w:t xml:space="preserve"> </w:t>
      </w:r>
      <w:r w:rsidR="00492E1B">
        <w:rPr>
          <w:szCs w:val="28"/>
          <w:lang w:eastAsia="zh-HK"/>
        </w:rPr>
        <w:t xml:space="preserve">and </w:t>
      </w:r>
      <w:r w:rsidR="00CA4C8A">
        <w:rPr>
          <w:i/>
          <w:szCs w:val="28"/>
          <w:lang w:eastAsia="zh-HK"/>
        </w:rPr>
        <w:t>Tsui Wai Ho</w:t>
      </w:r>
      <w:r w:rsidR="004B18D1">
        <w:rPr>
          <w:szCs w:val="28"/>
          <w:lang w:eastAsia="zh-HK"/>
        </w:rPr>
        <w:t xml:space="preserve">. </w:t>
      </w:r>
      <w:r w:rsidR="00817CBC">
        <w:rPr>
          <w:szCs w:val="28"/>
          <w:lang w:eastAsia="zh-HK"/>
        </w:rPr>
        <w:t xml:space="preserve">Having taking into account of the above special features in this case, I consider that an award of $250,000 </w:t>
      </w:r>
      <w:r w:rsidR="004B18D1">
        <w:rPr>
          <w:szCs w:val="28"/>
          <w:lang w:eastAsia="zh-HK"/>
        </w:rPr>
        <w:t>is</w:t>
      </w:r>
      <w:r w:rsidR="00817CBC">
        <w:rPr>
          <w:szCs w:val="28"/>
          <w:lang w:eastAsia="zh-HK"/>
        </w:rPr>
        <w:t xml:space="preserve"> reasonable to represent the PSLA award in this case.  I so award such sum</w:t>
      </w:r>
      <w:r w:rsidR="00B4117B">
        <w:rPr>
          <w:szCs w:val="28"/>
          <w:lang w:eastAsia="zh-HK"/>
        </w:rPr>
        <w:t xml:space="preserve"> under this head</w:t>
      </w:r>
      <w:r w:rsidR="00817CBC">
        <w:rPr>
          <w:szCs w:val="28"/>
          <w:lang w:eastAsia="zh-HK"/>
        </w:rPr>
        <w:t>.</w:t>
      </w:r>
    </w:p>
    <w:p w:rsidR="00817CBC" w:rsidRDefault="00817CBC" w:rsidP="0086642B">
      <w:pPr>
        <w:spacing w:line="360" w:lineRule="auto"/>
        <w:jc w:val="both"/>
        <w:rPr>
          <w:szCs w:val="28"/>
          <w:lang w:eastAsia="zh-HK"/>
        </w:rPr>
      </w:pPr>
    </w:p>
    <w:p w:rsidR="00817CBC" w:rsidRPr="00831E50" w:rsidRDefault="00EC7ECC" w:rsidP="00185D51">
      <w:pPr>
        <w:pStyle w:val="ListParagraph"/>
        <w:widowControl w:val="0"/>
        <w:numPr>
          <w:ilvl w:val="0"/>
          <w:numId w:val="32"/>
        </w:numPr>
        <w:tabs>
          <w:tab w:val="clear" w:pos="1440"/>
          <w:tab w:val="clear" w:pos="4320"/>
          <w:tab w:val="clear" w:pos="9072"/>
        </w:tabs>
        <w:spacing w:line="360" w:lineRule="auto"/>
        <w:ind w:left="0" w:firstLine="0"/>
        <w:contextualSpacing/>
        <w:jc w:val="both"/>
        <w:rPr>
          <w:i/>
          <w:iCs/>
          <w:szCs w:val="28"/>
          <w:lang w:eastAsia="zh-HK"/>
        </w:rPr>
      </w:pPr>
      <w:r>
        <w:rPr>
          <w:i/>
          <w:iCs/>
          <w:szCs w:val="28"/>
          <w:lang w:eastAsia="zh-HK"/>
        </w:rPr>
        <w:t>Pre-trial l</w:t>
      </w:r>
      <w:r w:rsidR="00817CBC" w:rsidRPr="00831E50">
        <w:rPr>
          <w:i/>
          <w:iCs/>
          <w:szCs w:val="28"/>
          <w:lang w:eastAsia="zh-HK"/>
        </w:rPr>
        <w:t>oss of earnings</w:t>
      </w:r>
    </w:p>
    <w:p w:rsidR="00817CBC" w:rsidRDefault="00817CBC" w:rsidP="0086642B">
      <w:pPr>
        <w:spacing w:line="360" w:lineRule="auto"/>
        <w:jc w:val="both"/>
        <w:rPr>
          <w:szCs w:val="28"/>
          <w:lang w:eastAsia="zh-HK"/>
        </w:rPr>
      </w:pPr>
    </w:p>
    <w:p w:rsidR="009B29D1" w:rsidRPr="00884BE8" w:rsidRDefault="009B29D1" w:rsidP="0086642B">
      <w:pPr>
        <w:pStyle w:val="ListParagraph"/>
        <w:numPr>
          <w:ilvl w:val="0"/>
          <w:numId w:val="17"/>
        </w:numPr>
        <w:spacing w:line="360" w:lineRule="auto"/>
        <w:ind w:left="0" w:firstLine="0"/>
        <w:jc w:val="both"/>
        <w:rPr>
          <w:szCs w:val="28"/>
          <w:lang w:eastAsia="zh-HK"/>
        </w:rPr>
      </w:pPr>
      <w:r>
        <w:rPr>
          <w:rFonts w:eastAsia="PMingLiU"/>
          <w:szCs w:val="28"/>
          <w:lang w:eastAsia="zh-TW"/>
        </w:rPr>
        <w:t>Based on the evidence given by the plaintiff</w:t>
      </w:r>
      <w:r w:rsidR="00614DF3">
        <w:rPr>
          <w:rFonts w:eastAsia="PMingLiU"/>
          <w:szCs w:val="28"/>
          <w:lang w:eastAsia="zh-TW"/>
        </w:rPr>
        <w:t xml:space="preserve"> at the assessment hearing</w:t>
      </w:r>
      <w:r>
        <w:rPr>
          <w:rFonts w:eastAsia="PMingLiU"/>
          <w:szCs w:val="28"/>
          <w:lang w:eastAsia="zh-TW"/>
        </w:rPr>
        <w:t>,</w:t>
      </w:r>
      <w:r w:rsidR="008B68BC">
        <w:rPr>
          <w:rFonts w:eastAsia="PMingLiU"/>
          <w:szCs w:val="28"/>
          <w:lang w:eastAsia="zh-TW"/>
        </w:rPr>
        <w:t xml:space="preserve"> I find</w:t>
      </w:r>
      <w:r>
        <w:rPr>
          <w:rFonts w:eastAsia="PMingLiU"/>
          <w:szCs w:val="28"/>
          <w:lang w:eastAsia="zh-TW"/>
        </w:rPr>
        <w:t xml:space="preserve"> it was reasonable for her not been able to return to her pre-accident job as a saleslady in a busy shoe shop with the defendant.  I further find that she has taken reasonable steps in mitigating her loss by looking for and at least tried </w:t>
      </w:r>
      <w:r w:rsidR="00614DF3">
        <w:rPr>
          <w:rFonts w:eastAsia="PMingLiU"/>
          <w:szCs w:val="28"/>
          <w:lang w:eastAsia="zh-TW"/>
        </w:rPr>
        <w:t xml:space="preserve">once </w:t>
      </w:r>
      <w:r>
        <w:rPr>
          <w:rFonts w:eastAsia="PMingLiU"/>
          <w:szCs w:val="28"/>
          <w:lang w:eastAsia="zh-TW"/>
        </w:rPr>
        <w:t xml:space="preserve">to work in jobs similar to her pre-accident employment.  I accept that </w:t>
      </w:r>
      <w:r w:rsidR="008C07AF">
        <w:rPr>
          <w:rFonts w:eastAsia="PMingLiU"/>
          <w:szCs w:val="28"/>
          <w:lang w:eastAsia="zh-TW"/>
        </w:rPr>
        <w:t xml:space="preserve">it was reasonable for her </w:t>
      </w:r>
      <w:r>
        <w:rPr>
          <w:rFonts w:eastAsia="PMingLiU"/>
          <w:szCs w:val="28"/>
          <w:lang w:eastAsia="zh-TW"/>
        </w:rPr>
        <w:t>not to</w:t>
      </w:r>
      <w:r w:rsidR="008C07AF">
        <w:rPr>
          <w:rFonts w:eastAsia="PMingLiU"/>
          <w:szCs w:val="28"/>
          <w:lang w:eastAsia="zh-TW"/>
        </w:rPr>
        <w:t xml:space="preserve"> return to th</w:t>
      </w:r>
      <w:r w:rsidR="00B12B2E">
        <w:rPr>
          <w:rFonts w:eastAsia="PMingLiU"/>
          <w:szCs w:val="28"/>
          <w:lang w:eastAsia="zh-TW"/>
        </w:rPr>
        <w:t>e retail industry which requires</w:t>
      </w:r>
      <w:r w:rsidR="008C07AF">
        <w:rPr>
          <w:rFonts w:eastAsia="PMingLiU"/>
          <w:szCs w:val="28"/>
          <w:lang w:eastAsia="zh-TW"/>
        </w:rPr>
        <w:t xml:space="preserve"> long hours of standing and walking.  I consider that the office assistant job she was able to find since </w:t>
      </w:r>
      <w:r w:rsidR="0086663C">
        <w:rPr>
          <w:rFonts w:eastAsia="PMingLiU"/>
          <w:szCs w:val="28"/>
          <w:lang w:eastAsia="zh-TW"/>
        </w:rPr>
        <w:t xml:space="preserve">1 </w:t>
      </w:r>
      <w:r w:rsidR="008C07AF">
        <w:rPr>
          <w:rFonts w:eastAsia="PMingLiU"/>
          <w:szCs w:val="28"/>
          <w:lang w:eastAsia="zh-TW"/>
        </w:rPr>
        <w:t xml:space="preserve">July 2019 </w:t>
      </w:r>
      <w:r w:rsidR="00884BE8">
        <w:rPr>
          <w:rFonts w:eastAsia="PMingLiU"/>
          <w:szCs w:val="28"/>
          <w:lang w:eastAsia="zh-TW"/>
        </w:rPr>
        <w:t xml:space="preserve">(until now) </w:t>
      </w:r>
      <w:r w:rsidR="008C07AF">
        <w:rPr>
          <w:rFonts w:eastAsia="PMingLiU"/>
          <w:szCs w:val="28"/>
          <w:lang w:eastAsia="zh-TW"/>
        </w:rPr>
        <w:t xml:space="preserve">is a suitable one </w:t>
      </w:r>
      <w:r w:rsidR="008B68BC">
        <w:rPr>
          <w:rFonts w:eastAsia="PMingLiU"/>
          <w:szCs w:val="28"/>
          <w:lang w:eastAsia="zh-TW"/>
        </w:rPr>
        <w:t xml:space="preserve">for her </w:t>
      </w:r>
      <w:r w:rsidR="008C07AF">
        <w:rPr>
          <w:rFonts w:eastAsia="PMingLiU"/>
          <w:szCs w:val="28"/>
          <w:lang w:eastAsia="zh-TW"/>
        </w:rPr>
        <w:t>in light of her injuries</w:t>
      </w:r>
      <w:r w:rsidR="008B68BC">
        <w:rPr>
          <w:rFonts w:eastAsia="PMingLiU"/>
          <w:szCs w:val="28"/>
          <w:lang w:eastAsia="zh-TW"/>
        </w:rPr>
        <w:t xml:space="preserve"> and present condition</w:t>
      </w:r>
      <w:r w:rsidR="008C07AF">
        <w:rPr>
          <w:rFonts w:eastAsia="PMingLiU"/>
          <w:szCs w:val="28"/>
          <w:lang w:eastAsia="zh-TW"/>
        </w:rPr>
        <w:t xml:space="preserve">.  </w:t>
      </w:r>
    </w:p>
    <w:p w:rsidR="00884BE8" w:rsidRPr="00904447" w:rsidRDefault="00884BE8" w:rsidP="0086642B">
      <w:pPr>
        <w:pStyle w:val="ListParagraph"/>
        <w:spacing w:line="360" w:lineRule="auto"/>
        <w:ind w:left="0"/>
        <w:jc w:val="both"/>
        <w:rPr>
          <w:szCs w:val="28"/>
          <w:lang w:eastAsia="zh-HK"/>
        </w:rPr>
      </w:pPr>
    </w:p>
    <w:p w:rsidR="00B12B2E" w:rsidRDefault="00884BE8" w:rsidP="0086642B">
      <w:pPr>
        <w:pStyle w:val="ListParagraph"/>
        <w:numPr>
          <w:ilvl w:val="0"/>
          <w:numId w:val="17"/>
        </w:numPr>
        <w:spacing w:line="360" w:lineRule="auto"/>
        <w:ind w:left="0" w:firstLine="0"/>
        <w:jc w:val="both"/>
        <w:rPr>
          <w:szCs w:val="28"/>
          <w:lang w:eastAsia="zh-HK"/>
        </w:rPr>
      </w:pPr>
      <w:r w:rsidRPr="00954E0E">
        <w:rPr>
          <w:szCs w:val="28"/>
          <w:lang w:eastAsia="zh-HK"/>
        </w:rPr>
        <w:t xml:space="preserve">For the would be earnings of the plaintiff </w:t>
      </w:r>
      <w:r w:rsidR="0055322E">
        <w:rPr>
          <w:szCs w:val="28"/>
          <w:lang w:eastAsia="zh-HK"/>
        </w:rPr>
        <w:t xml:space="preserve">with the defendant </w:t>
      </w:r>
      <w:r w:rsidRPr="00954E0E">
        <w:rPr>
          <w:szCs w:val="28"/>
          <w:lang w:eastAsia="zh-HK"/>
        </w:rPr>
        <w:t xml:space="preserve">today had it not been for the Accident, </w:t>
      </w:r>
      <w:r w:rsidR="00025BCA" w:rsidRPr="00954E0E">
        <w:rPr>
          <w:szCs w:val="28"/>
          <w:lang w:eastAsia="zh-HK"/>
        </w:rPr>
        <w:t xml:space="preserve">I do not accept the </w:t>
      </w:r>
      <w:r w:rsidR="00954E0E" w:rsidRPr="00954E0E">
        <w:rPr>
          <w:szCs w:val="28"/>
          <w:lang w:eastAsia="zh-HK"/>
        </w:rPr>
        <w:t xml:space="preserve">earnings of the 2 </w:t>
      </w:r>
      <w:r w:rsidR="00CA4C8A">
        <w:rPr>
          <w:szCs w:val="28"/>
          <w:lang w:eastAsia="zh-HK"/>
        </w:rPr>
        <w:t>supposed</w:t>
      </w:r>
      <w:r w:rsidR="00954E0E">
        <w:rPr>
          <w:szCs w:val="28"/>
          <w:lang w:eastAsia="zh-HK"/>
        </w:rPr>
        <w:t xml:space="preserve"> “comparable” workers put </w:t>
      </w:r>
      <w:r w:rsidR="00616E40">
        <w:rPr>
          <w:szCs w:val="28"/>
          <w:lang w:eastAsia="zh-HK"/>
        </w:rPr>
        <w:t xml:space="preserve">forward by the defendant are good </w:t>
      </w:r>
      <w:r w:rsidR="00C948BA">
        <w:rPr>
          <w:szCs w:val="28"/>
          <w:lang w:eastAsia="zh-HK"/>
        </w:rPr>
        <w:t>comparison</w:t>
      </w:r>
      <w:r w:rsidR="00616E40">
        <w:rPr>
          <w:szCs w:val="28"/>
          <w:lang w:eastAsia="zh-HK"/>
        </w:rPr>
        <w:t xml:space="preserve"> for several reasons.  </w:t>
      </w:r>
    </w:p>
    <w:p w:rsidR="00B12B2E" w:rsidRPr="00B12B2E" w:rsidRDefault="00B12B2E" w:rsidP="00B12B2E">
      <w:pPr>
        <w:pStyle w:val="ListParagraph"/>
        <w:rPr>
          <w:szCs w:val="28"/>
          <w:lang w:eastAsia="zh-HK"/>
        </w:rPr>
      </w:pPr>
    </w:p>
    <w:p w:rsidR="009B29D1" w:rsidRDefault="00616E40" w:rsidP="0086642B">
      <w:pPr>
        <w:pStyle w:val="ListParagraph"/>
        <w:numPr>
          <w:ilvl w:val="0"/>
          <w:numId w:val="17"/>
        </w:numPr>
        <w:spacing w:line="360" w:lineRule="auto"/>
        <w:ind w:left="0" w:firstLine="0"/>
        <w:jc w:val="both"/>
        <w:rPr>
          <w:szCs w:val="28"/>
          <w:lang w:eastAsia="zh-HK"/>
        </w:rPr>
      </w:pPr>
      <w:r>
        <w:rPr>
          <w:szCs w:val="28"/>
          <w:lang w:eastAsia="zh-HK"/>
        </w:rPr>
        <w:lastRenderedPageBreak/>
        <w:t xml:space="preserve">First, </w:t>
      </w:r>
      <w:r w:rsidR="00C948BA">
        <w:rPr>
          <w:szCs w:val="28"/>
          <w:lang w:eastAsia="zh-HK"/>
        </w:rPr>
        <w:t>those 2 workers worked at different shops in different areas.  Second, the shop which the plaintiff had worked in Tseung Kwan O generally reached a</w:t>
      </w:r>
      <w:r w:rsidR="00086361">
        <w:rPr>
          <w:szCs w:val="28"/>
          <w:lang w:eastAsia="zh-HK"/>
        </w:rPr>
        <w:t xml:space="preserve"> higher “commission level” than the shops where the 2 others workers worked in.  Third, </w:t>
      </w:r>
      <w:r w:rsidR="00016E35">
        <w:rPr>
          <w:szCs w:val="28"/>
          <w:lang w:eastAsia="zh-HK"/>
        </w:rPr>
        <w:t xml:space="preserve">the plaintiff earned more commissions, </w:t>
      </w:r>
      <w:r w:rsidR="00086361">
        <w:rPr>
          <w:szCs w:val="28"/>
          <w:lang w:eastAsia="zh-HK"/>
        </w:rPr>
        <w:t>over</w:t>
      </w:r>
      <w:r w:rsidR="00016E35">
        <w:rPr>
          <w:szCs w:val="28"/>
          <w:lang w:eastAsia="zh-HK"/>
        </w:rPr>
        <w:t xml:space="preserve">time payments and the </w:t>
      </w:r>
      <w:r w:rsidR="00086361">
        <w:rPr>
          <w:szCs w:val="28"/>
          <w:lang w:eastAsia="zh-HK"/>
        </w:rPr>
        <w:t xml:space="preserve">attendance bonus than the 2 other workers. </w:t>
      </w:r>
      <w:r w:rsidR="007116AD">
        <w:rPr>
          <w:szCs w:val="28"/>
          <w:lang w:eastAsia="zh-HK"/>
        </w:rPr>
        <w:t xml:space="preserve"> Last but not the least, </w:t>
      </w:r>
      <w:r w:rsidR="00086361">
        <w:rPr>
          <w:szCs w:val="28"/>
          <w:lang w:eastAsia="zh-HK"/>
        </w:rPr>
        <w:t>Ms Chan Yuk Yi (DW1)</w:t>
      </w:r>
      <w:r w:rsidR="007116AD">
        <w:rPr>
          <w:szCs w:val="28"/>
          <w:lang w:eastAsia="zh-HK"/>
        </w:rPr>
        <w:t>,</w:t>
      </w:r>
      <w:r w:rsidR="00086361">
        <w:rPr>
          <w:szCs w:val="28"/>
          <w:lang w:eastAsia="zh-HK"/>
        </w:rPr>
        <w:t xml:space="preserve"> who</w:t>
      </w:r>
      <w:r w:rsidR="007116AD">
        <w:rPr>
          <w:szCs w:val="28"/>
          <w:lang w:eastAsia="zh-HK"/>
        </w:rPr>
        <w:t xml:space="preserve"> </w:t>
      </w:r>
      <w:r w:rsidR="00B12B2E">
        <w:rPr>
          <w:szCs w:val="28"/>
          <w:lang w:eastAsia="zh-HK"/>
        </w:rPr>
        <w:t xml:space="preserve">incidentally </w:t>
      </w:r>
      <w:r w:rsidR="007116AD">
        <w:rPr>
          <w:szCs w:val="28"/>
          <w:lang w:eastAsia="zh-HK"/>
        </w:rPr>
        <w:t xml:space="preserve">was not the person who </w:t>
      </w:r>
      <w:r w:rsidR="003B3041">
        <w:rPr>
          <w:szCs w:val="28"/>
          <w:lang w:eastAsia="zh-HK"/>
        </w:rPr>
        <w:t xml:space="preserve">had </w:t>
      </w:r>
      <w:r w:rsidR="007116AD">
        <w:rPr>
          <w:szCs w:val="28"/>
          <w:lang w:eastAsia="zh-HK"/>
        </w:rPr>
        <w:t xml:space="preserve">compiled the information </w:t>
      </w:r>
      <w:r w:rsidR="003B3041">
        <w:rPr>
          <w:szCs w:val="28"/>
          <w:lang w:eastAsia="zh-HK"/>
        </w:rPr>
        <w:t xml:space="preserve">for the comparable workers, </w:t>
      </w:r>
      <w:r w:rsidR="007116AD">
        <w:rPr>
          <w:szCs w:val="28"/>
          <w:lang w:eastAsia="zh-HK"/>
        </w:rPr>
        <w:t>accepted that the 2 w</w:t>
      </w:r>
      <w:r w:rsidR="003B3041">
        <w:rPr>
          <w:szCs w:val="28"/>
          <w:lang w:eastAsia="zh-HK"/>
        </w:rPr>
        <w:t xml:space="preserve">orkers were not good comparison </w:t>
      </w:r>
      <w:r w:rsidR="007116AD">
        <w:rPr>
          <w:szCs w:val="28"/>
          <w:lang w:eastAsia="zh-HK"/>
        </w:rPr>
        <w:t>under cross-examination</w:t>
      </w:r>
      <w:r w:rsidR="003B3041">
        <w:rPr>
          <w:szCs w:val="28"/>
          <w:lang w:eastAsia="zh-HK"/>
        </w:rPr>
        <w:t>.  S</w:t>
      </w:r>
      <w:r w:rsidR="007116AD">
        <w:rPr>
          <w:szCs w:val="28"/>
          <w:lang w:eastAsia="zh-HK"/>
        </w:rPr>
        <w:t xml:space="preserve">he could not </w:t>
      </w:r>
      <w:r w:rsidR="003B3041">
        <w:rPr>
          <w:szCs w:val="28"/>
          <w:lang w:eastAsia="zh-HK"/>
        </w:rPr>
        <w:t xml:space="preserve">however </w:t>
      </w:r>
      <w:r w:rsidR="007116AD">
        <w:rPr>
          <w:szCs w:val="28"/>
          <w:lang w:eastAsia="zh-HK"/>
        </w:rPr>
        <w:t>explain why these 2 workers had been chosen by her former senior colle</w:t>
      </w:r>
      <w:r w:rsidR="003B3041">
        <w:rPr>
          <w:szCs w:val="28"/>
          <w:lang w:eastAsia="zh-HK"/>
        </w:rPr>
        <w:t>a</w:t>
      </w:r>
      <w:r w:rsidR="007116AD">
        <w:rPr>
          <w:szCs w:val="28"/>
          <w:lang w:eastAsia="zh-HK"/>
        </w:rPr>
        <w:t>g</w:t>
      </w:r>
      <w:r w:rsidR="003B3041">
        <w:rPr>
          <w:szCs w:val="28"/>
          <w:lang w:eastAsia="zh-HK"/>
        </w:rPr>
        <w:t>u</w:t>
      </w:r>
      <w:r w:rsidR="007116AD">
        <w:rPr>
          <w:szCs w:val="28"/>
          <w:lang w:eastAsia="zh-HK"/>
        </w:rPr>
        <w:t>e Ms Dream Hui wh</w:t>
      </w:r>
      <w:r w:rsidR="003B3041">
        <w:rPr>
          <w:szCs w:val="28"/>
          <w:lang w:eastAsia="zh-HK"/>
        </w:rPr>
        <w:t>o was the Retail Manager responsible for overseeing over 30 shops for the defendant.</w:t>
      </w:r>
      <w:r w:rsidR="00016E35">
        <w:rPr>
          <w:szCs w:val="28"/>
          <w:lang w:eastAsia="zh-HK"/>
        </w:rPr>
        <w:t xml:space="preserve">  </w:t>
      </w:r>
      <w:r w:rsidR="00B12B2E">
        <w:rPr>
          <w:szCs w:val="28"/>
          <w:lang w:eastAsia="zh-HK"/>
        </w:rPr>
        <w:t>I think t</w:t>
      </w:r>
      <w:r w:rsidR="00016E35">
        <w:rPr>
          <w:szCs w:val="28"/>
          <w:lang w:eastAsia="zh-HK"/>
        </w:rPr>
        <w:t xml:space="preserve">he </w:t>
      </w:r>
      <w:r w:rsidR="00CA4C8A">
        <w:rPr>
          <w:szCs w:val="28"/>
          <w:lang w:eastAsia="zh-HK"/>
        </w:rPr>
        <w:t xml:space="preserve">inevitable </w:t>
      </w:r>
      <w:r w:rsidR="00016E35">
        <w:rPr>
          <w:szCs w:val="28"/>
          <w:lang w:eastAsia="zh-HK"/>
        </w:rPr>
        <w:t xml:space="preserve">inference must be that the defendant has deliberately chosen 2 workers who were earning substantially less than the plaintiff at the time </w:t>
      </w:r>
      <w:r w:rsidR="00CA4C8A">
        <w:rPr>
          <w:szCs w:val="28"/>
          <w:lang w:eastAsia="zh-HK"/>
        </w:rPr>
        <w:t>of the A</w:t>
      </w:r>
      <w:r w:rsidR="00B12B2E">
        <w:rPr>
          <w:szCs w:val="28"/>
          <w:lang w:eastAsia="zh-HK"/>
        </w:rPr>
        <w:t xml:space="preserve">ccident for </w:t>
      </w:r>
      <w:r w:rsidR="004B4608">
        <w:rPr>
          <w:szCs w:val="28"/>
          <w:lang w:eastAsia="zh-HK"/>
        </w:rPr>
        <w:t>comparison</w:t>
      </w:r>
      <w:r w:rsidR="00B12B2E">
        <w:rPr>
          <w:szCs w:val="28"/>
          <w:lang w:eastAsia="zh-HK"/>
        </w:rPr>
        <w:t xml:space="preserve"> purposes</w:t>
      </w:r>
      <w:r w:rsidR="00EC7ECC">
        <w:rPr>
          <w:szCs w:val="28"/>
          <w:lang w:eastAsia="zh-HK"/>
        </w:rPr>
        <w:t>.</w:t>
      </w:r>
      <w:r w:rsidR="003B3041">
        <w:rPr>
          <w:szCs w:val="28"/>
          <w:lang w:eastAsia="zh-HK"/>
        </w:rPr>
        <w:t xml:space="preserve"> </w:t>
      </w:r>
      <w:r w:rsidR="007116AD">
        <w:rPr>
          <w:szCs w:val="28"/>
          <w:lang w:eastAsia="zh-HK"/>
        </w:rPr>
        <w:t xml:space="preserve"> </w:t>
      </w:r>
      <w:r w:rsidR="00086361">
        <w:rPr>
          <w:szCs w:val="28"/>
          <w:lang w:eastAsia="zh-HK"/>
        </w:rPr>
        <w:t xml:space="preserve">     </w:t>
      </w:r>
      <w:r w:rsidR="00C948BA">
        <w:rPr>
          <w:szCs w:val="28"/>
          <w:lang w:eastAsia="zh-HK"/>
        </w:rPr>
        <w:t xml:space="preserve"> </w:t>
      </w:r>
    </w:p>
    <w:p w:rsidR="00954E0E" w:rsidRPr="00954E0E" w:rsidRDefault="00954E0E" w:rsidP="0086642B">
      <w:pPr>
        <w:pStyle w:val="ListParagraph"/>
        <w:spacing w:line="360" w:lineRule="auto"/>
        <w:rPr>
          <w:szCs w:val="28"/>
          <w:lang w:eastAsia="zh-HK"/>
        </w:rPr>
      </w:pPr>
    </w:p>
    <w:p w:rsidR="00474CFD" w:rsidRDefault="003B3041" w:rsidP="0086642B">
      <w:pPr>
        <w:pStyle w:val="ListParagraph"/>
        <w:numPr>
          <w:ilvl w:val="0"/>
          <w:numId w:val="17"/>
        </w:numPr>
        <w:spacing w:line="360" w:lineRule="auto"/>
        <w:ind w:left="0" w:firstLine="0"/>
        <w:jc w:val="both"/>
        <w:rPr>
          <w:szCs w:val="28"/>
          <w:lang w:eastAsia="zh-HK"/>
        </w:rPr>
      </w:pPr>
      <w:r>
        <w:rPr>
          <w:szCs w:val="28"/>
          <w:lang w:eastAsia="zh-HK"/>
        </w:rPr>
        <w:t xml:space="preserve">However, </w:t>
      </w:r>
      <w:r w:rsidRPr="00904447">
        <w:rPr>
          <w:szCs w:val="28"/>
          <w:lang w:eastAsia="zh-HK"/>
        </w:rPr>
        <w:t xml:space="preserve">despite </w:t>
      </w:r>
      <w:r>
        <w:rPr>
          <w:szCs w:val="28"/>
          <w:lang w:eastAsia="zh-HK"/>
        </w:rPr>
        <w:t xml:space="preserve">the fact that they are </w:t>
      </w:r>
      <w:r w:rsidRPr="00904447">
        <w:rPr>
          <w:szCs w:val="28"/>
          <w:lang w:eastAsia="zh-HK"/>
        </w:rPr>
        <w:t xml:space="preserve">not </w:t>
      </w:r>
      <w:r>
        <w:rPr>
          <w:szCs w:val="28"/>
          <w:lang w:eastAsia="zh-HK"/>
        </w:rPr>
        <w:t>good</w:t>
      </w:r>
      <w:r w:rsidRPr="00904447">
        <w:rPr>
          <w:szCs w:val="28"/>
          <w:lang w:eastAsia="zh-HK"/>
        </w:rPr>
        <w:t xml:space="preserve"> comparable</w:t>
      </w:r>
      <w:r w:rsidR="00016E35">
        <w:rPr>
          <w:szCs w:val="28"/>
          <w:lang w:eastAsia="zh-HK"/>
        </w:rPr>
        <w:t>s</w:t>
      </w:r>
      <w:r w:rsidR="00F7310E">
        <w:rPr>
          <w:szCs w:val="28"/>
          <w:lang w:eastAsia="zh-HK"/>
        </w:rPr>
        <w:t>, based on the increase in their</w:t>
      </w:r>
      <w:r w:rsidRPr="00904447">
        <w:rPr>
          <w:szCs w:val="28"/>
          <w:lang w:eastAsia="zh-HK"/>
        </w:rPr>
        <w:t xml:space="preserve"> basic salary, commission</w:t>
      </w:r>
      <w:r w:rsidR="002221FE">
        <w:rPr>
          <w:szCs w:val="28"/>
          <w:lang w:eastAsia="zh-HK"/>
        </w:rPr>
        <w:t xml:space="preserve"> and</w:t>
      </w:r>
      <w:r w:rsidRPr="00904447">
        <w:rPr>
          <w:szCs w:val="28"/>
          <w:lang w:eastAsia="zh-HK"/>
        </w:rPr>
        <w:t xml:space="preserve"> attendance bonus</w:t>
      </w:r>
      <w:r w:rsidR="002221FE">
        <w:rPr>
          <w:szCs w:val="28"/>
          <w:lang w:eastAsia="zh-HK"/>
        </w:rPr>
        <w:t>,</w:t>
      </w:r>
      <w:r w:rsidR="00F7310E">
        <w:rPr>
          <w:szCs w:val="28"/>
          <w:lang w:eastAsia="zh-HK"/>
        </w:rPr>
        <w:t xml:space="preserve"> I</w:t>
      </w:r>
      <w:r w:rsidR="001817C1">
        <w:rPr>
          <w:szCs w:val="28"/>
          <w:lang w:eastAsia="zh-HK"/>
        </w:rPr>
        <w:t xml:space="preserve"> find there </w:t>
      </w:r>
      <w:r w:rsidR="00CA4C8A">
        <w:rPr>
          <w:szCs w:val="28"/>
          <w:lang w:eastAsia="zh-HK"/>
        </w:rPr>
        <w:t xml:space="preserve">will at least </w:t>
      </w:r>
      <w:r w:rsidR="001817C1">
        <w:rPr>
          <w:szCs w:val="28"/>
          <w:lang w:eastAsia="zh-HK"/>
        </w:rPr>
        <w:t>be a corresponding increase in the</w:t>
      </w:r>
      <w:r w:rsidRPr="00904447">
        <w:rPr>
          <w:szCs w:val="28"/>
          <w:lang w:eastAsia="zh-HK"/>
        </w:rPr>
        <w:t xml:space="preserve"> </w:t>
      </w:r>
      <w:r w:rsidR="00474CFD">
        <w:rPr>
          <w:szCs w:val="28"/>
          <w:lang w:eastAsia="zh-HK"/>
        </w:rPr>
        <w:t>plaintiff’s would be income had she been able to continue to work for the defendant after the Accident.</w:t>
      </w:r>
    </w:p>
    <w:p w:rsidR="00474CFD" w:rsidRPr="00474CFD" w:rsidRDefault="00474CFD" w:rsidP="0086642B">
      <w:pPr>
        <w:pStyle w:val="ListParagraph"/>
        <w:spacing w:line="360" w:lineRule="auto"/>
        <w:rPr>
          <w:szCs w:val="28"/>
          <w:lang w:eastAsia="zh-HK"/>
        </w:rPr>
      </w:pPr>
    </w:p>
    <w:p w:rsidR="003B3041" w:rsidRPr="00474CFD" w:rsidRDefault="003B3041" w:rsidP="0086642B">
      <w:pPr>
        <w:pStyle w:val="ListParagraph"/>
        <w:numPr>
          <w:ilvl w:val="0"/>
          <w:numId w:val="17"/>
        </w:numPr>
        <w:spacing w:line="360" w:lineRule="auto"/>
        <w:ind w:left="0" w:firstLine="0"/>
        <w:jc w:val="both"/>
        <w:rPr>
          <w:szCs w:val="28"/>
          <w:lang w:eastAsia="zh-HK"/>
        </w:rPr>
      </w:pPr>
      <w:r w:rsidRPr="00474CFD">
        <w:rPr>
          <w:szCs w:val="28"/>
          <w:lang w:eastAsia="zh-HK"/>
        </w:rPr>
        <w:t xml:space="preserve"> For the first comparable worker</w:t>
      </w:r>
      <w:r w:rsidR="00474CFD">
        <w:rPr>
          <w:szCs w:val="28"/>
          <w:lang w:eastAsia="zh-HK"/>
        </w:rPr>
        <w:t>, the following increase could be found</w:t>
      </w:r>
      <w:r w:rsidR="002221FE">
        <w:rPr>
          <w:szCs w:val="28"/>
          <w:lang w:eastAsia="zh-HK"/>
        </w:rPr>
        <w:t xml:space="preserve"> from the records disclosed by the defendant</w:t>
      </w:r>
      <w:r w:rsidR="00474CFD">
        <w:rPr>
          <w:szCs w:val="28"/>
          <w:lang w:eastAsia="zh-HK"/>
        </w:rPr>
        <w:t>:-</w:t>
      </w:r>
    </w:p>
    <w:p w:rsidR="003B3041" w:rsidRPr="00904447" w:rsidRDefault="003B3041" w:rsidP="0086642B">
      <w:pPr>
        <w:pStyle w:val="ListParagraph"/>
        <w:spacing w:line="360" w:lineRule="auto"/>
        <w:rPr>
          <w:szCs w:val="28"/>
          <w:lang w:eastAsia="zh-HK"/>
        </w:rPr>
      </w:pPr>
    </w:p>
    <w:p w:rsidR="003B3041" w:rsidRPr="009C3A6C" w:rsidRDefault="003B3041" w:rsidP="00185D51">
      <w:pPr>
        <w:pStyle w:val="ListParagraph"/>
        <w:widowControl w:val="0"/>
        <w:numPr>
          <w:ilvl w:val="0"/>
          <w:numId w:val="25"/>
        </w:numPr>
        <w:tabs>
          <w:tab w:val="clear" w:pos="1440"/>
          <w:tab w:val="clear" w:pos="4320"/>
          <w:tab w:val="clear" w:pos="9072"/>
        </w:tabs>
        <w:snapToGrid/>
        <w:spacing w:after="160" w:line="360" w:lineRule="auto"/>
        <w:ind w:left="2160" w:hanging="630"/>
        <w:contextualSpacing/>
        <w:jc w:val="both"/>
        <w:rPr>
          <w:szCs w:val="28"/>
          <w:lang w:eastAsia="zh-HK"/>
        </w:rPr>
      </w:pPr>
      <w:r w:rsidRPr="00904447">
        <w:rPr>
          <w:szCs w:val="28"/>
          <w:lang w:eastAsia="zh-HK"/>
        </w:rPr>
        <w:t xml:space="preserve">Basic salary </w:t>
      </w:r>
      <w:r w:rsidR="00435D4C">
        <w:rPr>
          <w:szCs w:val="28"/>
          <w:lang w:eastAsia="zh-HK"/>
        </w:rPr>
        <w:t xml:space="preserve">$7,800, which was increased to $8,100 in February </w:t>
      </w:r>
      <w:r>
        <w:rPr>
          <w:szCs w:val="28"/>
          <w:lang w:eastAsia="zh-HK"/>
        </w:rPr>
        <w:t>2019</w:t>
      </w:r>
      <w:r w:rsidR="00435D4C">
        <w:rPr>
          <w:szCs w:val="28"/>
          <w:lang w:eastAsia="zh-HK"/>
        </w:rPr>
        <w:t>; and</w:t>
      </w:r>
      <w:r>
        <w:rPr>
          <w:szCs w:val="28"/>
          <w:lang w:eastAsia="zh-HK"/>
        </w:rPr>
        <w:t xml:space="preserve"> </w:t>
      </w:r>
      <w:r w:rsidR="002221FE">
        <w:rPr>
          <w:szCs w:val="28"/>
          <w:lang w:eastAsia="zh-HK"/>
        </w:rPr>
        <w:t xml:space="preserve">further </w:t>
      </w:r>
      <w:r>
        <w:rPr>
          <w:szCs w:val="28"/>
          <w:lang w:eastAsia="zh-HK"/>
        </w:rPr>
        <w:t xml:space="preserve">increased to $8,500 in September </w:t>
      </w:r>
      <w:r w:rsidRPr="00904447">
        <w:rPr>
          <w:szCs w:val="28"/>
          <w:lang w:eastAsia="zh-HK"/>
        </w:rPr>
        <w:t>2019</w:t>
      </w:r>
      <w:r w:rsidR="00435D4C">
        <w:rPr>
          <w:szCs w:val="28"/>
          <w:lang w:eastAsia="zh-HK"/>
        </w:rPr>
        <w:t>;</w:t>
      </w:r>
    </w:p>
    <w:p w:rsidR="003B3041" w:rsidRPr="009C3A6C" w:rsidRDefault="003B3041" w:rsidP="00185D51">
      <w:pPr>
        <w:pStyle w:val="ListParagraph"/>
        <w:widowControl w:val="0"/>
        <w:tabs>
          <w:tab w:val="clear" w:pos="1440"/>
          <w:tab w:val="clear" w:pos="4320"/>
          <w:tab w:val="clear" w:pos="9072"/>
        </w:tabs>
        <w:snapToGrid/>
        <w:spacing w:after="160" w:line="360" w:lineRule="auto"/>
        <w:ind w:left="2160" w:hanging="630"/>
        <w:contextualSpacing/>
        <w:jc w:val="both"/>
        <w:rPr>
          <w:szCs w:val="28"/>
          <w:lang w:eastAsia="zh-HK"/>
        </w:rPr>
      </w:pPr>
    </w:p>
    <w:p w:rsidR="003B3041" w:rsidRPr="009C3A6C" w:rsidRDefault="003B3041" w:rsidP="00185D51">
      <w:pPr>
        <w:pStyle w:val="ListParagraph"/>
        <w:widowControl w:val="0"/>
        <w:numPr>
          <w:ilvl w:val="0"/>
          <w:numId w:val="25"/>
        </w:numPr>
        <w:tabs>
          <w:tab w:val="clear" w:pos="1440"/>
          <w:tab w:val="clear" w:pos="4320"/>
          <w:tab w:val="clear" w:pos="9072"/>
        </w:tabs>
        <w:snapToGrid/>
        <w:spacing w:after="160" w:line="360" w:lineRule="auto"/>
        <w:ind w:left="2160" w:hanging="630"/>
        <w:contextualSpacing/>
        <w:jc w:val="both"/>
        <w:rPr>
          <w:szCs w:val="28"/>
          <w:lang w:eastAsia="zh-HK"/>
        </w:rPr>
      </w:pPr>
      <w:r w:rsidRPr="00904447">
        <w:rPr>
          <w:szCs w:val="28"/>
          <w:lang w:eastAsia="zh-HK"/>
        </w:rPr>
        <w:t>Commission $1,200</w:t>
      </w:r>
      <w:r w:rsidR="00435D4C">
        <w:rPr>
          <w:szCs w:val="28"/>
          <w:lang w:eastAsia="zh-HK"/>
        </w:rPr>
        <w:t xml:space="preserve"> which was</w:t>
      </w:r>
      <w:r w:rsidR="00AC0857">
        <w:rPr>
          <w:szCs w:val="28"/>
          <w:lang w:eastAsia="zh-HK"/>
        </w:rPr>
        <w:t xml:space="preserve"> increased to $1,500 in </w:t>
      </w:r>
      <w:r w:rsidR="00AC0857">
        <w:rPr>
          <w:szCs w:val="28"/>
          <w:lang w:eastAsia="zh-HK"/>
        </w:rPr>
        <w:lastRenderedPageBreak/>
        <w:t xml:space="preserve">March </w:t>
      </w:r>
      <w:r w:rsidR="00435D4C">
        <w:rPr>
          <w:szCs w:val="28"/>
          <w:lang w:eastAsia="zh-HK"/>
        </w:rPr>
        <w:t>2019; and</w:t>
      </w:r>
      <w:r>
        <w:rPr>
          <w:szCs w:val="28"/>
          <w:lang w:eastAsia="zh-HK"/>
        </w:rPr>
        <w:t xml:space="preserve"> </w:t>
      </w:r>
      <w:r w:rsidR="002221FE">
        <w:rPr>
          <w:szCs w:val="28"/>
          <w:lang w:eastAsia="zh-HK"/>
        </w:rPr>
        <w:t xml:space="preserve">further </w:t>
      </w:r>
      <w:r>
        <w:rPr>
          <w:szCs w:val="28"/>
          <w:lang w:eastAsia="zh-HK"/>
        </w:rPr>
        <w:t xml:space="preserve">increased to $1,600 in </w:t>
      </w:r>
      <w:r>
        <w:rPr>
          <w:rFonts w:eastAsia="PMingLiU" w:hint="eastAsia"/>
          <w:szCs w:val="28"/>
          <w:lang w:eastAsia="zh-TW"/>
        </w:rPr>
        <w:t xml:space="preserve">October </w:t>
      </w:r>
      <w:r w:rsidRPr="00904447">
        <w:rPr>
          <w:szCs w:val="28"/>
          <w:lang w:eastAsia="zh-HK"/>
        </w:rPr>
        <w:t>2019</w:t>
      </w:r>
      <w:r w:rsidR="00435D4C">
        <w:rPr>
          <w:szCs w:val="28"/>
          <w:lang w:eastAsia="zh-HK"/>
        </w:rPr>
        <w:t>; and</w:t>
      </w:r>
    </w:p>
    <w:p w:rsidR="003B3041" w:rsidRPr="009C3A6C" w:rsidRDefault="003B3041" w:rsidP="00185D51">
      <w:pPr>
        <w:pStyle w:val="ListParagraph"/>
        <w:widowControl w:val="0"/>
        <w:tabs>
          <w:tab w:val="clear" w:pos="1440"/>
          <w:tab w:val="clear" w:pos="4320"/>
          <w:tab w:val="clear" w:pos="9072"/>
        </w:tabs>
        <w:snapToGrid/>
        <w:spacing w:after="160" w:line="360" w:lineRule="auto"/>
        <w:ind w:left="2160" w:hanging="630"/>
        <w:contextualSpacing/>
        <w:jc w:val="both"/>
        <w:rPr>
          <w:rFonts w:eastAsia="PMingLiU"/>
          <w:szCs w:val="28"/>
          <w:lang w:eastAsia="zh-TW"/>
        </w:rPr>
      </w:pPr>
    </w:p>
    <w:p w:rsidR="003B3041" w:rsidRPr="00904447" w:rsidRDefault="003B3041" w:rsidP="00185D51">
      <w:pPr>
        <w:pStyle w:val="ListParagraph"/>
        <w:widowControl w:val="0"/>
        <w:numPr>
          <w:ilvl w:val="0"/>
          <w:numId w:val="25"/>
        </w:numPr>
        <w:tabs>
          <w:tab w:val="clear" w:pos="1440"/>
          <w:tab w:val="clear" w:pos="4320"/>
          <w:tab w:val="clear" w:pos="9072"/>
        </w:tabs>
        <w:snapToGrid/>
        <w:spacing w:after="160" w:line="360" w:lineRule="auto"/>
        <w:ind w:left="2160" w:hanging="630"/>
        <w:contextualSpacing/>
        <w:jc w:val="both"/>
        <w:rPr>
          <w:szCs w:val="28"/>
          <w:lang w:eastAsia="zh-HK"/>
        </w:rPr>
      </w:pPr>
      <w:r w:rsidRPr="00904447">
        <w:rPr>
          <w:szCs w:val="28"/>
          <w:lang w:eastAsia="zh-HK"/>
        </w:rPr>
        <w:t>Attendance bonus $</w:t>
      </w:r>
      <w:r>
        <w:rPr>
          <w:szCs w:val="28"/>
          <w:lang w:eastAsia="zh-HK"/>
        </w:rPr>
        <w:t>1,000</w:t>
      </w:r>
      <w:r w:rsidR="00435D4C">
        <w:rPr>
          <w:szCs w:val="28"/>
          <w:lang w:eastAsia="zh-HK"/>
        </w:rPr>
        <w:t xml:space="preserve"> which was</w:t>
      </w:r>
      <w:r>
        <w:rPr>
          <w:szCs w:val="28"/>
          <w:lang w:eastAsia="zh-HK"/>
        </w:rPr>
        <w:t xml:space="preserve"> increased to $1,200 in</w:t>
      </w:r>
      <w:r>
        <w:rPr>
          <w:rFonts w:eastAsia="PMingLiU" w:hint="eastAsia"/>
          <w:szCs w:val="28"/>
          <w:lang w:eastAsia="zh-TW"/>
        </w:rPr>
        <w:t xml:space="preserve"> March </w:t>
      </w:r>
      <w:r w:rsidRPr="00904447">
        <w:rPr>
          <w:szCs w:val="28"/>
          <w:lang w:eastAsia="zh-HK"/>
        </w:rPr>
        <w:t>2018</w:t>
      </w:r>
      <w:r w:rsidR="00435D4C">
        <w:rPr>
          <w:szCs w:val="28"/>
          <w:lang w:eastAsia="zh-HK"/>
        </w:rPr>
        <w:t>.</w:t>
      </w:r>
    </w:p>
    <w:p w:rsidR="003B3041" w:rsidRPr="00904447" w:rsidRDefault="003B3041" w:rsidP="00185D51">
      <w:pPr>
        <w:widowControl w:val="0"/>
        <w:tabs>
          <w:tab w:val="left" w:pos="720"/>
        </w:tabs>
        <w:spacing w:line="360" w:lineRule="auto"/>
        <w:contextualSpacing/>
        <w:jc w:val="both"/>
        <w:rPr>
          <w:szCs w:val="28"/>
          <w:lang w:eastAsia="zh-HK"/>
        </w:rPr>
      </w:pPr>
    </w:p>
    <w:p w:rsidR="002221FE" w:rsidRPr="002221FE" w:rsidRDefault="002221FE" w:rsidP="0086642B">
      <w:pPr>
        <w:pStyle w:val="ListParagraph"/>
        <w:numPr>
          <w:ilvl w:val="0"/>
          <w:numId w:val="17"/>
        </w:numPr>
        <w:spacing w:line="360" w:lineRule="auto"/>
        <w:ind w:left="0" w:firstLine="0"/>
        <w:jc w:val="both"/>
        <w:rPr>
          <w:szCs w:val="28"/>
          <w:lang w:eastAsia="zh-HK"/>
        </w:rPr>
      </w:pPr>
      <w:r w:rsidRPr="002221FE">
        <w:rPr>
          <w:szCs w:val="28"/>
          <w:lang w:eastAsia="zh-HK"/>
        </w:rPr>
        <w:t>For the second comparable worker</w:t>
      </w:r>
      <w:r w:rsidR="0057672F">
        <w:rPr>
          <w:szCs w:val="28"/>
          <w:lang w:eastAsia="zh-HK"/>
        </w:rPr>
        <w:t>, the following increases</w:t>
      </w:r>
      <w:r w:rsidR="00435D4C">
        <w:rPr>
          <w:szCs w:val="28"/>
          <w:lang w:eastAsia="zh-HK"/>
        </w:rPr>
        <w:t xml:space="preserve"> can </w:t>
      </w:r>
      <w:r>
        <w:rPr>
          <w:szCs w:val="28"/>
          <w:lang w:eastAsia="zh-HK"/>
        </w:rPr>
        <w:t>be found:-</w:t>
      </w:r>
      <w:r w:rsidRPr="002221FE">
        <w:rPr>
          <w:b/>
          <w:bCs/>
          <w:szCs w:val="28"/>
          <w:lang w:eastAsia="zh-HK"/>
        </w:rPr>
        <w:t xml:space="preserve"> </w:t>
      </w:r>
    </w:p>
    <w:p w:rsidR="002221FE" w:rsidRPr="00904447" w:rsidRDefault="002221FE" w:rsidP="0086642B">
      <w:pPr>
        <w:widowControl w:val="0"/>
        <w:tabs>
          <w:tab w:val="left" w:pos="720"/>
          <w:tab w:val="left" w:pos="1701"/>
        </w:tabs>
        <w:spacing w:line="360" w:lineRule="auto"/>
        <w:ind w:left="1701"/>
        <w:contextualSpacing/>
        <w:jc w:val="both"/>
        <w:rPr>
          <w:szCs w:val="28"/>
          <w:lang w:eastAsia="zh-HK"/>
        </w:rPr>
      </w:pPr>
    </w:p>
    <w:p w:rsidR="002221FE" w:rsidRPr="00B751B3" w:rsidRDefault="002221FE" w:rsidP="00185D51">
      <w:pPr>
        <w:pStyle w:val="ListParagraph"/>
        <w:widowControl w:val="0"/>
        <w:numPr>
          <w:ilvl w:val="0"/>
          <w:numId w:val="29"/>
        </w:numPr>
        <w:tabs>
          <w:tab w:val="clear" w:pos="1440"/>
          <w:tab w:val="clear" w:pos="4320"/>
          <w:tab w:val="clear" w:pos="9072"/>
        </w:tabs>
        <w:snapToGrid/>
        <w:spacing w:after="160" w:line="360" w:lineRule="auto"/>
        <w:ind w:left="2160" w:hanging="720"/>
        <w:contextualSpacing/>
        <w:jc w:val="both"/>
        <w:rPr>
          <w:szCs w:val="28"/>
          <w:lang w:eastAsia="zh-HK"/>
        </w:rPr>
      </w:pPr>
      <w:r w:rsidRPr="00904447">
        <w:rPr>
          <w:szCs w:val="28"/>
          <w:lang w:eastAsia="zh-HK"/>
        </w:rPr>
        <w:t>Basic salary $</w:t>
      </w:r>
      <w:r w:rsidR="00435D4C">
        <w:rPr>
          <w:szCs w:val="28"/>
          <w:lang w:eastAsia="zh-HK"/>
        </w:rPr>
        <w:t>7,800 which was</w:t>
      </w:r>
      <w:r>
        <w:rPr>
          <w:szCs w:val="28"/>
          <w:lang w:eastAsia="zh-HK"/>
        </w:rPr>
        <w:t xml:space="preserve"> increased to $8,100 in </w:t>
      </w:r>
      <w:r>
        <w:rPr>
          <w:rFonts w:eastAsia="PMingLiU" w:hint="eastAsia"/>
          <w:szCs w:val="28"/>
          <w:lang w:eastAsia="zh-TW"/>
        </w:rPr>
        <w:t xml:space="preserve">February </w:t>
      </w:r>
      <w:r w:rsidR="00435D4C">
        <w:rPr>
          <w:szCs w:val="28"/>
          <w:lang w:eastAsia="zh-HK"/>
        </w:rPr>
        <w:t>2017;</w:t>
      </w:r>
      <w:r>
        <w:rPr>
          <w:szCs w:val="28"/>
          <w:lang w:eastAsia="zh-HK"/>
        </w:rPr>
        <w:t xml:space="preserve"> </w:t>
      </w:r>
      <w:r w:rsidR="0057672F">
        <w:rPr>
          <w:szCs w:val="28"/>
          <w:lang w:eastAsia="zh-HK"/>
        </w:rPr>
        <w:t xml:space="preserve">further </w:t>
      </w:r>
      <w:r w:rsidR="00EC7ECC">
        <w:rPr>
          <w:szCs w:val="28"/>
          <w:lang w:eastAsia="zh-HK"/>
        </w:rPr>
        <w:t>increased to $8,2</w:t>
      </w:r>
      <w:r>
        <w:rPr>
          <w:szCs w:val="28"/>
          <w:lang w:eastAsia="zh-HK"/>
        </w:rPr>
        <w:t xml:space="preserve">00 in </w:t>
      </w:r>
      <w:r>
        <w:rPr>
          <w:rFonts w:eastAsia="PMingLiU" w:hint="eastAsia"/>
          <w:szCs w:val="28"/>
          <w:lang w:eastAsia="zh-TW"/>
        </w:rPr>
        <w:t xml:space="preserve">February </w:t>
      </w:r>
      <w:r w:rsidR="0057672F">
        <w:rPr>
          <w:szCs w:val="28"/>
          <w:lang w:eastAsia="zh-HK"/>
        </w:rPr>
        <w:t xml:space="preserve">2018 and further </w:t>
      </w:r>
      <w:r w:rsidRPr="00904447">
        <w:rPr>
          <w:szCs w:val="28"/>
          <w:lang w:eastAsia="zh-HK"/>
        </w:rPr>
        <w:t>increased to $8</w:t>
      </w:r>
      <w:r>
        <w:rPr>
          <w:szCs w:val="28"/>
          <w:lang w:eastAsia="zh-HK"/>
        </w:rPr>
        <w:t xml:space="preserve">,400 in </w:t>
      </w:r>
      <w:r>
        <w:rPr>
          <w:rFonts w:eastAsia="PMingLiU" w:hint="eastAsia"/>
          <w:szCs w:val="28"/>
          <w:lang w:eastAsia="zh-TW"/>
        </w:rPr>
        <w:t xml:space="preserve">February </w:t>
      </w:r>
      <w:r w:rsidRPr="00904447">
        <w:rPr>
          <w:szCs w:val="28"/>
          <w:lang w:eastAsia="zh-HK"/>
        </w:rPr>
        <w:t>2019</w:t>
      </w:r>
      <w:r w:rsidR="00435D4C">
        <w:rPr>
          <w:szCs w:val="28"/>
          <w:lang w:eastAsia="zh-HK"/>
        </w:rPr>
        <w:t>;</w:t>
      </w:r>
    </w:p>
    <w:p w:rsidR="002221FE" w:rsidRPr="00904447" w:rsidRDefault="002221FE" w:rsidP="00185D51">
      <w:pPr>
        <w:pStyle w:val="ListParagraph"/>
        <w:widowControl w:val="0"/>
        <w:tabs>
          <w:tab w:val="clear" w:pos="1440"/>
          <w:tab w:val="clear" w:pos="4320"/>
          <w:tab w:val="clear" w:pos="9072"/>
        </w:tabs>
        <w:snapToGrid/>
        <w:spacing w:after="160" w:line="360" w:lineRule="auto"/>
        <w:ind w:left="2160" w:hanging="720"/>
        <w:contextualSpacing/>
        <w:jc w:val="both"/>
        <w:rPr>
          <w:szCs w:val="28"/>
          <w:lang w:eastAsia="zh-HK"/>
        </w:rPr>
      </w:pPr>
    </w:p>
    <w:p w:rsidR="002221FE" w:rsidRPr="00B751B3" w:rsidRDefault="002221FE" w:rsidP="00185D51">
      <w:pPr>
        <w:pStyle w:val="ListParagraph"/>
        <w:widowControl w:val="0"/>
        <w:numPr>
          <w:ilvl w:val="0"/>
          <w:numId w:val="29"/>
        </w:numPr>
        <w:tabs>
          <w:tab w:val="clear" w:pos="1440"/>
          <w:tab w:val="clear" w:pos="4320"/>
          <w:tab w:val="clear" w:pos="9072"/>
        </w:tabs>
        <w:snapToGrid/>
        <w:spacing w:after="160" w:line="360" w:lineRule="auto"/>
        <w:ind w:left="2160" w:hanging="720"/>
        <w:contextualSpacing/>
        <w:jc w:val="both"/>
        <w:rPr>
          <w:szCs w:val="28"/>
          <w:lang w:eastAsia="zh-HK"/>
        </w:rPr>
      </w:pPr>
      <w:r w:rsidRPr="00904447">
        <w:rPr>
          <w:szCs w:val="28"/>
          <w:lang w:eastAsia="zh-HK"/>
        </w:rPr>
        <w:t>Commission $</w:t>
      </w:r>
      <w:r w:rsidR="00435D4C">
        <w:rPr>
          <w:szCs w:val="28"/>
          <w:lang w:eastAsia="zh-HK"/>
        </w:rPr>
        <w:t>1,200 which was</w:t>
      </w:r>
      <w:r>
        <w:rPr>
          <w:szCs w:val="28"/>
          <w:lang w:eastAsia="zh-HK"/>
        </w:rPr>
        <w:t xml:space="preserve"> increased to $1,400 in </w:t>
      </w:r>
      <w:r>
        <w:rPr>
          <w:rFonts w:eastAsia="PMingLiU" w:hint="eastAsia"/>
          <w:szCs w:val="28"/>
          <w:lang w:eastAsia="zh-TW"/>
        </w:rPr>
        <w:t xml:space="preserve">March </w:t>
      </w:r>
      <w:r w:rsidR="00435D4C">
        <w:rPr>
          <w:szCs w:val="28"/>
          <w:lang w:eastAsia="zh-HK"/>
        </w:rPr>
        <w:t>2018 and</w:t>
      </w:r>
      <w:r w:rsidRPr="00904447">
        <w:rPr>
          <w:szCs w:val="28"/>
          <w:lang w:eastAsia="zh-HK"/>
        </w:rPr>
        <w:t xml:space="preserve"> </w:t>
      </w:r>
      <w:r w:rsidR="0057672F">
        <w:rPr>
          <w:szCs w:val="28"/>
          <w:lang w:eastAsia="zh-HK"/>
        </w:rPr>
        <w:t xml:space="preserve">further </w:t>
      </w:r>
      <w:r w:rsidRPr="00904447">
        <w:rPr>
          <w:szCs w:val="28"/>
          <w:lang w:eastAsia="zh-HK"/>
        </w:rPr>
        <w:t xml:space="preserve">increased to $1,600 in </w:t>
      </w:r>
      <w:r>
        <w:rPr>
          <w:rFonts w:eastAsia="PMingLiU" w:hint="eastAsia"/>
          <w:szCs w:val="28"/>
          <w:lang w:eastAsia="zh-TW"/>
        </w:rPr>
        <w:t xml:space="preserve">March </w:t>
      </w:r>
      <w:r w:rsidRPr="00904447">
        <w:rPr>
          <w:szCs w:val="28"/>
          <w:lang w:eastAsia="zh-HK"/>
        </w:rPr>
        <w:t>2019</w:t>
      </w:r>
      <w:r w:rsidR="00435D4C">
        <w:rPr>
          <w:szCs w:val="28"/>
          <w:lang w:eastAsia="zh-HK"/>
        </w:rPr>
        <w:t>; and</w:t>
      </w:r>
    </w:p>
    <w:p w:rsidR="002221FE" w:rsidRPr="00B751B3" w:rsidRDefault="002221FE" w:rsidP="00185D51">
      <w:pPr>
        <w:pStyle w:val="ListParagraph"/>
        <w:widowControl w:val="0"/>
        <w:tabs>
          <w:tab w:val="clear" w:pos="1440"/>
          <w:tab w:val="clear" w:pos="4320"/>
          <w:tab w:val="clear" w:pos="9072"/>
        </w:tabs>
        <w:snapToGrid/>
        <w:spacing w:after="160" w:line="360" w:lineRule="auto"/>
        <w:ind w:left="2160" w:hanging="720"/>
        <w:contextualSpacing/>
        <w:jc w:val="both"/>
        <w:rPr>
          <w:rFonts w:eastAsia="PMingLiU"/>
          <w:szCs w:val="28"/>
          <w:lang w:eastAsia="zh-TW"/>
        </w:rPr>
      </w:pPr>
    </w:p>
    <w:p w:rsidR="002221FE" w:rsidRPr="00904447" w:rsidRDefault="002221FE" w:rsidP="00185D51">
      <w:pPr>
        <w:pStyle w:val="ListParagraph"/>
        <w:widowControl w:val="0"/>
        <w:numPr>
          <w:ilvl w:val="0"/>
          <w:numId w:val="29"/>
        </w:numPr>
        <w:tabs>
          <w:tab w:val="clear" w:pos="1440"/>
          <w:tab w:val="clear" w:pos="4320"/>
          <w:tab w:val="clear" w:pos="9072"/>
        </w:tabs>
        <w:snapToGrid/>
        <w:spacing w:after="160" w:line="360" w:lineRule="auto"/>
        <w:ind w:left="2160" w:hanging="720"/>
        <w:contextualSpacing/>
        <w:jc w:val="both"/>
        <w:rPr>
          <w:szCs w:val="28"/>
          <w:lang w:eastAsia="zh-HK"/>
        </w:rPr>
      </w:pPr>
      <w:r w:rsidRPr="00904447">
        <w:rPr>
          <w:szCs w:val="28"/>
          <w:lang w:eastAsia="zh-HK"/>
        </w:rPr>
        <w:t>Attendance bonus $</w:t>
      </w:r>
      <w:r>
        <w:rPr>
          <w:szCs w:val="28"/>
          <w:lang w:eastAsia="zh-HK"/>
        </w:rPr>
        <w:t xml:space="preserve">1,000, increased to $1,200 in </w:t>
      </w:r>
      <w:r>
        <w:rPr>
          <w:rFonts w:eastAsia="PMingLiU" w:hint="eastAsia"/>
          <w:szCs w:val="28"/>
          <w:lang w:eastAsia="zh-TW"/>
        </w:rPr>
        <w:t xml:space="preserve">March </w:t>
      </w:r>
      <w:r w:rsidRPr="00904447">
        <w:rPr>
          <w:szCs w:val="28"/>
          <w:lang w:eastAsia="zh-HK"/>
        </w:rPr>
        <w:t>2018</w:t>
      </w:r>
      <w:r w:rsidR="00435D4C">
        <w:rPr>
          <w:szCs w:val="28"/>
          <w:lang w:eastAsia="zh-HK"/>
        </w:rPr>
        <w:t>.</w:t>
      </w:r>
    </w:p>
    <w:p w:rsidR="00474CFD" w:rsidRDefault="00474CFD" w:rsidP="0086642B">
      <w:pPr>
        <w:pStyle w:val="ListParagraph"/>
        <w:spacing w:line="360" w:lineRule="auto"/>
        <w:ind w:left="0"/>
        <w:jc w:val="both"/>
        <w:rPr>
          <w:szCs w:val="28"/>
          <w:lang w:eastAsia="zh-HK"/>
        </w:rPr>
      </w:pPr>
    </w:p>
    <w:p w:rsidR="005D7C44" w:rsidRPr="00F4688F" w:rsidRDefault="003B3041" w:rsidP="0086642B">
      <w:pPr>
        <w:pStyle w:val="ListParagraph"/>
        <w:numPr>
          <w:ilvl w:val="0"/>
          <w:numId w:val="17"/>
        </w:numPr>
        <w:spacing w:line="360" w:lineRule="auto"/>
        <w:ind w:left="0" w:firstLine="0"/>
        <w:jc w:val="both"/>
        <w:rPr>
          <w:szCs w:val="28"/>
          <w:lang w:eastAsia="zh-HK"/>
        </w:rPr>
      </w:pPr>
      <w:r w:rsidRPr="00904447">
        <w:rPr>
          <w:szCs w:val="28"/>
          <w:lang w:eastAsia="zh-HK"/>
        </w:rPr>
        <w:t>Hence, even assuming there would have been</w:t>
      </w:r>
      <w:r>
        <w:rPr>
          <w:szCs w:val="28"/>
          <w:lang w:eastAsia="zh-HK"/>
        </w:rPr>
        <w:t xml:space="preserve"> no promotion</w:t>
      </w:r>
      <w:r w:rsidR="00EB2855">
        <w:rPr>
          <w:szCs w:val="28"/>
          <w:lang w:eastAsia="zh-HK"/>
        </w:rPr>
        <w:t xml:space="preserve"> had the plaintiff been able to continue to work for the defendant</w:t>
      </w:r>
      <w:r>
        <w:rPr>
          <w:szCs w:val="28"/>
          <w:lang w:eastAsia="zh-HK"/>
        </w:rPr>
        <w:t>,</w:t>
      </w:r>
      <w:r w:rsidR="0057672F">
        <w:rPr>
          <w:szCs w:val="28"/>
          <w:lang w:eastAsia="zh-HK"/>
        </w:rPr>
        <w:t xml:space="preserve"> I </w:t>
      </w:r>
      <w:r w:rsidR="00527ECD">
        <w:rPr>
          <w:szCs w:val="28"/>
          <w:lang w:eastAsia="zh-HK"/>
        </w:rPr>
        <w:t xml:space="preserve">find </w:t>
      </w:r>
      <w:r>
        <w:rPr>
          <w:rFonts w:eastAsia="PMingLiU" w:hint="eastAsia"/>
          <w:szCs w:val="28"/>
          <w:lang w:eastAsia="zh-TW"/>
        </w:rPr>
        <w:t>the plaintiff</w:t>
      </w:r>
      <w:r>
        <w:rPr>
          <w:szCs w:val="28"/>
          <w:lang w:eastAsia="zh-HK"/>
        </w:rPr>
        <w:t xml:space="preserve">’s salary with </w:t>
      </w:r>
      <w:r>
        <w:rPr>
          <w:rFonts w:eastAsia="PMingLiU" w:hint="eastAsia"/>
          <w:szCs w:val="28"/>
          <w:lang w:eastAsia="zh-TW"/>
        </w:rPr>
        <w:t>the defendant</w:t>
      </w:r>
      <w:r w:rsidRPr="00904447">
        <w:rPr>
          <w:szCs w:val="28"/>
          <w:lang w:eastAsia="zh-HK"/>
        </w:rPr>
        <w:t xml:space="preserve"> would have increased </w:t>
      </w:r>
      <w:r w:rsidR="00016E35">
        <w:rPr>
          <w:szCs w:val="28"/>
          <w:lang w:eastAsia="zh-HK"/>
        </w:rPr>
        <w:t xml:space="preserve">at least </w:t>
      </w:r>
      <w:r w:rsidRPr="00904447">
        <w:rPr>
          <w:szCs w:val="28"/>
          <w:lang w:eastAsia="zh-HK"/>
        </w:rPr>
        <w:t xml:space="preserve">by </w:t>
      </w:r>
      <w:r w:rsidR="00364390">
        <w:rPr>
          <w:szCs w:val="28"/>
          <w:lang w:eastAsia="zh-HK"/>
        </w:rPr>
        <w:t>4</w:t>
      </w:r>
      <w:r w:rsidR="00A4482A">
        <w:rPr>
          <w:szCs w:val="28"/>
          <w:lang w:eastAsia="zh-HK"/>
        </w:rPr>
        <w:t>%</w:t>
      </w:r>
      <w:r w:rsidR="00364390">
        <w:rPr>
          <w:szCs w:val="28"/>
          <w:lang w:eastAsia="zh-HK"/>
        </w:rPr>
        <w:t xml:space="preserve"> per annum</w:t>
      </w:r>
      <w:r w:rsidR="00A4482A">
        <w:rPr>
          <w:szCs w:val="28"/>
          <w:lang w:eastAsia="zh-HK"/>
        </w:rPr>
        <w:t xml:space="preserve"> by the time of the assessment as the average increase of those 2 “comparable” workers</w:t>
      </w:r>
      <w:r w:rsidR="00430754">
        <w:rPr>
          <w:szCs w:val="28"/>
          <w:lang w:eastAsia="zh-HK"/>
        </w:rPr>
        <w:t xml:space="preserve"> over the years</w:t>
      </w:r>
      <w:r w:rsidR="00364390">
        <w:rPr>
          <w:szCs w:val="28"/>
          <w:lang w:eastAsia="zh-HK"/>
        </w:rPr>
        <w:t xml:space="preserve"> has suggested</w:t>
      </w:r>
      <w:r w:rsidR="00A4482A">
        <w:rPr>
          <w:szCs w:val="28"/>
          <w:lang w:eastAsia="zh-HK"/>
        </w:rPr>
        <w:t xml:space="preserve">.  </w:t>
      </w:r>
      <w:r w:rsidR="005D7C44">
        <w:rPr>
          <w:szCs w:val="28"/>
          <w:lang w:eastAsia="zh-HK"/>
        </w:rPr>
        <w:t>This is consistent with the government statistics of the average of around 4% per annum increase for the service industry workers</w:t>
      </w:r>
      <w:r w:rsidR="00430754">
        <w:rPr>
          <w:szCs w:val="28"/>
          <w:lang w:eastAsia="zh-HK"/>
        </w:rPr>
        <w:t xml:space="preserve"> in the past 4 years since the A</w:t>
      </w:r>
      <w:r w:rsidR="005D7C44">
        <w:rPr>
          <w:szCs w:val="28"/>
          <w:lang w:eastAsia="zh-HK"/>
        </w:rPr>
        <w:t xml:space="preserve">ccident.  </w:t>
      </w:r>
    </w:p>
    <w:p w:rsidR="003B3041" w:rsidRPr="00904447" w:rsidRDefault="00A4482A" w:rsidP="0086642B">
      <w:pPr>
        <w:pStyle w:val="ListParagraph"/>
        <w:numPr>
          <w:ilvl w:val="0"/>
          <w:numId w:val="17"/>
        </w:numPr>
        <w:spacing w:line="360" w:lineRule="auto"/>
        <w:ind w:left="0" w:firstLine="0"/>
        <w:jc w:val="both"/>
        <w:rPr>
          <w:szCs w:val="28"/>
          <w:lang w:eastAsia="zh-HK"/>
        </w:rPr>
      </w:pPr>
      <w:r>
        <w:rPr>
          <w:szCs w:val="28"/>
          <w:lang w:eastAsia="zh-HK"/>
        </w:rPr>
        <w:lastRenderedPageBreak/>
        <w:t xml:space="preserve">However, I shall </w:t>
      </w:r>
      <w:r w:rsidR="00403422">
        <w:rPr>
          <w:szCs w:val="28"/>
          <w:lang w:eastAsia="zh-HK"/>
        </w:rPr>
        <w:t xml:space="preserve">adopt a higher </w:t>
      </w:r>
      <w:r w:rsidR="005D7C44">
        <w:rPr>
          <w:szCs w:val="28"/>
          <w:lang w:eastAsia="zh-HK"/>
        </w:rPr>
        <w:t xml:space="preserve">starting point </w:t>
      </w:r>
      <w:r>
        <w:rPr>
          <w:szCs w:val="28"/>
          <w:lang w:eastAsia="zh-HK"/>
        </w:rPr>
        <w:t xml:space="preserve">for the plaintiff </w:t>
      </w:r>
      <w:r w:rsidR="00403422">
        <w:rPr>
          <w:szCs w:val="28"/>
          <w:lang w:eastAsia="zh-HK"/>
        </w:rPr>
        <w:t xml:space="preserve">at $11,328 as </w:t>
      </w:r>
      <w:r w:rsidR="005D7C44">
        <w:rPr>
          <w:szCs w:val="28"/>
          <w:lang w:eastAsia="zh-HK"/>
        </w:rPr>
        <w:t>her average income at the time of the Accident</w:t>
      </w:r>
      <w:r w:rsidR="005A397E">
        <w:rPr>
          <w:szCs w:val="28"/>
          <w:lang w:eastAsia="zh-HK"/>
        </w:rPr>
        <w:t xml:space="preserve"> in January 2016</w:t>
      </w:r>
      <w:r w:rsidR="005D7C44">
        <w:rPr>
          <w:szCs w:val="28"/>
          <w:lang w:eastAsia="zh-HK"/>
        </w:rPr>
        <w:t xml:space="preserve">.  </w:t>
      </w:r>
      <w:r w:rsidR="00403422">
        <w:rPr>
          <w:szCs w:val="28"/>
          <w:lang w:eastAsia="zh-HK"/>
        </w:rPr>
        <w:t>Hence, I assess her would be earnings with the defendant had it not been for the</w:t>
      </w:r>
      <w:r w:rsidR="00430754">
        <w:rPr>
          <w:szCs w:val="28"/>
          <w:lang w:eastAsia="zh-HK"/>
        </w:rPr>
        <w:t xml:space="preserve"> Accident would be at $</w:t>
      </w:r>
      <w:r w:rsidR="00364390">
        <w:rPr>
          <w:szCs w:val="28"/>
          <w:lang w:eastAsia="zh-HK"/>
        </w:rPr>
        <w:t>13,252</w:t>
      </w:r>
      <w:r w:rsidR="00430754">
        <w:rPr>
          <w:szCs w:val="28"/>
          <w:lang w:eastAsia="zh-HK"/>
        </w:rPr>
        <w:t xml:space="preserve"> by the date of the assessment</w:t>
      </w:r>
      <w:r w:rsidR="00625510">
        <w:rPr>
          <w:szCs w:val="28"/>
          <w:lang w:eastAsia="zh-HK"/>
        </w:rPr>
        <w:t>, which is based on an annual increase of 4% on her average income at the time of the Accident</w:t>
      </w:r>
      <w:r w:rsidR="00430754">
        <w:rPr>
          <w:szCs w:val="28"/>
          <w:lang w:eastAsia="zh-HK"/>
        </w:rPr>
        <w:t>.</w:t>
      </w:r>
      <w:r>
        <w:rPr>
          <w:szCs w:val="28"/>
          <w:lang w:eastAsia="zh-HK"/>
        </w:rPr>
        <w:t xml:space="preserve"> </w:t>
      </w:r>
    </w:p>
    <w:p w:rsidR="003B3041" w:rsidRPr="00904447" w:rsidRDefault="003B3041" w:rsidP="0086642B">
      <w:pPr>
        <w:widowControl w:val="0"/>
        <w:tabs>
          <w:tab w:val="left" w:pos="720"/>
        </w:tabs>
        <w:spacing w:line="360" w:lineRule="auto"/>
        <w:ind w:left="720"/>
        <w:contextualSpacing/>
        <w:jc w:val="both"/>
        <w:rPr>
          <w:szCs w:val="28"/>
          <w:lang w:eastAsia="zh-HK"/>
        </w:rPr>
      </w:pPr>
    </w:p>
    <w:p w:rsidR="009B29D1" w:rsidRPr="009B29D1" w:rsidRDefault="00527ECD" w:rsidP="0086642B">
      <w:pPr>
        <w:pStyle w:val="ListParagraph"/>
        <w:numPr>
          <w:ilvl w:val="0"/>
          <w:numId w:val="17"/>
        </w:numPr>
        <w:spacing w:line="360" w:lineRule="auto"/>
        <w:ind w:left="0" w:firstLine="0"/>
        <w:jc w:val="both"/>
        <w:rPr>
          <w:szCs w:val="28"/>
          <w:lang w:eastAsia="zh-HK"/>
        </w:rPr>
      </w:pPr>
      <w:r>
        <w:rPr>
          <w:szCs w:val="28"/>
          <w:lang w:eastAsia="zh-HK"/>
        </w:rPr>
        <w:t xml:space="preserve">For her notional earnings after the expiry of her sick leave period, </w:t>
      </w:r>
      <w:r w:rsidR="00281520">
        <w:rPr>
          <w:szCs w:val="28"/>
          <w:lang w:eastAsia="zh-HK"/>
        </w:rPr>
        <w:t xml:space="preserve">I shall adopt a sum of $11,000 per month </w:t>
      </w:r>
      <w:r w:rsidR="00304A16">
        <w:rPr>
          <w:szCs w:val="28"/>
          <w:lang w:eastAsia="zh-HK"/>
        </w:rPr>
        <w:t>which is what she is earning in her current job as an office assistant.</w:t>
      </w:r>
      <w:r w:rsidR="00430754">
        <w:rPr>
          <w:szCs w:val="28"/>
          <w:lang w:eastAsia="zh-HK"/>
        </w:rPr>
        <w:t xml:space="preserve">  Given her lack of education and </w:t>
      </w:r>
      <w:r w:rsidR="002A57D0">
        <w:rPr>
          <w:szCs w:val="28"/>
          <w:lang w:eastAsia="zh-HK"/>
        </w:rPr>
        <w:t xml:space="preserve">inability to speak or write any English, it is not surprising that she earns less than an average office assistant as shown in the government statistics. </w:t>
      </w:r>
      <w:r w:rsidR="00DD30C9">
        <w:rPr>
          <w:szCs w:val="28"/>
          <w:lang w:eastAsia="zh-HK"/>
        </w:rPr>
        <w:t>However, I accept that it is perhaps the best she can earn given her disabilities.</w:t>
      </w:r>
      <w:r w:rsidR="002A57D0">
        <w:rPr>
          <w:szCs w:val="28"/>
          <w:lang w:eastAsia="zh-HK"/>
        </w:rPr>
        <w:t xml:space="preserve"> </w:t>
      </w:r>
      <w:r w:rsidR="0086663C">
        <w:rPr>
          <w:szCs w:val="28"/>
          <w:lang w:eastAsia="zh-HK"/>
        </w:rPr>
        <w:t xml:space="preserve">  </w:t>
      </w:r>
    </w:p>
    <w:p w:rsidR="009B29D1" w:rsidRPr="009B29D1" w:rsidRDefault="009B29D1" w:rsidP="0086642B">
      <w:pPr>
        <w:pStyle w:val="ListParagraph"/>
        <w:spacing w:line="360" w:lineRule="auto"/>
        <w:ind w:left="0"/>
        <w:jc w:val="both"/>
        <w:rPr>
          <w:szCs w:val="28"/>
          <w:lang w:eastAsia="zh-HK"/>
        </w:rPr>
      </w:pPr>
    </w:p>
    <w:p w:rsidR="009B29D1" w:rsidRDefault="00DD30C9" w:rsidP="0086642B">
      <w:pPr>
        <w:pStyle w:val="ListParagraph"/>
        <w:numPr>
          <w:ilvl w:val="0"/>
          <w:numId w:val="17"/>
        </w:numPr>
        <w:spacing w:line="360" w:lineRule="auto"/>
        <w:ind w:left="0" w:firstLine="0"/>
        <w:jc w:val="both"/>
        <w:rPr>
          <w:szCs w:val="28"/>
          <w:lang w:eastAsia="zh-HK"/>
        </w:rPr>
      </w:pPr>
      <w:r>
        <w:rPr>
          <w:szCs w:val="28"/>
          <w:lang w:eastAsia="zh-HK"/>
        </w:rPr>
        <w:t>I will therefore assess the pre-trial loss of earnings of the plaintiff</w:t>
      </w:r>
      <w:r w:rsidR="007064B3">
        <w:rPr>
          <w:szCs w:val="28"/>
          <w:lang w:eastAsia="zh-HK"/>
        </w:rPr>
        <w:t>, including MPF contributions from her employer,</w:t>
      </w:r>
      <w:r>
        <w:rPr>
          <w:szCs w:val="28"/>
          <w:lang w:eastAsia="zh-HK"/>
        </w:rPr>
        <w:t xml:space="preserve"> in this case as follows:-</w:t>
      </w:r>
    </w:p>
    <w:p w:rsidR="00DD30C9" w:rsidRPr="00DD30C9" w:rsidRDefault="00DD30C9" w:rsidP="0086642B">
      <w:pPr>
        <w:pStyle w:val="ListParagraph"/>
        <w:spacing w:line="360" w:lineRule="auto"/>
        <w:rPr>
          <w:szCs w:val="28"/>
          <w:lang w:eastAsia="zh-HK"/>
        </w:rPr>
      </w:pPr>
    </w:p>
    <w:p w:rsidR="00185D51" w:rsidRDefault="008665F8" w:rsidP="00CA4C8A">
      <w:pPr>
        <w:pStyle w:val="ListParagraph"/>
        <w:numPr>
          <w:ilvl w:val="0"/>
          <w:numId w:val="33"/>
        </w:numPr>
        <w:ind w:left="2160" w:hanging="720"/>
        <w:jc w:val="both"/>
        <w:rPr>
          <w:szCs w:val="28"/>
          <w:lang w:eastAsia="zh-HK"/>
        </w:rPr>
      </w:pPr>
      <w:r>
        <w:rPr>
          <w:szCs w:val="28"/>
          <w:lang w:eastAsia="zh-HK"/>
        </w:rPr>
        <w:t xml:space="preserve">From 31 January </w:t>
      </w:r>
      <w:r w:rsidR="00DD30C9">
        <w:rPr>
          <w:szCs w:val="28"/>
          <w:lang w:eastAsia="zh-HK"/>
        </w:rPr>
        <w:t xml:space="preserve">2016 </w:t>
      </w:r>
      <w:r w:rsidR="00A85095">
        <w:rPr>
          <w:szCs w:val="28"/>
          <w:lang w:eastAsia="zh-HK"/>
        </w:rPr>
        <w:t xml:space="preserve">(date of Accident) </w:t>
      </w:r>
      <w:r w:rsidR="00DD30C9">
        <w:rPr>
          <w:szCs w:val="28"/>
          <w:lang w:eastAsia="zh-HK"/>
        </w:rPr>
        <w:t xml:space="preserve">to </w:t>
      </w:r>
      <w:r>
        <w:rPr>
          <w:szCs w:val="28"/>
          <w:lang w:eastAsia="zh-HK"/>
        </w:rPr>
        <w:t xml:space="preserve">28 February </w:t>
      </w:r>
      <w:r w:rsidR="00A85095">
        <w:rPr>
          <w:szCs w:val="28"/>
          <w:lang w:eastAsia="zh-HK"/>
        </w:rPr>
        <w:t>2018 (end of sick leave)</w:t>
      </w:r>
    </w:p>
    <w:p w:rsidR="00CA4C8A" w:rsidRDefault="00CA4C8A" w:rsidP="00CA4C8A">
      <w:pPr>
        <w:pStyle w:val="ListParagraph"/>
        <w:ind w:left="2160"/>
        <w:jc w:val="both"/>
        <w:rPr>
          <w:szCs w:val="28"/>
          <w:lang w:eastAsia="zh-HK"/>
        </w:rPr>
      </w:pPr>
    </w:p>
    <w:p w:rsidR="00DD30C9" w:rsidRPr="00A85095" w:rsidRDefault="00A85095" w:rsidP="00185D51">
      <w:pPr>
        <w:pStyle w:val="ListParagraph"/>
        <w:spacing w:line="360" w:lineRule="auto"/>
        <w:ind w:left="2160"/>
        <w:jc w:val="both"/>
        <w:rPr>
          <w:szCs w:val="28"/>
          <w:lang w:eastAsia="zh-HK"/>
        </w:rPr>
      </w:pPr>
      <w:r w:rsidRPr="00185D51">
        <w:rPr>
          <w:szCs w:val="28"/>
          <w:lang w:eastAsia="zh-HK"/>
        </w:rPr>
        <w:t xml:space="preserve">($11,328 + </w:t>
      </w:r>
      <w:r w:rsidR="007064B3" w:rsidRPr="00185D51">
        <w:rPr>
          <w:szCs w:val="28"/>
          <w:lang w:eastAsia="zh-HK"/>
        </w:rPr>
        <w:t xml:space="preserve">$12,252) </w:t>
      </w:r>
      <w:r w:rsidR="00BB4CC0" w:rsidRPr="00185D51">
        <w:rPr>
          <w:szCs w:val="28"/>
          <w:lang w:eastAsia="zh-HK"/>
        </w:rPr>
        <w:t xml:space="preserve">/ 2 </w:t>
      </w:r>
      <w:r w:rsidR="007064B3" w:rsidRPr="00185D51">
        <w:rPr>
          <w:szCs w:val="28"/>
          <w:lang w:eastAsia="zh-HK"/>
        </w:rPr>
        <w:t>x 25 months x 1.05 = $</w:t>
      </w:r>
      <w:r w:rsidR="006632B0" w:rsidRPr="00185D51">
        <w:rPr>
          <w:szCs w:val="28"/>
          <w:lang w:eastAsia="zh-HK"/>
        </w:rPr>
        <w:t>309,488</w:t>
      </w:r>
      <w:r w:rsidR="007064B3" w:rsidRPr="00185D51">
        <w:rPr>
          <w:szCs w:val="28"/>
          <w:lang w:eastAsia="zh-HK"/>
        </w:rPr>
        <w:tab/>
      </w:r>
    </w:p>
    <w:p w:rsidR="00185D51" w:rsidRDefault="008665F8" w:rsidP="00CA4C8A">
      <w:pPr>
        <w:pStyle w:val="ListParagraph"/>
        <w:numPr>
          <w:ilvl w:val="0"/>
          <w:numId w:val="33"/>
        </w:numPr>
        <w:ind w:left="2160" w:hanging="720"/>
        <w:jc w:val="both"/>
        <w:rPr>
          <w:szCs w:val="28"/>
          <w:lang w:eastAsia="zh-HK"/>
        </w:rPr>
      </w:pPr>
      <w:r>
        <w:rPr>
          <w:szCs w:val="28"/>
          <w:lang w:eastAsia="zh-HK"/>
        </w:rPr>
        <w:t xml:space="preserve">From 1 March 2018 to 9 November </w:t>
      </w:r>
      <w:r w:rsidR="00FA5279">
        <w:rPr>
          <w:szCs w:val="28"/>
          <w:lang w:eastAsia="zh-HK"/>
        </w:rPr>
        <w:t>2020 (date of assessment)</w:t>
      </w:r>
    </w:p>
    <w:p w:rsidR="00CA4C8A" w:rsidRDefault="00CA4C8A" w:rsidP="00CA4C8A">
      <w:pPr>
        <w:pStyle w:val="ListParagraph"/>
        <w:ind w:left="2160"/>
        <w:jc w:val="both"/>
        <w:rPr>
          <w:szCs w:val="28"/>
          <w:lang w:eastAsia="zh-HK"/>
        </w:rPr>
      </w:pPr>
    </w:p>
    <w:p w:rsidR="00185D51" w:rsidRDefault="00FA5279" w:rsidP="00185D51">
      <w:pPr>
        <w:pStyle w:val="ListParagraph"/>
        <w:spacing w:line="360" w:lineRule="auto"/>
        <w:ind w:left="2160"/>
        <w:jc w:val="both"/>
        <w:rPr>
          <w:szCs w:val="28"/>
          <w:lang w:eastAsia="zh-HK"/>
        </w:rPr>
      </w:pPr>
      <w:r w:rsidRPr="00185D51">
        <w:rPr>
          <w:szCs w:val="28"/>
          <w:lang w:eastAsia="zh-HK"/>
        </w:rPr>
        <w:t>[($12,252 + $</w:t>
      </w:r>
      <w:r w:rsidR="00785B77">
        <w:rPr>
          <w:szCs w:val="28"/>
          <w:lang w:eastAsia="zh-HK"/>
        </w:rPr>
        <w:t>13,252) / 2 - $11,000] x 32.3</w:t>
      </w:r>
      <w:r w:rsidRPr="00185D51">
        <w:rPr>
          <w:szCs w:val="28"/>
          <w:lang w:eastAsia="zh-HK"/>
        </w:rPr>
        <w:t xml:space="preserve"> months x 1.05</w:t>
      </w:r>
      <w:r w:rsidR="00185D51">
        <w:rPr>
          <w:szCs w:val="28"/>
          <w:lang w:eastAsia="zh-HK"/>
        </w:rPr>
        <w:t xml:space="preserve"> </w:t>
      </w:r>
      <w:r w:rsidRPr="00185D51">
        <w:rPr>
          <w:szCs w:val="28"/>
          <w:lang w:eastAsia="zh-HK"/>
        </w:rPr>
        <w:t>= $</w:t>
      </w:r>
      <w:r w:rsidR="00785B77">
        <w:rPr>
          <w:szCs w:val="28"/>
          <w:lang w:eastAsia="zh-HK"/>
        </w:rPr>
        <w:t>59,419</w:t>
      </w:r>
    </w:p>
    <w:p w:rsidR="00185D51" w:rsidRDefault="00185D51" w:rsidP="00185D51">
      <w:pPr>
        <w:pStyle w:val="ListParagraph"/>
        <w:spacing w:line="360" w:lineRule="auto"/>
        <w:ind w:left="2160"/>
        <w:jc w:val="both"/>
        <w:rPr>
          <w:szCs w:val="28"/>
          <w:lang w:eastAsia="zh-HK"/>
        </w:rPr>
      </w:pPr>
    </w:p>
    <w:p w:rsidR="00904447" w:rsidRPr="00904447" w:rsidRDefault="00FA5279" w:rsidP="00F4688F">
      <w:pPr>
        <w:pStyle w:val="ListParagraph"/>
        <w:spacing w:line="360" w:lineRule="auto"/>
        <w:ind w:left="2160"/>
        <w:jc w:val="both"/>
        <w:rPr>
          <w:szCs w:val="28"/>
          <w:lang w:eastAsia="zh-HK"/>
        </w:rPr>
      </w:pPr>
      <w:r w:rsidRPr="00FA5279">
        <w:rPr>
          <w:szCs w:val="28"/>
          <w:lang w:eastAsia="zh-HK"/>
        </w:rPr>
        <w:t>Total: $</w:t>
      </w:r>
      <w:r w:rsidR="00785B77">
        <w:rPr>
          <w:szCs w:val="28"/>
          <w:lang w:eastAsia="zh-HK"/>
        </w:rPr>
        <w:t>368,907</w:t>
      </w:r>
    </w:p>
    <w:p w:rsidR="00FA5279" w:rsidRPr="006C7B5A" w:rsidRDefault="00FA5279" w:rsidP="00185D51">
      <w:pPr>
        <w:pStyle w:val="ListParagraph"/>
        <w:numPr>
          <w:ilvl w:val="0"/>
          <w:numId w:val="32"/>
        </w:numPr>
        <w:tabs>
          <w:tab w:val="clear" w:pos="1440"/>
          <w:tab w:val="clear" w:pos="4320"/>
          <w:tab w:val="clear" w:pos="9072"/>
        </w:tabs>
        <w:spacing w:line="360" w:lineRule="auto"/>
        <w:ind w:left="0" w:firstLine="0"/>
        <w:jc w:val="both"/>
        <w:rPr>
          <w:i/>
          <w:szCs w:val="28"/>
          <w:lang w:eastAsia="zh-HK"/>
        </w:rPr>
      </w:pPr>
      <w:r w:rsidRPr="006C7B5A">
        <w:rPr>
          <w:i/>
          <w:szCs w:val="28"/>
          <w:lang w:eastAsia="zh-HK"/>
        </w:rPr>
        <w:lastRenderedPageBreak/>
        <w:t>Post-trial loss of earnings</w:t>
      </w:r>
    </w:p>
    <w:p w:rsidR="00117F32" w:rsidRPr="00FA5279" w:rsidRDefault="00117F32" w:rsidP="0086642B">
      <w:pPr>
        <w:spacing w:line="360" w:lineRule="auto"/>
        <w:jc w:val="both"/>
        <w:rPr>
          <w:i/>
          <w:szCs w:val="28"/>
          <w:lang w:eastAsia="zh-HK"/>
        </w:rPr>
      </w:pPr>
    </w:p>
    <w:p w:rsidR="00117F32" w:rsidRDefault="00117F32" w:rsidP="0086642B">
      <w:pPr>
        <w:pStyle w:val="ListParagraph"/>
        <w:numPr>
          <w:ilvl w:val="0"/>
          <w:numId w:val="17"/>
        </w:numPr>
        <w:spacing w:line="360" w:lineRule="auto"/>
        <w:ind w:left="0" w:firstLine="0"/>
        <w:jc w:val="both"/>
        <w:rPr>
          <w:szCs w:val="28"/>
          <w:lang w:eastAsia="zh-HK"/>
        </w:rPr>
      </w:pPr>
      <w:r>
        <w:rPr>
          <w:rFonts w:eastAsia="PMingLiU"/>
          <w:szCs w:val="28"/>
          <w:lang w:eastAsia="zh-TW"/>
        </w:rPr>
        <w:t xml:space="preserve">Had it not been for the Accident, I estimate that the </w:t>
      </w:r>
      <w:r w:rsidR="009C0B20">
        <w:rPr>
          <w:rFonts w:eastAsia="PMingLiU" w:hint="eastAsia"/>
          <w:szCs w:val="28"/>
          <w:lang w:eastAsia="zh-TW"/>
        </w:rPr>
        <w:t>plaintiff</w:t>
      </w:r>
      <w:r w:rsidR="00904447" w:rsidRPr="00904447">
        <w:rPr>
          <w:szCs w:val="28"/>
          <w:lang w:eastAsia="zh-HK"/>
        </w:rPr>
        <w:t>’s</w:t>
      </w:r>
      <w:r w:rsidR="00FA5279">
        <w:rPr>
          <w:szCs w:val="28"/>
          <w:lang w:eastAsia="zh-HK"/>
        </w:rPr>
        <w:t xml:space="preserve"> earnings </w:t>
      </w:r>
      <w:r w:rsidR="006632B0">
        <w:rPr>
          <w:szCs w:val="28"/>
          <w:lang w:eastAsia="zh-HK"/>
        </w:rPr>
        <w:t>at the date of assessment</w:t>
      </w:r>
      <w:r>
        <w:rPr>
          <w:szCs w:val="28"/>
          <w:lang w:eastAsia="zh-HK"/>
        </w:rPr>
        <w:t xml:space="preserve"> with the defendant would be at no less than $</w:t>
      </w:r>
      <w:r w:rsidR="00667FD4">
        <w:rPr>
          <w:szCs w:val="28"/>
          <w:lang w:eastAsia="zh-HK"/>
        </w:rPr>
        <w:t>13,</w:t>
      </w:r>
      <w:r w:rsidR="006D48F8">
        <w:rPr>
          <w:szCs w:val="28"/>
          <w:lang w:eastAsia="zh-HK"/>
        </w:rPr>
        <w:t>252</w:t>
      </w:r>
      <w:r>
        <w:rPr>
          <w:szCs w:val="28"/>
          <w:lang w:eastAsia="zh-HK"/>
        </w:rPr>
        <w:t xml:space="preserve">. </w:t>
      </w:r>
    </w:p>
    <w:p w:rsidR="00117F32" w:rsidRDefault="00117F32" w:rsidP="0086642B">
      <w:pPr>
        <w:pStyle w:val="ListParagraph"/>
        <w:spacing w:line="360" w:lineRule="auto"/>
        <w:ind w:left="0"/>
        <w:jc w:val="both"/>
        <w:rPr>
          <w:szCs w:val="28"/>
          <w:lang w:eastAsia="zh-HK"/>
        </w:rPr>
      </w:pPr>
    </w:p>
    <w:p w:rsidR="00117F32" w:rsidRDefault="00117F32" w:rsidP="0086642B">
      <w:pPr>
        <w:pStyle w:val="ListParagraph"/>
        <w:numPr>
          <w:ilvl w:val="0"/>
          <w:numId w:val="17"/>
        </w:numPr>
        <w:spacing w:line="360" w:lineRule="auto"/>
        <w:ind w:left="0" w:firstLine="0"/>
        <w:jc w:val="both"/>
        <w:rPr>
          <w:szCs w:val="28"/>
          <w:lang w:eastAsia="zh-HK"/>
        </w:rPr>
      </w:pPr>
      <w:r>
        <w:rPr>
          <w:rFonts w:eastAsia="PMingLiU"/>
          <w:szCs w:val="28"/>
          <w:lang w:eastAsia="zh-TW"/>
        </w:rPr>
        <w:t xml:space="preserve">Thus, her notional monthly loss will be at </w:t>
      </w:r>
      <w:r w:rsidR="006632B0">
        <w:rPr>
          <w:rFonts w:eastAsia="PMingLiU"/>
          <w:szCs w:val="28"/>
          <w:lang w:eastAsia="zh-TW"/>
        </w:rPr>
        <w:t>$</w:t>
      </w:r>
      <w:r w:rsidR="00667FD4">
        <w:rPr>
          <w:rFonts w:eastAsia="PMingLiU"/>
          <w:szCs w:val="28"/>
          <w:lang w:eastAsia="zh-TW"/>
        </w:rPr>
        <w:t>2,</w:t>
      </w:r>
      <w:r w:rsidR="006D48F8">
        <w:rPr>
          <w:rFonts w:eastAsia="PMingLiU"/>
          <w:szCs w:val="28"/>
          <w:lang w:eastAsia="zh-TW"/>
        </w:rPr>
        <w:t>252</w:t>
      </w:r>
      <w:r w:rsidR="006632B0">
        <w:rPr>
          <w:rFonts w:eastAsia="PMingLiU"/>
          <w:szCs w:val="28"/>
          <w:lang w:eastAsia="zh-TW"/>
        </w:rPr>
        <w:t xml:space="preserve"> (</w:t>
      </w:r>
      <w:r>
        <w:rPr>
          <w:rFonts w:eastAsia="PMingLiU"/>
          <w:szCs w:val="28"/>
          <w:lang w:eastAsia="zh-TW"/>
        </w:rPr>
        <w:t>$</w:t>
      </w:r>
      <w:r w:rsidR="00667FD4">
        <w:rPr>
          <w:szCs w:val="28"/>
          <w:lang w:eastAsia="zh-HK"/>
        </w:rPr>
        <w:t>13,</w:t>
      </w:r>
      <w:r w:rsidR="006D48F8">
        <w:rPr>
          <w:szCs w:val="28"/>
          <w:lang w:eastAsia="zh-HK"/>
        </w:rPr>
        <w:t>252</w:t>
      </w:r>
      <w:r w:rsidR="00904447" w:rsidRPr="00904447">
        <w:rPr>
          <w:szCs w:val="28"/>
          <w:lang w:eastAsia="zh-HK"/>
        </w:rPr>
        <w:t xml:space="preserve"> – $11,000</w:t>
      </w:r>
      <w:r w:rsidR="006632B0">
        <w:rPr>
          <w:szCs w:val="28"/>
          <w:lang w:eastAsia="zh-HK"/>
        </w:rPr>
        <w:t>)</w:t>
      </w:r>
      <w:r w:rsidR="00904447" w:rsidRPr="00904447">
        <w:rPr>
          <w:szCs w:val="28"/>
          <w:lang w:eastAsia="zh-HK"/>
        </w:rPr>
        <w:t xml:space="preserve"> </w:t>
      </w:r>
      <w:r>
        <w:rPr>
          <w:szCs w:val="28"/>
          <w:lang w:eastAsia="zh-HK"/>
        </w:rPr>
        <w:t xml:space="preserve">during </w:t>
      </w:r>
      <w:r w:rsidR="00904447" w:rsidRPr="00904447">
        <w:rPr>
          <w:szCs w:val="28"/>
          <w:lang w:eastAsia="zh-HK"/>
        </w:rPr>
        <w:t xml:space="preserve">the post-trial period.  </w:t>
      </w:r>
    </w:p>
    <w:p w:rsidR="00117F32" w:rsidRPr="00185D51" w:rsidRDefault="00117F32" w:rsidP="00185D51">
      <w:pPr>
        <w:spacing w:line="360" w:lineRule="auto"/>
        <w:rPr>
          <w:szCs w:val="28"/>
          <w:lang w:eastAsia="zh-HK"/>
        </w:rPr>
      </w:pPr>
    </w:p>
    <w:p w:rsidR="009A0EB8" w:rsidRPr="009A0EB8" w:rsidRDefault="00117F32" w:rsidP="0086642B">
      <w:pPr>
        <w:pStyle w:val="ListParagraph"/>
        <w:numPr>
          <w:ilvl w:val="0"/>
          <w:numId w:val="17"/>
        </w:numPr>
        <w:spacing w:line="360" w:lineRule="auto"/>
        <w:ind w:left="0" w:firstLine="0"/>
        <w:jc w:val="both"/>
        <w:rPr>
          <w:szCs w:val="28"/>
          <w:lang w:eastAsia="zh-HK"/>
        </w:rPr>
      </w:pPr>
      <w:r>
        <w:rPr>
          <w:szCs w:val="28"/>
          <w:lang w:eastAsia="zh-HK"/>
        </w:rPr>
        <w:t>The plaintiff is</w:t>
      </w:r>
      <w:r w:rsidR="00904447" w:rsidRPr="00904447">
        <w:rPr>
          <w:szCs w:val="28"/>
          <w:lang w:eastAsia="zh-HK"/>
        </w:rPr>
        <w:t xml:space="preserve"> 32 </w:t>
      </w:r>
      <w:r>
        <w:rPr>
          <w:szCs w:val="28"/>
          <w:lang w:eastAsia="zh-HK"/>
        </w:rPr>
        <w:t xml:space="preserve">years old </w:t>
      </w:r>
      <w:r w:rsidR="00904447" w:rsidRPr="00904447">
        <w:rPr>
          <w:szCs w:val="28"/>
          <w:lang w:eastAsia="zh-HK"/>
        </w:rPr>
        <w:t xml:space="preserve">at </w:t>
      </w:r>
      <w:r>
        <w:rPr>
          <w:szCs w:val="28"/>
          <w:lang w:eastAsia="zh-HK"/>
        </w:rPr>
        <w:t>the date of assessment.  As</w:t>
      </w:r>
      <w:r w:rsidR="00904447" w:rsidRPr="00904447">
        <w:rPr>
          <w:szCs w:val="28"/>
          <w:lang w:eastAsia="zh-HK"/>
        </w:rPr>
        <w:t>suming a retirement age of 6</w:t>
      </w:r>
      <w:r>
        <w:rPr>
          <w:szCs w:val="28"/>
          <w:lang w:eastAsia="zh-HK"/>
        </w:rPr>
        <w:t xml:space="preserve">5 and applying a </w:t>
      </w:r>
      <w:r w:rsidR="009C0B20">
        <w:rPr>
          <w:szCs w:val="28"/>
          <w:lang w:eastAsia="zh-HK"/>
        </w:rPr>
        <w:t xml:space="preserve">discount rate </w:t>
      </w:r>
      <w:r>
        <w:rPr>
          <w:szCs w:val="28"/>
          <w:lang w:eastAsia="zh-HK"/>
        </w:rPr>
        <w:t xml:space="preserve">at 2.5%, </w:t>
      </w:r>
      <w:r w:rsidR="006632B0">
        <w:rPr>
          <w:szCs w:val="28"/>
          <w:lang w:eastAsia="zh-HK"/>
        </w:rPr>
        <w:t xml:space="preserve">I would allow a </w:t>
      </w:r>
      <w:r w:rsidR="00904447" w:rsidRPr="00904447">
        <w:rPr>
          <w:szCs w:val="28"/>
          <w:lang w:eastAsia="zh-HK"/>
        </w:rPr>
        <w:t>multiplier of 22.37 (Table 10 of Chan’s Tables refers):</w:t>
      </w:r>
    </w:p>
    <w:p w:rsidR="009A0EB8" w:rsidRPr="009A0EB8" w:rsidRDefault="009A0EB8" w:rsidP="0086642B">
      <w:pPr>
        <w:pStyle w:val="ListParagraph"/>
        <w:spacing w:line="360" w:lineRule="auto"/>
        <w:ind w:left="0"/>
        <w:jc w:val="both"/>
        <w:rPr>
          <w:szCs w:val="28"/>
          <w:lang w:eastAsia="zh-HK"/>
        </w:rPr>
      </w:pPr>
    </w:p>
    <w:p w:rsidR="009A0EB8" w:rsidRPr="009A0EB8" w:rsidRDefault="009A0EB8" w:rsidP="0086642B">
      <w:pPr>
        <w:pStyle w:val="ListParagraph"/>
        <w:spacing w:line="360" w:lineRule="auto"/>
        <w:ind w:left="0"/>
        <w:jc w:val="both"/>
        <w:rPr>
          <w:rFonts w:eastAsia="PMingLiU"/>
          <w:szCs w:val="28"/>
          <w:lang w:eastAsia="zh-TW"/>
        </w:rPr>
      </w:pPr>
      <w:r>
        <w:rPr>
          <w:rFonts w:eastAsia="PMingLiU" w:hint="eastAsia"/>
          <w:szCs w:val="28"/>
          <w:lang w:eastAsia="zh-TW"/>
        </w:rPr>
        <w:tab/>
      </w:r>
      <w:r w:rsidR="00904447" w:rsidRPr="009A0EB8">
        <w:rPr>
          <w:szCs w:val="28"/>
          <w:lang w:eastAsia="zh-HK"/>
        </w:rPr>
        <w:t>$</w:t>
      </w:r>
      <w:r w:rsidR="00667FD4">
        <w:rPr>
          <w:szCs w:val="28"/>
          <w:lang w:eastAsia="zh-HK"/>
        </w:rPr>
        <w:t>2,</w:t>
      </w:r>
      <w:r w:rsidR="006D48F8">
        <w:rPr>
          <w:szCs w:val="28"/>
          <w:lang w:eastAsia="zh-HK"/>
        </w:rPr>
        <w:t>252</w:t>
      </w:r>
      <w:r w:rsidR="00904447" w:rsidRPr="009A0EB8">
        <w:rPr>
          <w:szCs w:val="28"/>
          <w:lang w:eastAsia="zh-HK"/>
        </w:rPr>
        <w:t xml:space="preserve"> x 12 x 22.37 x 1.05 = $</w:t>
      </w:r>
      <w:r w:rsidR="006D48F8">
        <w:rPr>
          <w:szCs w:val="28"/>
          <w:lang w:eastAsia="zh-HK"/>
        </w:rPr>
        <w:t>634,753</w:t>
      </w:r>
    </w:p>
    <w:p w:rsidR="00904447" w:rsidRPr="00904447" w:rsidRDefault="00904447" w:rsidP="0086642B">
      <w:pPr>
        <w:widowControl w:val="0"/>
        <w:tabs>
          <w:tab w:val="left" w:pos="720"/>
        </w:tabs>
        <w:spacing w:line="360" w:lineRule="auto"/>
        <w:contextualSpacing/>
        <w:jc w:val="both"/>
        <w:rPr>
          <w:szCs w:val="28"/>
          <w:lang w:eastAsia="zh-HK"/>
        </w:rPr>
      </w:pPr>
    </w:p>
    <w:p w:rsidR="00904447" w:rsidRPr="005775E0" w:rsidRDefault="00904447" w:rsidP="00185D51">
      <w:pPr>
        <w:pStyle w:val="ListParagraph"/>
        <w:widowControl w:val="0"/>
        <w:numPr>
          <w:ilvl w:val="0"/>
          <w:numId w:val="32"/>
        </w:numPr>
        <w:tabs>
          <w:tab w:val="clear" w:pos="1440"/>
          <w:tab w:val="clear" w:pos="4320"/>
          <w:tab w:val="clear" w:pos="9072"/>
        </w:tabs>
        <w:spacing w:line="360" w:lineRule="auto"/>
        <w:ind w:left="0" w:firstLine="0"/>
        <w:contextualSpacing/>
        <w:jc w:val="both"/>
        <w:rPr>
          <w:bCs/>
          <w:iCs/>
          <w:szCs w:val="28"/>
          <w:lang w:eastAsia="zh-HK"/>
        </w:rPr>
      </w:pPr>
      <w:r w:rsidRPr="006C7B5A">
        <w:rPr>
          <w:i/>
          <w:iCs/>
          <w:szCs w:val="28"/>
          <w:lang w:eastAsia="zh-HK"/>
        </w:rPr>
        <w:t xml:space="preserve">Loss of earning capacity </w:t>
      </w:r>
    </w:p>
    <w:p w:rsidR="00904447" w:rsidRPr="005775E0" w:rsidRDefault="00904447" w:rsidP="0086642B">
      <w:pPr>
        <w:widowControl w:val="0"/>
        <w:tabs>
          <w:tab w:val="left" w:pos="720"/>
        </w:tabs>
        <w:spacing w:line="360" w:lineRule="auto"/>
        <w:contextualSpacing/>
        <w:jc w:val="both"/>
        <w:rPr>
          <w:bCs/>
          <w:szCs w:val="28"/>
          <w:lang w:eastAsia="zh-HK"/>
        </w:rPr>
      </w:pPr>
    </w:p>
    <w:p w:rsidR="00185D51" w:rsidRDefault="00E47420" w:rsidP="00185D51">
      <w:pPr>
        <w:pStyle w:val="ListParagraph"/>
        <w:widowControl w:val="0"/>
        <w:numPr>
          <w:ilvl w:val="0"/>
          <w:numId w:val="17"/>
        </w:numPr>
        <w:spacing w:line="360" w:lineRule="auto"/>
        <w:ind w:left="0" w:firstLine="0"/>
        <w:contextualSpacing/>
        <w:jc w:val="both"/>
        <w:rPr>
          <w:i/>
          <w:iCs/>
          <w:szCs w:val="28"/>
          <w:lang w:eastAsia="zh-HK"/>
        </w:rPr>
      </w:pPr>
      <w:r w:rsidRPr="005775E0">
        <w:rPr>
          <w:rFonts w:eastAsia="PMingLiU" w:hint="eastAsia"/>
          <w:szCs w:val="28"/>
          <w:lang w:eastAsia="zh-TW"/>
        </w:rPr>
        <w:t>The plaintiff</w:t>
      </w:r>
      <w:r w:rsidR="00904447" w:rsidRPr="005775E0">
        <w:rPr>
          <w:szCs w:val="28"/>
          <w:lang w:eastAsia="zh-HK"/>
        </w:rPr>
        <w:t xml:space="preserve"> </w:t>
      </w:r>
      <w:r w:rsidR="007B67E9" w:rsidRPr="005775E0">
        <w:rPr>
          <w:szCs w:val="28"/>
          <w:lang w:eastAsia="zh-HK"/>
        </w:rPr>
        <w:t>claims $150,000 under this head.  Mr Wong s</w:t>
      </w:r>
      <w:r w:rsidR="00904447" w:rsidRPr="005775E0">
        <w:rPr>
          <w:szCs w:val="28"/>
          <w:lang w:eastAsia="zh-HK"/>
        </w:rPr>
        <w:t xml:space="preserve">ubmits that </w:t>
      </w:r>
      <w:r w:rsidR="007B67E9" w:rsidRPr="005775E0">
        <w:rPr>
          <w:szCs w:val="28"/>
          <w:lang w:eastAsia="zh-HK"/>
        </w:rPr>
        <w:t>the</w:t>
      </w:r>
      <w:r w:rsidR="00904447" w:rsidRPr="005775E0">
        <w:rPr>
          <w:szCs w:val="28"/>
          <w:lang w:eastAsia="zh-HK"/>
        </w:rPr>
        <w:t xml:space="preserve"> </w:t>
      </w:r>
      <w:r w:rsidR="007B67E9" w:rsidRPr="005775E0">
        <w:rPr>
          <w:szCs w:val="28"/>
          <w:lang w:eastAsia="zh-HK"/>
        </w:rPr>
        <w:t xml:space="preserve">plaintiff’s </w:t>
      </w:r>
      <w:r w:rsidR="00904447" w:rsidRPr="005775E0">
        <w:rPr>
          <w:szCs w:val="28"/>
          <w:lang w:eastAsia="zh-HK"/>
        </w:rPr>
        <w:t>ankle</w:t>
      </w:r>
      <w:r w:rsidR="00904447" w:rsidRPr="007B67E9">
        <w:rPr>
          <w:szCs w:val="28"/>
          <w:lang w:eastAsia="zh-HK"/>
        </w:rPr>
        <w:t xml:space="preserve"> injury has </w:t>
      </w:r>
      <w:r w:rsidR="006C7B5A">
        <w:rPr>
          <w:szCs w:val="28"/>
          <w:lang w:eastAsia="zh-HK"/>
        </w:rPr>
        <w:t>made</w:t>
      </w:r>
      <w:r w:rsidR="00904447" w:rsidRPr="007B67E9">
        <w:rPr>
          <w:szCs w:val="28"/>
          <w:lang w:eastAsia="zh-HK"/>
        </w:rPr>
        <w:t xml:space="preserve"> her much more </w:t>
      </w:r>
      <w:r w:rsidR="006C7B5A">
        <w:rPr>
          <w:szCs w:val="28"/>
          <w:lang w:eastAsia="zh-HK"/>
        </w:rPr>
        <w:t>“</w:t>
      </w:r>
      <w:r w:rsidR="00904447" w:rsidRPr="007B67E9">
        <w:rPr>
          <w:szCs w:val="28"/>
          <w:lang w:eastAsia="zh-HK"/>
        </w:rPr>
        <w:t>vulnerable</w:t>
      </w:r>
      <w:r w:rsidR="006C7B5A">
        <w:rPr>
          <w:szCs w:val="28"/>
          <w:lang w:eastAsia="zh-HK"/>
        </w:rPr>
        <w:t>”</w:t>
      </w:r>
      <w:r w:rsidR="00904447" w:rsidRPr="007B67E9">
        <w:rPr>
          <w:szCs w:val="28"/>
          <w:lang w:eastAsia="zh-HK"/>
        </w:rPr>
        <w:t xml:space="preserve">.  Further, </w:t>
      </w:r>
      <w:r w:rsidR="007B67E9" w:rsidRPr="007B67E9">
        <w:rPr>
          <w:szCs w:val="28"/>
          <w:lang w:eastAsia="zh-HK"/>
        </w:rPr>
        <w:t xml:space="preserve">the plaintiff claims that her </w:t>
      </w:r>
      <w:r w:rsidR="00904447" w:rsidRPr="007B67E9">
        <w:rPr>
          <w:szCs w:val="28"/>
          <w:lang w:eastAsia="zh-HK"/>
        </w:rPr>
        <w:t xml:space="preserve">working capacity </w:t>
      </w:r>
      <w:r w:rsidR="007B67E9" w:rsidRPr="007B67E9">
        <w:rPr>
          <w:szCs w:val="28"/>
          <w:lang w:eastAsia="zh-HK"/>
        </w:rPr>
        <w:t>will</w:t>
      </w:r>
      <w:r w:rsidR="00904447" w:rsidRPr="007B67E9">
        <w:rPr>
          <w:szCs w:val="28"/>
          <w:lang w:eastAsia="zh-HK"/>
        </w:rPr>
        <w:t xml:space="preserve"> be compromised</w:t>
      </w:r>
      <w:r w:rsidR="007B67E9" w:rsidRPr="007B67E9">
        <w:rPr>
          <w:szCs w:val="28"/>
          <w:lang w:eastAsia="zh-HK"/>
        </w:rPr>
        <w:t xml:space="preserve"> due to her injuries.  Mr Wong relies on the following 2 cases for his claim: </w:t>
      </w:r>
      <w:r w:rsidR="008B4F95">
        <w:rPr>
          <w:i/>
          <w:szCs w:val="28"/>
        </w:rPr>
        <w:t>Rai Dipak K</w:t>
      </w:r>
      <w:r w:rsidR="00904447" w:rsidRPr="007B67E9">
        <w:rPr>
          <w:i/>
          <w:szCs w:val="28"/>
        </w:rPr>
        <w:t xml:space="preserve">umar v Dragages Hong Kong Limited </w:t>
      </w:r>
      <w:r w:rsidR="00904447" w:rsidRPr="007B67E9">
        <w:rPr>
          <w:szCs w:val="28"/>
        </w:rPr>
        <w:t xml:space="preserve">[2019] HKCFI 728 </w:t>
      </w:r>
      <w:r w:rsidR="007B67E9">
        <w:rPr>
          <w:szCs w:val="28"/>
        </w:rPr>
        <w:t xml:space="preserve">and </w:t>
      </w:r>
      <w:r w:rsidR="00904447" w:rsidRPr="007B67E9">
        <w:rPr>
          <w:i/>
          <w:szCs w:val="28"/>
        </w:rPr>
        <w:t>Gurung Bhakta Bah</w:t>
      </w:r>
      <w:r w:rsidR="008B4F95">
        <w:rPr>
          <w:i/>
          <w:szCs w:val="28"/>
        </w:rPr>
        <w:t xml:space="preserve">adur v Green Valley Landfill Limited </w:t>
      </w:r>
      <w:r w:rsidR="00904447" w:rsidRPr="007B67E9">
        <w:rPr>
          <w:szCs w:val="28"/>
        </w:rPr>
        <w:t>(</w:t>
      </w:r>
      <w:r w:rsidRPr="007B67E9">
        <w:rPr>
          <w:szCs w:val="28"/>
        </w:rPr>
        <w:t>unreported, HCPI 333/2009, 28</w:t>
      </w:r>
      <w:r w:rsidRPr="007B67E9">
        <w:rPr>
          <w:rFonts w:eastAsia="PMingLiU" w:hint="eastAsia"/>
          <w:szCs w:val="28"/>
          <w:lang w:eastAsia="zh-TW"/>
        </w:rPr>
        <w:t xml:space="preserve"> January </w:t>
      </w:r>
      <w:r w:rsidR="008B4F95">
        <w:rPr>
          <w:szCs w:val="28"/>
        </w:rPr>
        <w:t>2011)</w:t>
      </w:r>
      <w:r w:rsidR="007B67E9">
        <w:rPr>
          <w:szCs w:val="28"/>
        </w:rPr>
        <w:t>.</w:t>
      </w:r>
    </w:p>
    <w:p w:rsidR="00185D51" w:rsidRPr="005775E0" w:rsidRDefault="00185D51" w:rsidP="00185D51">
      <w:pPr>
        <w:pStyle w:val="ListParagraph"/>
        <w:widowControl w:val="0"/>
        <w:spacing w:line="360" w:lineRule="auto"/>
        <w:ind w:left="0"/>
        <w:contextualSpacing/>
        <w:jc w:val="both"/>
        <w:rPr>
          <w:iCs/>
          <w:szCs w:val="28"/>
          <w:lang w:eastAsia="zh-HK"/>
        </w:rPr>
      </w:pPr>
    </w:p>
    <w:p w:rsidR="005775E0" w:rsidRPr="005775E0" w:rsidRDefault="007B67E9" w:rsidP="005775E0">
      <w:pPr>
        <w:pStyle w:val="ListParagraph"/>
        <w:widowControl w:val="0"/>
        <w:numPr>
          <w:ilvl w:val="0"/>
          <w:numId w:val="17"/>
        </w:numPr>
        <w:spacing w:line="360" w:lineRule="auto"/>
        <w:ind w:left="0" w:firstLine="0"/>
        <w:contextualSpacing/>
        <w:jc w:val="both"/>
        <w:rPr>
          <w:i/>
          <w:iCs/>
          <w:szCs w:val="28"/>
          <w:lang w:eastAsia="zh-HK"/>
        </w:rPr>
      </w:pPr>
      <w:r w:rsidRPr="005775E0">
        <w:rPr>
          <w:iCs/>
          <w:szCs w:val="28"/>
          <w:lang w:eastAsia="zh-HK"/>
        </w:rPr>
        <w:t>I do not accept that the plaintiff’s ankle injuries would make her more vulnerable than any other office assistants of her age.  According to the experts, this is one of the jobs she is well capable in doing</w:t>
      </w:r>
      <w:r w:rsidR="006C7B5A" w:rsidRPr="005775E0">
        <w:rPr>
          <w:iCs/>
          <w:szCs w:val="28"/>
          <w:lang w:eastAsia="zh-HK"/>
        </w:rPr>
        <w:t xml:space="preserve"> with only “mild reduction in efficiency and capacity”. </w:t>
      </w:r>
      <w:r w:rsidRPr="005775E0">
        <w:rPr>
          <w:iCs/>
          <w:szCs w:val="28"/>
          <w:lang w:eastAsia="zh-HK"/>
        </w:rPr>
        <w:t xml:space="preserve"> The plaintiff also gave </w:t>
      </w:r>
      <w:r w:rsidRPr="005775E0">
        <w:rPr>
          <w:iCs/>
          <w:szCs w:val="28"/>
          <w:lang w:eastAsia="zh-HK"/>
        </w:rPr>
        <w:lastRenderedPageBreak/>
        <w:t>evidence to the effect that</w:t>
      </w:r>
      <w:r w:rsidR="006C7B5A" w:rsidRPr="005775E0">
        <w:rPr>
          <w:iCs/>
          <w:szCs w:val="28"/>
          <w:lang w:eastAsia="zh-HK"/>
        </w:rPr>
        <w:t xml:space="preserve"> she does not have to perform any outdoor duties and she can spend a lot of time sitting inside</w:t>
      </w:r>
      <w:r w:rsidR="006C7B5A" w:rsidRPr="00185D51">
        <w:rPr>
          <w:iCs/>
          <w:szCs w:val="28"/>
          <w:lang w:eastAsia="zh-HK"/>
        </w:rPr>
        <w:t xml:space="preserve"> the office.  Hence, I do not see how she will suffer any risk of losing her present employment and therefore suffer a handicap in the</w:t>
      </w:r>
      <w:r w:rsidR="008665F8">
        <w:rPr>
          <w:iCs/>
          <w:szCs w:val="28"/>
          <w:lang w:eastAsia="zh-HK"/>
        </w:rPr>
        <w:t xml:space="preserve"> open labour market as a result.</w:t>
      </w:r>
    </w:p>
    <w:p w:rsidR="005775E0" w:rsidRDefault="005775E0" w:rsidP="005775E0">
      <w:pPr>
        <w:pStyle w:val="ListParagraph"/>
        <w:widowControl w:val="0"/>
        <w:spacing w:line="360" w:lineRule="auto"/>
        <w:ind w:left="0"/>
        <w:contextualSpacing/>
        <w:jc w:val="both"/>
        <w:rPr>
          <w:i/>
          <w:iCs/>
          <w:szCs w:val="28"/>
          <w:lang w:eastAsia="zh-HK"/>
        </w:rPr>
      </w:pPr>
    </w:p>
    <w:p w:rsidR="006C7B5A" w:rsidRPr="005775E0" w:rsidRDefault="006C7B5A" w:rsidP="005775E0">
      <w:pPr>
        <w:pStyle w:val="ListParagraph"/>
        <w:widowControl w:val="0"/>
        <w:numPr>
          <w:ilvl w:val="0"/>
          <w:numId w:val="17"/>
        </w:numPr>
        <w:spacing w:line="360" w:lineRule="auto"/>
        <w:ind w:left="0" w:firstLine="0"/>
        <w:contextualSpacing/>
        <w:jc w:val="both"/>
        <w:rPr>
          <w:i/>
          <w:iCs/>
          <w:szCs w:val="28"/>
          <w:lang w:eastAsia="zh-HK"/>
        </w:rPr>
      </w:pPr>
      <w:r w:rsidRPr="005775E0">
        <w:rPr>
          <w:iCs/>
          <w:szCs w:val="28"/>
          <w:lang w:eastAsia="zh-HK"/>
        </w:rPr>
        <w:t>I will not allow any award for loss of earning capacity in this case.</w:t>
      </w:r>
    </w:p>
    <w:p w:rsidR="007B67E9" w:rsidRPr="005775E0" w:rsidRDefault="007B67E9" w:rsidP="0086642B">
      <w:pPr>
        <w:pStyle w:val="ListParagraph"/>
        <w:widowControl w:val="0"/>
        <w:tabs>
          <w:tab w:val="left" w:pos="720"/>
        </w:tabs>
        <w:spacing w:line="360" w:lineRule="auto"/>
        <w:ind w:left="0"/>
        <w:contextualSpacing/>
        <w:jc w:val="both"/>
        <w:rPr>
          <w:iCs/>
          <w:szCs w:val="28"/>
          <w:lang w:eastAsia="zh-HK"/>
        </w:rPr>
      </w:pPr>
    </w:p>
    <w:p w:rsidR="00904447" w:rsidRPr="00DF053A" w:rsidRDefault="007F2C29" w:rsidP="005775E0">
      <w:pPr>
        <w:pStyle w:val="ListParagraph"/>
        <w:widowControl w:val="0"/>
        <w:numPr>
          <w:ilvl w:val="0"/>
          <w:numId w:val="32"/>
        </w:numPr>
        <w:tabs>
          <w:tab w:val="clear" w:pos="1440"/>
          <w:tab w:val="clear" w:pos="4320"/>
          <w:tab w:val="clear" w:pos="9072"/>
        </w:tabs>
        <w:spacing w:line="360" w:lineRule="auto"/>
        <w:ind w:left="0" w:firstLine="0"/>
        <w:contextualSpacing/>
        <w:jc w:val="both"/>
        <w:rPr>
          <w:i/>
          <w:iCs/>
          <w:szCs w:val="28"/>
          <w:lang w:eastAsia="zh-HK"/>
        </w:rPr>
      </w:pPr>
      <w:r>
        <w:rPr>
          <w:i/>
          <w:iCs/>
          <w:szCs w:val="28"/>
          <w:lang w:eastAsia="zh-HK"/>
        </w:rPr>
        <w:t xml:space="preserve"> </w:t>
      </w:r>
      <w:r w:rsidR="00904447" w:rsidRPr="00DF053A">
        <w:rPr>
          <w:i/>
          <w:iCs/>
          <w:szCs w:val="28"/>
          <w:lang w:eastAsia="zh-HK"/>
        </w:rPr>
        <w:t>Future medical expenses</w:t>
      </w:r>
    </w:p>
    <w:p w:rsidR="00904447" w:rsidRPr="00904447" w:rsidRDefault="00904447" w:rsidP="005775E0">
      <w:pPr>
        <w:widowControl w:val="0"/>
        <w:tabs>
          <w:tab w:val="clear" w:pos="1440"/>
          <w:tab w:val="clear" w:pos="4320"/>
          <w:tab w:val="clear" w:pos="9072"/>
        </w:tabs>
        <w:spacing w:line="360" w:lineRule="auto"/>
        <w:contextualSpacing/>
        <w:jc w:val="both"/>
        <w:rPr>
          <w:b/>
          <w:bCs/>
          <w:szCs w:val="28"/>
          <w:lang w:eastAsia="zh-HK"/>
        </w:rPr>
      </w:pPr>
    </w:p>
    <w:p w:rsidR="00904447" w:rsidRDefault="00601F2A" w:rsidP="0086642B">
      <w:pPr>
        <w:pStyle w:val="ListParagraph"/>
        <w:numPr>
          <w:ilvl w:val="0"/>
          <w:numId w:val="17"/>
        </w:numPr>
        <w:spacing w:line="360" w:lineRule="auto"/>
        <w:ind w:left="0" w:firstLine="0"/>
        <w:jc w:val="both"/>
        <w:rPr>
          <w:szCs w:val="28"/>
          <w:lang w:eastAsia="zh-HK"/>
        </w:rPr>
      </w:pPr>
      <w:r>
        <w:rPr>
          <w:rFonts w:eastAsia="PMingLiU" w:hint="eastAsia"/>
          <w:szCs w:val="28"/>
          <w:lang w:eastAsia="zh-TW"/>
        </w:rPr>
        <w:t>The plaintiff</w:t>
      </w:r>
      <w:r w:rsidR="007F2C29">
        <w:rPr>
          <w:szCs w:val="28"/>
          <w:lang w:eastAsia="zh-HK"/>
        </w:rPr>
        <w:t xml:space="preserve"> claims $40,000 as cost </w:t>
      </w:r>
      <w:r w:rsidR="00904447" w:rsidRPr="00904447">
        <w:rPr>
          <w:szCs w:val="28"/>
          <w:lang w:eastAsia="zh-HK"/>
        </w:rPr>
        <w:t xml:space="preserve">for </w:t>
      </w:r>
      <w:r w:rsidR="007F2C29">
        <w:rPr>
          <w:szCs w:val="28"/>
          <w:lang w:eastAsia="zh-HK"/>
        </w:rPr>
        <w:t xml:space="preserve">future </w:t>
      </w:r>
      <w:r w:rsidR="00904447" w:rsidRPr="00904447">
        <w:rPr>
          <w:szCs w:val="28"/>
          <w:lang w:eastAsia="zh-HK"/>
        </w:rPr>
        <w:t xml:space="preserve">surgery for removal of </w:t>
      </w:r>
      <w:r w:rsidR="007F2C29">
        <w:rPr>
          <w:szCs w:val="28"/>
          <w:lang w:eastAsia="zh-HK"/>
        </w:rPr>
        <w:t xml:space="preserve">the </w:t>
      </w:r>
      <w:r w:rsidR="00904447" w:rsidRPr="00904447">
        <w:rPr>
          <w:szCs w:val="28"/>
          <w:lang w:eastAsia="zh-HK"/>
        </w:rPr>
        <w:t>implant</w:t>
      </w:r>
      <w:r w:rsidR="007F2C29">
        <w:rPr>
          <w:szCs w:val="28"/>
          <w:lang w:eastAsia="zh-HK"/>
        </w:rPr>
        <w:t>s in her ankle</w:t>
      </w:r>
      <w:r w:rsidR="00904447" w:rsidRPr="00904447">
        <w:rPr>
          <w:szCs w:val="28"/>
          <w:lang w:eastAsia="zh-HK"/>
        </w:rPr>
        <w:t>.</w:t>
      </w:r>
    </w:p>
    <w:p w:rsidR="006C7B5A" w:rsidRDefault="006C7B5A" w:rsidP="0086642B">
      <w:pPr>
        <w:pStyle w:val="ListParagraph"/>
        <w:spacing w:line="360" w:lineRule="auto"/>
        <w:ind w:left="0"/>
        <w:jc w:val="both"/>
        <w:rPr>
          <w:szCs w:val="28"/>
          <w:lang w:eastAsia="zh-HK"/>
        </w:rPr>
      </w:pPr>
    </w:p>
    <w:p w:rsidR="007F2C29" w:rsidRDefault="006C7B5A" w:rsidP="0086642B">
      <w:pPr>
        <w:pStyle w:val="ListParagraph"/>
        <w:numPr>
          <w:ilvl w:val="0"/>
          <w:numId w:val="17"/>
        </w:numPr>
        <w:spacing w:line="360" w:lineRule="auto"/>
        <w:ind w:left="0" w:firstLine="0"/>
        <w:jc w:val="both"/>
        <w:rPr>
          <w:szCs w:val="28"/>
          <w:lang w:eastAsia="zh-HK"/>
        </w:rPr>
      </w:pPr>
      <w:r>
        <w:rPr>
          <w:szCs w:val="28"/>
          <w:lang w:eastAsia="zh-HK"/>
        </w:rPr>
        <w:t>I accept Mr Poon’</w:t>
      </w:r>
      <w:r w:rsidR="007F2C29">
        <w:rPr>
          <w:szCs w:val="28"/>
          <w:lang w:eastAsia="zh-HK"/>
        </w:rPr>
        <w:t xml:space="preserve">s submission on this issue </w:t>
      </w:r>
      <w:r>
        <w:rPr>
          <w:szCs w:val="28"/>
          <w:lang w:eastAsia="zh-HK"/>
        </w:rPr>
        <w:t xml:space="preserve">that the plaintiff had been given 3 separate opportunities </w:t>
      </w:r>
      <w:r w:rsidR="007F2C29">
        <w:rPr>
          <w:szCs w:val="28"/>
          <w:lang w:eastAsia="zh-HK"/>
        </w:rPr>
        <w:t xml:space="preserve">by the doctors at TKOH </w:t>
      </w:r>
      <w:r>
        <w:rPr>
          <w:szCs w:val="28"/>
          <w:lang w:eastAsia="zh-HK"/>
        </w:rPr>
        <w:t xml:space="preserve">to remove the implants in her ankle but each time she had failed to </w:t>
      </w:r>
      <w:r w:rsidR="007F2C29">
        <w:rPr>
          <w:szCs w:val="28"/>
          <w:lang w:eastAsia="zh-HK"/>
        </w:rPr>
        <w:t xml:space="preserve">accept the offer to do so.  While her fear on the risks of surgery may or may not be real, I do not consider it is rational or reasonable.  </w:t>
      </w:r>
      <w:r>
        <w:rPr>
          <w:szCs w:val="28"/>
          <w:lang w:eastAsia="zh-HK"/>
        </w:rPr>
        <w:t>In my view, it is</w:t>
      </w:r>
      <w:r w:rsidR="007F2C29">
        <w:rPr>
          <w:szCs w:val="28"/>
          <w:lang w:eastAsia="zh-HK"/>
        </w:rPr>
        <w:t xml:space="preserve"> extremely </w:t>
      </w:r>
      <w:r>
        <w:rPr>
          <w:szCs w:val="28"/>
          <w:lang w:eastAsia="zh-HK"/>
        </w:rPr>
        <w:t xml:space="preserve">unlikely that she will ever </w:t>
      </w:r>
      <w:r w:rsidR="007F2C29">
        <w:rPr>
          <w:szCs w:val="28"/>
          <w:lang w:eastAsia="zh-HK"/>
        </w:rPr>
        <w:t xml:space="preserve">willing to undergo such surgery in future.  </w:t>
      </w:r>
    </w:p>
    <w:p w:rsidR="007F2C29" w:rsidRPr="007F2C29" w:rsidRDefault="007F2C29" w:rsidP="0086642B">
      <w:pPr>
        <w:pStyle w:val="ListParagraph"/>
        <w:spacing w:line="360" w:lineRule="auto"/>
        <w:rPr>
          <w:szCs w:val="28"/>
          <w:lang w:eastAsia="zh-HK"/>
        </w:rPr>
      </w:pPr>
    </w:p>
    <w:p w:rsidR="007F2C29" w:rsidRDefault="007F2C29" w:rsidP="0086642B">
      <w:pPr>
        <w:pStyle w:val="ListParagraph"/>
        <w:numPr>
          <w:ilvl w:val="0"/>
          <w:numId w:val="17"/>
        </w:numPr>
        <w:spacing w:line="360" w:lineRule="auto"/>
        <w:ind w:left="0" w:firstLine="0"/>
        <w:jc w:val="both"/>
        <w:rPr>
          <w:szCs w:val="28"/>
          <w:lang w:eastAsia="zh-HK"/>
        </w:rPr>
      </w:pPr>
      <w:r>
        <w:rPr>
          <w:szCs w:val="28"/>
          <w:lang w:eastAsia="zh-HK"/>
        </w:rPr>
        <w:t>In any event, as</w:t>
      </w:r>
      <w:r w:rsidR="006C7B5A">
        <w:rPr>
          <w:szCs w:val="28"/>
          <w:lang w:eastAsia="zh-HK"/>
        </w:rPr>
        <w:t xml:space="preserve"> </w:t>
      </w:r>
      <w:r>
        <w:rPr>
          <w:szCs w:val="28"/>
          <w:lang w:eastAsia="zh-HK"/>
        </w:rPr>
        <w:t xml:space="preserve">the plaintiff has told the Court during her oral evidence, </w:t>
      </w:r>
      <w:r w:rsidR="006C7B5A">
        <w:rPr>
          <w:szCs w:val="28"/>
          <w:lang w:eastAsia="zh-HK"/>
        </w:rPr>
        <w:t xml:space="preserve">she had been advised by the doctors at </w:t>
      </w:r>
      <w:r>
        <w:rPr>
          <w:szCs w:val="28"/>
          <w:lang w:eastAsia="zh-HK"/>
        </w:rPr>
        <w:t xml:space="preserve">TKOH </w:t>
      </w:r>
      <w:r w:rsidR="006C7B5A">
        <w:rPr>
          <w:szCs w:val="28"/>
          <w:lang w:eastAsia="zh-HK"/>
        </w:rPr>
        <w:t>that the screws implanted in her ankle are of the “new type” and “can be dissolved by themselves”</w:t>
      </w:r>
      <w:r w:rsidR="00CA4C8A">
        <w:rPr>
          <w:szCs w:val="28"/>
          <w:lang w:eastAsia="zh-HK"/>
        </w:rPr>
        <w:t>.</w:t>
      </w:r>
      <w:r>
        <w:rPr>
          <w:szCs w:val="28"/>
          <w:lang w:eastAsia="zh-HK"/>
        </w:rPr>
        <w:t xml:space="preserve"> I </w:t>
      </w:r>
      <w:r w:rsidR="00CA4C8A">
        <w:rPr>
          <w:szCs w:val="28"/>
          <w:lang w:eastAsia="zh-HK"/>
        </w:rPr>
        <w:t>therefore do not consider</w:t>
      </w:r>
      <w:r>
        <w:rPr>
          <w:szCs w:val="28"/>
          <w:lang w:eastAsia="zh-HK"/>
        </w:rPr>
        <w:t xml:space="preserve"> it is likely that she will undergo another surgery to remove them in future.</w:t>
      </w:r>
    </w:p>
    <w:p w:rsidR="007F2C29" w:rsidRPr="007F2C29" w:rsidRDefault="007F2C29" w:rsidP="0086642B">
      <w:pPr>
        <w:pStyle w:val="ListParagraph"/>
        <w:spacing w:line="360" w:lineRule="auto"/>
        <w:rPr>
          <w:szCs w:val="28"/>
          <w:lang w:eastAsia="zh-HK"/>
        </w:rPr>
      </w:pPr>
    </w:p>
    <w:p w:rsidR="006C7B5A" w:rsidRDefault="007F2C29" w:rsidP="0086642B">
      <w:pPr>
        <w:pStyle w:val="ListParagraph"/>
        <w:numPr>
          <w:ilvl w:val="0"/>
          <w:numId w:val="17"/>
        </w:numPr>
        <w:spacing w:line="360" w:lineRule="auto"/>
        <w:ind w:left="0" w:firstLine="0"/>
        <w:jc w:val="both"/>
        <w:rPr>
          <w:szCs w:val="28"/>
          <w:lang w:eastAsia="zh-HK"/>
        </w:rPr>
      </w:pPr>
      <w:r>
        <w:rPr>
          <w:szCs w:val="28"/>
          <w:lang w:eastAsia="zh-HK"/>
        </w:rPr>
        <w:t xml:space="preserve">Even if she wishes to undergo surgery to remove the implants one day, there is no reason in my view why she cannot make use of the very efficient and high quality public service in the public hospitals which </w:t>
      </w:r>
      <w:r>
        <w:rPr>
          <w:szCs w:val="28"/>
          <w:lang w:eastAsia="zh-HK"/>
        </w:rPr>
        <w:lastRenderedPageBreak/>
        <w:t xml:space="preserve">she has been well looked after so far.  The </w:t>
      </w:r>
      <w:r w:rsidR="009C4D9E">
        <w:rPr>
          <w:szCs w:val="28"/>
          <w:lang w:eastAsia="zh-HK"/>
        </w:rPr>
        <w:t xml:space="preserve">cost of such a surgery </w:t>
      </w:r>
      <w:r>
        <w:rPr>
          <w:szCs w:val="28"/>
          <w:lang w:eastAsia="zh-HK"/>
        </w:rPr>
        <w:t xml:space="preserve">in the public sector will be nominal and I do not see why she needs to go to the private sector to do that.  </w:t>
      </w:r>
      <w:r w:rsidR="006C7B5A">
        <w:rPr>
          <w:szCs w:val="28"/>
          <w:lang w:eastAsia="zh-HK"/>
        </w:rPr>
        <w:t xml:space="preserve">    </w:t>
      </w:r>
    </w:p>
    <w:p w:rsidR="006C7B5A" w:rsidRPr="006C7B5A" w:rsidRDefault="006C7B5A" w:rsidP="0086642B">
      <w:pPr>
        <w:pStyle w:val="ListParagraph"/>
        <w:spacing w:line="360" w:lineRule="auto"/>
        <w:rPr>
          <w:szCs w:val="28"/>
          <w:lang w:eastAsia="zh-HK"/>
        </w:rPr>
      </w:pPr>
    </w:p>
    <w:p w:rsidR="006C7B5A" w:rsidRPr="00904447" w:rsidRDefault="007F2C29" w:rsidP="0086642B">
      <w:pPr>
        <w:pStyle w:val="ListParagraph"/>
        <w:numPr>
          <w:ilvl w:val="0"/>
          <w:numId w:val="17"/>
        </w:numPr>
        <w:spacing w:line="360" w:lineRule="auto"/>
        <w:ind w:left="0" w:firstLine="0"/>
        <w:jc w:val="both"/>
        <w:rPr>
          <w:szCs w:val="28"/>
          <w:lang w:eastAsia="zh-HK"/>
        </w:rPr>
      </w:pPr>
      <w:r>
        <w:rPr>
          <w:szCs w:val="28"/>
          <w:lang w:eastAsia="zh-HK"/>
        </w:rPr>
        <w:t>I therefore will reject this claim.</w:t>
      </w:r>
    </w:p>
    <w:p w:rsidR="00904447" w:rsidRPr="00904447" w:rsidRDefault="00904447" w:rsidP="0086642B">
      <w:pPr>
        <w:widowControl w:val="0"/>
        <w:tabs>
          <w:tab w:val="left" w:pos="720"/>
        </w:tabs>
        <w:spacing w:line="360" w:lineRule="auto"/>
        <w:contextualSpacing/>
        <w:jc w:val="both"/>
        <w:rPr>
          <w:szCs w:val="28"/>
          <w:lang w:eastAsia="zh-HK"/>
        </w:rPr>
      </w:pPr>
    </w:p>
    <w:p w:rsidR="00904447" w:rsidRPr="00DF053A" w:rsidRDefault="00D42A6D" w:rsidP="0086642B">
      <w:pPr>
        <w:widowControl w:val="0"/>
        <w:tabs>
          <w:tab w:val="left" w:pos="720"/>
        </w:tabs>
        <w:spacing w:line="360" w:lineRule="auto"/>
        <w:contextualSpacing/>
        <w:jc w:val="both"/>
        <w:rPr>
          <w:i/>
          <w:iCs/>
          <w:szCs w:val="28"/>
          <w:lang w:eastAsia="zh-HK"/>
        </w:rPr>
      </w:pPr>
      <w:r>
        <w:rPr>
          <w:i/>
          <w:iCs/>
          <w:szCs w:val="28"/>
          <w:lang w:eastAsia="zh-HK"/>
        </w:rPr>
        <w:t xml:space="preserve">(F) </w:t>
      </w:r>
      <w:r w:rsidR="00904447" w:rsidRPr="00DF053A">
        <w:rPr>
          <w:i/>
          <w:iCs/>
          <w:szCs w:val="28"/>
          <w:lang w:eastAsia="zh-HK"/>
        </w:rPr>
        <w:t>Special damages</w:t>
      </w:r>
    </w:p>
    <w:p w:rsidR="00904447" w:rsidRPr="00904447" w:rsidRDefault="00904447" w:rsidP="0086642B">
      <w:pPr>
        <w:widowControl w:val="0"/>
        <w:tabs>
          <w:tab w:val="left" w:pos="720"/>
        </w:tabs>
        <w:spacing w:line="360" w:lineRule="auto"/>
        <w:contextualSpacing/>
        <w:jc w:val="both"/>
        <w:rPr>
          <w:szCs w:val="28"/>
          <w:lang w:eastAsia="zh-HK"/>
        </w:rPr>
      </w:pPr>
    </w:p>
    <w:p w:rsidR="00904447" w:rsidRDefault="00904447" w:rsidP="0086642B">
      <w:pPr>
        <w:pStyle w:val="ListParagraph"/>
        <w:numPr>
          <w:ilvl w:val="0"/>
          <w:numId w:val="17"/>
        </w:numPr>
        <w:spacing w:line="360" w:lineRule="auto"/>
        <w:ind w:left="0" w:firstLine="0"/>
        <w:jc w:val="both"/>
        <w:rPr>
          <w:szCs w:val="28"/>
          <w:lang w:eastAsia="zh-HK"/>
        </w:rPr>
      </w:pPr>
      <w:r w:rsidRPr="00904447">
        <w:rPr>
          <w:szCs w:val="28"/>
          <w:lang w:eastAsia="zh-HK"/>
        </w:rPr>
        <w:t>This sum has been agreed</w:t>
      </w:r>
      <w:r w:rsidR="009C4D9E">
        <w:rPr>
          <w:szCs w:val="28"/>
          <w:lang w:eastAsia="zh-HK"/>
        </w:rPr>
        <w:t xml:space="preserve"> by the parties </w:t>
      </w:r>
      <w:r w:rsidRPr="00904447">
        <w:rPr>
          <w:szCs w:val="28"/>
          <w:lang w:eastAsia="zh-HK"/>
        </w:rPr>
        <w:t>at $20,000.</w:t>
      </w:r>
      <w:r w:rsidR="009C4D9E">
        <w:rPr>
          <w:szCs w:val="28"/>
          <w:lang w:eastAsia="zh-HK"/>
        </w:rPr>
        <w:t xml:space="preserve">  I so make this award.</w:t>
      </w:r>
    </w:p>
    <w:p w:rsidR="00D65196" w:rsidRDefault="00D65196" w:rsidP="0086642B">
      <w:pPr>
        <w:spacing w:line="360" w:lineRule="auto"/>
        <w:jc w:val="both"/>
        <w:rPr>
          <w:szCs w:val="28"/>
          <w:lang w:eastAsia="zh-HK"/>
        </w:rPr>
      </w:pPr>
    </w:p>
    <w:p w:rsidR="00E54E97" w:rsidRPr="00C35052" w:rsidRDefault="00E54E97" w:rsidP="0086642B">
      <w:pPr>
        <w:pStyle w:val="ListParagraph"/>
        <w:spacing w:line="360" w:lineRule="auto"/>
        <w:ind w:left="0"/>
        <w:jc w:val="both"/>
        <w:rPr>
          <w:i/>
        </w:rPr>
      </w:pPr>
      <w:r>
        <w:rPr>
          <w:i/>
        </w:rPr>
        <w:t>CONCLUSION</w:t>
      </w:r>
    </w:p>
    <w:p w:rsidR="00D65196" w:rsidRDefault="00D65196" w:rsidP="0086642B">
      <w:pPr>
        <w:spacing w:line="360" w:lineRule="auto"/>
        <w:jc w:val="both"/>
        <w:rPr>
          <w:szCs w:val="28"/>
          <w:lang w:eastAsia="zh-HK"/>
        </w:rPr>
      </w:pPr>
    </w:p>
    <w:p w:rsidR="00D65196" w:rsidRPr="00D65196" w:rsidRDefault="00D65196" w:rsidP="0086642B">
      <w:pPr>
        <w:spacing w:line="360" w:lineRule="auto"/>
        <w:jc w:val="both"/>
        <w:rPr>
          <w:i/>
          <w:szCs w:val="28"/>
          <w:lang w:eastAsia="zh-HK"/>
        </w:rPr>
      </w:pPr>
      <w:r w:rsidRPr="00D65196">
        <w:rPr>
          <w:i/>
          <w:szCs w:val="28"/>
          <w:lang w:eastAsia="zh-HK"/>
        </w:rPr>
        <w:t xml:space="preserve">Summary of Assessment </w:t>
      </w:r>
    </w:p>
    <w:p w:rsidR="00D65196" w:rsidRPr="005775E0" w:rsidRDefault="00D65196" w:rsidP="005775E0">
      <w:pPr>
        <w:widowControl w:val="0"/>
        <w:tabs>
          <w:tab w:val="left" w:pos="720"/>
        </w:tabs>
        <w:spacing w:line="360" w:lineRule="auto"/>
        <w:contextualSpacing/>
        <w:jc w:val="both"/>
        <w:rPr>
          <w:szCs w:val="28"/>
          <w:lang w:eastAsia="zh-HK"/>
        </w:rPr>
      </w:pP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(A) </w:t>
      </w:r>
      <w:r w:rsidRPr="00D65196">
        <w:rPr>
          <w:rFonts w:eastAsia="Times New Roman"/>
          <w:szCs w:val="28"/>
          <w:lang w:val="en-HK" w:eastAsia="zh-HK"/>
        </w:rPr>
        <w:t>PSLA</w:t>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t>$250,000</w:t>
      </w:r>
    </w:p>
    <w:p w:rsidR="00D65196" w:rsidRPr="00D65196" w:rsidRDefault="00D65196" w:rsidP="0086642B">
      <w:pPr>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(B) </w:t>
      </w:r>
      <w:r w:rsidRPr="00D65196">
        <w:rPr>
          <w:rFonts w:eastAsia="Times New Roman"/>
          <w:szCs w:val="28"/>
          <w:lang w:val="en-HK" w:eastAsia="zh-HK"/>
        </w:rPr>
        <w:t>Pre-trial loss of earnings</w:t>
      </w:r>
      <w:r w:rsidRPr="00D65196">
        <w:rPr>
          <w:rFonts w:eastAsia="Times New Roman"/>
          <w:szCs w:val="28"/>
          <w:lang w:val="en-HK" w:eastAsia="zh-HK"/>
        </w:rPr>
        <w:tab/>
      </w:r>
      <w:r w:rsidRPr="00D65196">
        <w:rPr>
          <w:rFonts w:eastAsia="Times New Roman"/>
          <w:szCs w:val="28"/>
          <w:lang w:val="en-HK" w:eastAsia="zh-HK"/>
        </w:rPr>
        <w:tab/>
      </w:r>
      <w:r w:rsidR="00304801">
        <w:rPr>
          <w:rFonts w:eastAsia="Times New Roman"/>
          <w:szCs w:val="28"/>
          <w:lang w:val="en-HK" w:eastAsia="zh-HK"/>
        </w:rPr>
        <w:t>$</w:t>
      </w:r>
      <w:r w:rsidR="00304801">
        <w:rPr>
          <w:szCs w:val="28"/>
          <w:lang w:eastAsia="zh-HK"/>
        </w:rPr>
        <w:t>368,907</w:t>
      </w:r>
    </w:p>
    <w:p w:rsidR="00D65196" w:rsidRPr="00D65196" w:rsidRDefault="00D65196" w:rsidP="0086642B">
      <w:pPr>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(C) </w:t>
      </w:r>
      <w:r w:rsidRPr="00D65196">
        <w:rPr>
          <w:rFonts w:eastAsia="Times New Roman"/>
          <w:szCs w:val="28"/>
          <w:lang w:val="en-HK" w:eastAsia="zh-HK"/>
        </w:rPr>
        <w:t>Post-trial loss of earnings</w:t>
      </w:r>
      <w:r w:rsidRPr="00D65196">
        <w:rPr>
          <w:rFonts w:eastAsia="Times New Roman"/>
          <w:szCs w:val="28"/>
          <w:lang w:val="en-HK" w:eastAsia="zh-HK"/>
        </w:rPr>
        <w:tab/>
      </w:r>
      <w:r w:rsidRPr="00D65196">
        <w:rPr>
          <w:rFonts w:eastAsia="Times New Roman"/>
          <w:szCs w:val="28"/>
          <w:lang w:val="en-HK" w:eastAsia="zh-HK"/>
        </w:rPr>
        <w:tab/>
        <w:t>$</w:t>
      </w:r>
      <w:r w:rsidR="00304801">
        <w:rPr>
          <w:rFonts w:eastAsia="Times New Roman"/>
          <w:szCs w:val="28"/>
          <w:lang w:val="en-HK" w:eastAsia="zh-HK"/>
        </w:rPr>
        <w:t>634,753</w:t>
      </w: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(D) </w:t>
      </w:r>
      <w:r w:rsidRPr="00D65196">
        <w:rPr>
          <w:rFonts w:eastAsia="Times New Roman"/>
          <w:szCs w:val="28"/>
          <w:lang w:val="en-HK" w:eastAsia="zh-HK"/>
        </w:rPr>
        <w:t>Loss of earning capacity</w:t>
      </w:r>
      <w:r w:rsidRPr="00D65196">
        <w:rPr>
          <w:rFonts w:eastAsia="Times New Roman"/>
          <w:szCs w:val="28"/>
          <w:lang w:val="en-HK" w:eastAsia="zh-HK"/>
        </w:rPr>
        <w:tab/>
      </w:r>
      <w:r w:rsidRPr="00D65196">
        <w:rPr>
          <w:rFonts w:eastAsia="Times New Roman"/>
          <w:szCs w:val="28"/>
          <w:lang w:val="en-HK" w:eastAsia="zh-HK"/>
        </w:rPr>
        <w:tab/>
        <w:t xml:space="preserve"> nil </w:t>
      </w: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(E) </w:t>
      </w:r>
      <w:r w:rsidRPr="00D65196">
        <w:rPr>
          <w:rFonts w:eastAsia="Times New Roman"/>
          <w:szCs w:val="28"/>
          <w:lang w:val="en-HK" w:eastAsia="zh-HK"/>
        </w:rPr>
        <w:t>Future medical expenses</w:t>
      </w:r>
      <w:r w:rsidRPr="00D65196">
        <w:rPr>
          <w:rFonts w:eastAsia="Times New Roman"/>
          <w:szCs w:val="28"/>
          <w:lang w:val="en-HK" w:eastAsia="zh-HK"/>
        </w:rPr>
        <w:tab/>
      </w:r>
      <w:r w:rsidRPr="00D65196">
        <w:rPr>
          <w:rFonts w:eastAsia="Times New Roman"/>
          <w:szCs w:val="28"/>
          <w:lang w:val="en-HK" w:eastAsia="zh-HK"/>
        </w:rPr>
        <w:tab/>
        <w:t xml:space="preserve"> nil</w:t>
      </w: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Times New Roman"/>
          <w:szCs w:val="28"/>
          <w:lang w:val="en-HK" w:eastAsia="zh-HK"/>
        </w:rPr>
      </w:pPr>
      <w:r>
        <w:rPr>
          <w:rFonts w:eastAsia="Times New Roman"/>
          <w:szCs w:val="28"/>
          <w:lang w:val="en-HK" w:eastAsia="zh-HK"/>
        </w:rPr>
        <w:tab/>
      </w:r>
      <w:r w:rsidR="00D42A6D">
        <w:rPr>
          <w:rFonts w:eastAsia="Times New Roman"/>
          <w:szCs w:val="28"/>
          <w:lang w:val="en-HK" w:eastAsia="zh-HK"/>
        </w:rPr>
        <w:t xml:space="preserve">(F) </w:t>
      </w:r>
      <w:r w:rsidRPr="00D65196">
        <w:rPr>
          <w:rFonts w:eastAsia="Times New Roman"/>
          <w:szCs w:val="28"/>
          <w:lang w:val="en-HK" w:eastAsia="zh-HK"/>
        </w:rPr>
        <w:t>Special damages</w:t>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r w:rsidRPr="00D65196">
        <w:rPr>
          <w:rFonts w:eastAsia="PMingLiU" w:hint="eastAsia"/>
          <w:szCs w:val="28"/>
          <w:lang w:val="en-HK" w:eastAsia="zh-TW"/>
        </w:rPr>
        <w:tab/>
      </w:r>
      <w:r w:rsidRPr="00D65196">
        <w:rPr>
          <w:rFonts w:eastAsia="Times New Roman"/>
          <w:szCs w:val="28"/>
          <w:lang w:val="en-HK" w:eastAsia="zh-HK"/>
        </w:rPr>
        <w:t>$20,000</w:t>
      </w:r>
      <w:r w:rsidRPr="00D65196">
        <w:rPr>
          <w:rFonts w:eastAsia="Times New Roman"/>
          <w:szCs w:val="28"/>
          <w:lang w:val="en-HK" w:eastAsia="zh-HK"/>
        </w:rPr>
        <w:tab/>
      </w:r>
      <w:r w:rsidRPr="00D65196">
        <w:rPr>
          <w:rFonts w:eastAsia="Times New Roman"/>
          <w:szCs w:val="28"/>
          <w:lang w:val="en-HK" w:eastAsia="zh-HK"/>
        </w:rPr>
        <w:tab/>
      </w:r>
      <w:r w:rsidRPr="00D65196">
        <w:rPr>
          <w:rFonts w:eastAsia="Times New Roman"/>
          <w:szCs w:val="28"/>
          <w:lang w:val="en-HK" w:eastAsia="zh-HK"/>
        </w:rPr>
        <w:tab/>
      </w: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PMingLiU"/>
          <w:iCs/>
          <w:szCs w:val="28"/>
          <w:u w:val="single"/>
          <w:lang w:eastAsia="zh-TW"/>
        </w:rPr>
      </w:pPr>
      <w:r>
        <w:rPr>
          <w:szCs w:val="28"/>
          <w:lang w:eastAsia="zh-HK"/>
        </w:rPr>
        <w:tab/>
      </w:r>
      <w:r w:rsidR="00D42A6D">
        <w:rPr>
          <w:szCs w:val="28"/>
          <w:lang w:eastAsia="zh-HK"/>
        </w:rPr>
        <w:t xml:space="preserve">      </w:t>
      </w:r>
      <w:r w:rsidRPr="00D65196">
        <w:rPr>
          <w:szCs w:val="28"/>
          <w:lang w:eastAsia="zh-HK"/>
        </w:rPr>
        <w:t>(</w:t>
      </w:r>
      <w:r w:rsidRPr="00D65196">
        <w:rPr>
          <w:iCs/>
          <w:szCs w:val="28"/>
          <w:lang w:eastAsia="zh-HK"/>
        </w:rPr>
        <w:t>Less: EC payment)</w:t>
      </w:r>
      <w:r w:rsidRPr="00D65196">
        <w:rPr>
          <w:iCs/>
          <w:szCs w:val="28"/>
          <w:lang w:eastAsia="zh-HK"/>
        </w:rPr>
        <w:tab/>
      </w:r>
      <w:r w:rsidRPr="00D65196">
        <w:rPr>
          <w:rFonts w:eastAsia="PMingLiU" w:hint="eastAsia"/>
          <w:iCs/>
          <w:szCs w:val="28"/>
          <w:lang w:eastAsia="zh-TW"/>
        </w:rPr>
        <w:tab/>
      </w:r>
      <w:r w:rsidRPr="00D65196">
        <w:rPr>
          <w:rFonts w:eastAsia="PMingLiU" w:hint="eastAsia"/>
          <w:iCs/>
          <w:szCs w:val="28"/>
          <w:lang w:eastAsia="zh-TW"/>
        </w:rPr>
        <w:tab/>
      </w:r>
      <w:r w:rsidRPr="00D65196">
        <w:rPr>
          <w:iCs/>
          <w:szCs w:val="28"/>
          <w:u w:val="single"/>
          <w:lang w:eastAsia="zh-HK"/>
        </w:rPr>
        <w:t>($282,500)</w:t>
      </w:r>
      <w:r w:rsidRPr="00D65196">
        <w:rPr>
          <w:rFonts w:eastAsia="PMingLiU" w:hint="eastAsia"/>
          <w:iCs/>
          <w:szCs w:val="28"/>
          <w:u w:val="single"/>
          <w:lang w:eastAsia="zh-TW"/>
        </w:rPr>
        <w:tab/>
      </w:r>
      <w:r w:rsidRPr="00D65196">
        <w:rPr>
          <w:rFonts w:eastAsia="PMingLiU" w:hint="eastAsia"/>
          <w:iCs/>
          <w:szCs w:val="28"/>
          <w:u w:val="single"/>
          <w:lang w:eastAsia="zh-TW"/>
        </w:rPr>
        <w:tab/>
      </w:r>
      <w:r w:rsidRPr="00D65196">
        <w:rPr>
          <w:rFonts w:eastAsia="PMingLiU" w:hint="eastAsia"/>
          <w:iCs/>
          <w:szCs w:val="28"/>
          <w:u w:val="single"/>
          <w:lang w:eastAsia="zh-TW"/>
        </w:rPr>
        <w:tab/>
      </w:r>
      <w:r w:rsidRPr="00D65196">
        <w:rPr>
          <w:rFonts w:eastAsia="PMingLiU" w:hint="eastAsia"/>
          <w:iCs/>
          <w:szCs w:val="28"/>
          <w:u w:val="single"/>
          <w:lang w:eastAsia="zh-TW"/>
        </w:rPr>
        <w:tab/>
        <w:t xml:space="preserve"> </w:t>
      </w:r>
    </w:p>
    <w:p w:rsidR="00D65196" w:rsidRPr="00D65196" w:rsidRDefault="00D65196" w:rsidP="0086642B">
      <w:pPr>
        <w:pStyle w:val="ListParagraph"/>
        <w:widowControl w:val="0"/>
        <w:tabs>
          <w:tab w:val="clear" w:pos="1440"/>
          <w:tab w:val="clear" w:pos="4320"/>
          <w:tab w:val="clear" w:pos="9072"/>
          <w:tab w:val="left" w:pos="1418"/>
        </w:tabs>
        <w:snapToGrid/>
        <w:spacing w:line="360" w:lineRule="auto"/>
        <w:contextualSpacing/>
        <w:jc w:val="both"/>
        <w:rPr>
          <w:rFonts w:eastAsia="PMingLiU"/>
          <w:i/>
          <w:iCs/>
          <w:szCs w:val="28"/>
          <w:u w:val="single"/>
          <w:lang w:eastAsia="zh-TW"/>
        </w:rPr>
      </w:pPr>
      <w:r>
        <w:rPr>
          <w:rFonts w:eastAsia="PMingLiU"/>
          <w:iCs/>
          <w:szCs w:val="28"/>
          <w:lang w:eastAsia="zh-TW"/>
        </w:rPr>
        <w:tab/>
      </w:r>
      <w:r>
        <w:rPr>
          <w:rFonts w:eastAsia="PMingLiU"/>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Pr="00D65196">
        <w:rPr>
          <w:rFonts w:eastAsia="PMingLiU" w:hint="eastAsia"/>
          <w:iCs/>
          <w:szCs w:val="28"/>
          <w:lang w:eastAsia="zh-TW"/>
        </w:rPr>
        <w:tab/>
      </w:r>
      <w:r w:rsidR="00641455">
        <w:rPr>
          <w:rFonts w:eastAsia="PMingLiU"/>
          <w:iCs/>
          <w:szCs w:val="28"/>
          <w:lang w:eastAsia="zh-TW"/>
        </w:rPr>
        <w:t xml:space="preserve">       </w:t>
      </w:r>
      <w:r w:rsidRPr="00D65196">
        <w:rPr>
          <w:szCs w:val="28"/>
          <w:lang w:eastAsia="zh-HK"/>
        </w:rPr>
        <w:t>$</w:t>
      </w:r>
      <w:r w:rsidR="00304801">
        <w:rPr>
          <w:szCs w:val="28"/>
          <w:lang w:eastAsia="zh-HK"/>
        </w:rPr>
        <w:t>991,160</w:t>
      </w:r>
    </w:p>
    <w:p w:rsidR="00D65196" w:rsidRDefault="00D65196" w:rsidP="0086642B">
      <w:pPr>
        <w:pStyle w:val="ListParagraph"/>
        <w:spacing w:line="360" w:lineRule="auto"/>
        <w:ind w:left="0"/>
        <w:jc w:val="both"/>
        <w:rPr>
          <w:szCs w:val="28"/>
          <w:lang w:eastAsia="zh-HK"/>
        </w:rPr>
      </w:pPr>
    </w:p>
    <w:p w:rsidR="00444AFF" w:rsidRDefault="00444AFF" w:rsidP="0086642B">
      <w:pPr>
        <w:pStyle w:val="ListParagraph"/>
        <w:numPr>
          <w:ilvl w:val="0"/>
          <w:numId w:val="17"/>
        </w:numPr>
        <w:spacing w:line="360" w:lineRule="auto"/>
        <w:ind w:left="0" w:firstLine="0"/>
        <w:jc w:val="both"/>
        <w:rPr>
          <w:szCs w:val="28"/>
          <w:lang w:eastAsia="zh-HK"/>
        </w:rPr>
      </w:pPr>
      <w:r>
        <w:rPr>
          <w:szCs w:val="28"/>
          <w:lang w:eastAsia="zh-HK"/>
        </w:rPr>
        <w:t xml:space="preserve">I will therefore assess the </w:t>
      </w:r>
      <w:r w:rsidR="00D65196">
        <w:rPr>
          <w:szCs w:val="28"/>
          <w:lang w:eastAsia="zh-HK"/>
        </w:rPr>
        <w:t>plaintiff’s</w:t>
      </w:r>
      <w:r>
        <w:rPr>
          <w:szCs w:val="28"/>
          <w:lang w:eastAsia="zh-HK"/>
        </w:rPr>
        <w:t xml:space="preserve"> loss as a result of the Accident at $</w:t>
      </w:r>
      <w:r w:rsidR="00304801">
        <w:rPr>
          <w:szCs w:val="28"/>
          <w:lang w:eastAsia="zh-HK"/>
        </w:rPr>
        <w:t>991,160</w:t>
      </w:r>
      <w:r>
        <w:rPr>
          <w:szCs w:val="28"/>
          <w:lang w:eastAsia="zh-HK"/>
        </w:rPr>
        <w:t>.</w:t>
      </w:r>
    </w:p>
    <w:p w:rsidR="00D775F1" w:rsidRDefault="00D775F1" w:rsidP="0086642B">
      <w:pPr>
        <w:pStyle w:val="ListParagraph"/>
        <w:spacing w:line="360" w:lineRule="auto"/>
        <w:ind w:left="0"/>
        <w:jc w:val="both"/>
        <w:rPr>
          <w:szCs w:val="28"/>
          <w:lang w:eastAsia="zh-HK"/>
        </w:rPr>
      </w:pPr>
    </w:p>
    <w:p w:rsidR="00F4688F" w:rsidRDefault="00F4688F" w:rsidP="0086642B">
      <w:pPr>
        <w:pStyle w:val="ListParagraph"/>
        <w:spacing w:line="360" w:lineRule="auto"/>
        <w:ind w:left="0"/>
        <w:jc w:val="both"/>
        <w:rPr>
          <w:szCs w:val="28"/>
          <w:lang w:eastAsia="zh-HK"/>
        </w:rPr>
      </w:pPr>
    </w:p>
    <w:p w:rsidR="00F4688F" w:rsidRDefault="00F4688F" w:rsidP="0086642B">
      <w:pPr>
        <w:pStyle w:val="ListParagraph"/>
        <w:spacing w:line="360" w:lineRule="auto"/>
        <w:ind w:left="0"/>
        <w:jc w:val="both"/>
        <w:rPr>
          <w:szCs w:val="28"/>
          <w:lang w:eastAsia="zh-HK"/>
        </w:rPr>
      </w:pPr>
    </w:p>
    <w:p w:rsidR="00D65196" w:rsidRDefault="00D65196" w:rsidP="0086642B">
      <w:pPr>
        <w:pStyle w:val="ListParagraph"/>
        <w:spacing w:line="360" w:lineRule="auto"/>
        <w:ind w:left="0"/>
        <w:jc w:val="both"/>
        <w:rPr>
          <w:i/>
          <w:szCs w:val="28"/>
          <w:lang w:eastAsia="zh-HK"/>
        </w:rPr>
      </w:pPr>
      <w:r w:rsidRPr="00D65196">
        <w:rPr>
          <w:i/>
          <w:szCs w:val="28"/>
          <w:lang w:eastAsia="zh-HK"/>
        </w:rPr>
        <w:lastRenderedPageBreak/>
        <w:t xml:space="preserve">Interest </w:t>
      </w:r>
    </w:p>
    <w:p w:rsidR="00E54E97" w:rsidRPr="00D65196" w:rsidRDefault="00E54E97" w:rsidP="0086642B">
      <w:pPr>
        <w:pStyle w:val="ListParagraph"/>
        <w:spacing w:line="360" w:lineRule="auto"/>
        <w:ind w:left="0"/>
        <w:jc w:val="both"/>
        <w:rPr>
          <w:i/>
          <w:szCs w:val="28"/>
          <w:lang w:eastAsia="zh-HK"/>
        </w:rPr>
      </w:pPr>
    </w:p>
    <w:p w:rsidR="00904447" w:rsidRDefault="00444AFF" w:rsidP="0086642B">
      <w:pPr>
        <w:pStyle w:val="ListParagraph"/>
        <w:numPr>
          <w:ilvl w:val="0"/>
          <w:numId w:val="17"/>
        </w:numPr>
        <w:spacing w:line="360" w:lineRule="auto"/>
        <w:ind w:left="0" w:firstLine="0"/>
        <w:jc w:val="both"/>
        <w:rPr>
          <w:szCs w:val="28"/>
          <w:lang w:eastAsia="zh-HK"/>
        </w:rPr>
      </w:pPr>
      <w:r>
        <w:rPr>
          <w:szCs w:val="28"/>
          <w:lang w:eastAsia="zh-HK"/>
        </w:rPr>
        <w:t>There will be the usual interest at 2% for the PSLA award from the date of issue of writ to date of assessment and thereafter at judgment date.  Further, there will be interest on the loss o</w:t>
      </w:r>
      <w:r w:rsidR="00D65196">
        <w:rPr>
          <w:szCs w:val="28"/>
          <w:lang w:eastAsia="zh-HK"/>
        </w:rPr>
        <w:t>f</w:t>
      </w:r>
      <w:r>
        <w:rPr>
          <w:szCs w:val="28"/>
          <w:lang w:eastAsia="zh-HK"/>
        </w:rPr>
        <w:t xml:space="preserve"> pre-trial earnings and special damages at half of the judgment rate</w:t>
      </w:r>
      <w:r w:rsidR="00D65196">
        <w:rPr>
          <w:szCs w:val="28"/>
          <w:lang w:eastAsia="zh-HK"/>
        </w:rPr>
        <w:t xml:space="preserve"> from date of accident to date of assessment and thereafter at judgment rate.</w:t>
      </w:r>
    </w:p>
    <w:p w:rsidR="005775E0" w:rsidRDefault="005775E0" w:rsidP="005775E0">
      <w:pPr>
        <w:pStyle w:val="ListParagraph"/>
        <w:spacing w:line="360" w:lineRule="auto"/>
        <w:ind w:left="0"/>
        <w:jc w:val="both"/>
        <w:rPr>
          <w:szCs w:val="28"/>
          <w:lang w:eastAsia="zh-HK"/>
        </w:rPr>
      </w:pPr>
    </w:p>
    <w:p w:rsidR="00D65196" w:rsidRPr="00D65196" w:rsidRDefault="00D65196" w:rsidP="0086642B">
      <w:pPr>
        <w:pStyle w:val="ListParagraph"/>
        <w:spacing w:line="360" w:lineRule="auto"/>
        <w:ind w:left="0"/>
        <w:jc w:val="both"/>
        <w:rPr>
          <w:i/>
          <w:szCs w:val="28"/>
          <w:lang w:eastAsia="zh-HK"/>
        </w:rPr>
      </w:pPr>
      <w:r w:rsidRPr="00D65196">
        <w:rPr>
          <w:i/>
          <w:szCs w:val="28"/>
          <w:lang w:eastAsia="zh-HK"/>
        </w:rPr>
        <w:t>Costs</w:t>
      </w:r>
    </w:p>
    <w:p w:rsidR="00B01132" w:rsidRPr="00774E5D" w:rsidRDefault="00B01132" w:rsidP="0086642B">
      <w:pPr>
        <w:widowControl w:val="0"/>
        <w:tabs>
          <w:tab w:val="left" w:pos="720"/>
        </w:tabs>
        <w:spacing w:line="360" w:lineRule="auto"/>
        <w:contextualSpacing/>
        <w:jc w:val="both"/>
        <w:rPr>
          <w:rFonts w:eastAsia="PMingLiU"/>
          <w:lang w:eastAsia="zh-TW"/>
        </w:rPr>
      </w:pPr>
    </w:p>
    <w:p w:rsidR="00E54E97" w:rsidRDefault="00D65196" w:rsidP="0086642B">
      <w:pPr>
        <w:pStyle w:val="ListParagraph"/>
        <w:numPr>
          <w:ilvl w:val="0"/>
          <w:numId w:val="17"/>
        </w:numPr>
        <w:spacing w:line="360" w:lineRule="auto"/>
        <w:ind w:left="0" w:firstLine="0"/>
        <w:jc w:val="both"/>
      </w:pPr>
      <w:r>
        <w:t xml:space="preserve">Despite Mr Wong’s submissions to urge the Court to impose a more stringent costs order against the defendant due to the late (and unhelpful) disclosure of the 2 comparable workers, I am not convinced that those </w:t>
      </w:r>
      <w:r w:rsidR="00E54E97">
        <w:t xml:space="preserve">data has made any </w:t>
      </w:r>
      <w:r w:rsidR="003C5806">
        <w:t xml:space="preserve">substantial </w:t>
      </w:r>
      <w:r w:rsidR="00E54E97">
        <w:t>difference to the assessment at all.</w:t>
      </w:r>
    </w:p>
    <w:p w:rsidR="00B01132" w:rsidRDefault="00D65196" w:rsidP="0086642B">
      <w:pPr>
        <w:spacing w:line="360" w:lineRule="auto"/>
        <w:jc w:val="both"/>
      </w:pPr>
      <w:r>
        <w:t xml:space="preserve"> </w:t>
      </w:r>
      <w:r w:rsidR="00444AFF">
        <w:t xml:space="preserve"> </w:t>
      </w:r>
    </w:p>
    <w:p w:rsidR="00E54E97" w:rsidRDefault="00E54E97" w:rsidP="0086642B">
      <w:pPr>
        <w:pStyle w:val="ListParagraph"/>
        <w:numPr>
          <w:ilvl w:val="0"/>
          <w:numId w:val="17"/>
        </w:numPr>
        <w:spacing w:line="360" w:lineRule="auto"/>
        <w:ind w:left="0" w:firstLine="0"/>
        <w:jc w:val="both"/>
      </w:pPr>
      <w:r>
        <w:t xml:space="preserve">I therefore make the usual costs order that the defendant shall pay for the costs of the assessment on a party and party basis, such costs to be taxed at the District Court scale, with certificate for counsel.  </w:t>
      </w:r>
    </w:p>
    <w:p w:rsidR="00C35052" w:rsidRDefault="00C35052" w:rsidP="0086642B">
      <w:pPr>
        <w:pStyle w:val="ListParagraph"/>
        <w:spacing w:line="360" w:lineRule="auto"/>
        <w:ind w:left="0"/>
        <w:jc w:val="both"/>
      </w:pPr>
    </w:p>
    <w:p w:rsidR="00F30ADB" w:rsidRDefault="00F30ADB" w:rsidP="0086642B">
      <w:pPr>
        <w:pStyle w:val="ListParagraph"/>
        <w:spacing w:line="360" w:lineRule="auto"/>
        <w:ind w:left="0"/>
        <w:jc w:val="both"/>
      </w:pPr>
    </w:p>
    <w:p w:rsidR="003A09E8" w:rsidRDefault="003A09E8" w:rsidP="0086642B">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r w:rsidRPr="00CD6B32">
        <w:rPr>
          <w:iCs/>
          <w:szCs w:val="28"/>
        </w:rPr>
        <w:t>(</w:t>
      </w:r>
      <w:r>
        <w:rPr>
          <w:rFonts w:hint="eastAsia"/>
          <w:iCs/>
          <w:szCs w:val="28"/>
        </w:rPr>
        <w:t xml:space="preserve"> </w:t>
      </w:r>
      <w:r w:rsidR="00093758">
        <w:rPr>
          <w:rFonts w:hint="eastAsia"/>
          <w:iCs/>
          <w:szCs w:val="28"/>
        </w:rPr>
        <w:t xml:space="preserve">Andrew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7B1D44">
      <w:pPr>
        <w:ind w:right="-720"/>
        <w:jc w:val="both"/>
        <w:rPr>
          <w:iCs/>
          <w:szCs w:val="28"/>
        </w:rPr>
      </w:pPr>
    </w:p>
    <w:p w:rsidR="005964BA" w:rsidRPr="00CD6B32" w:rsidRDefault="005964BA" w:rsidP="007B1D44">
      <w:pPr>
        <w:ind w:right="-720"/>
        <w:jc w:val="both"/>
        <w:rPr>
          <w:iCs/>
          <w:szCs w:val="28"/>
        </w:rPr>
      </w:pPr>
    </w:p>
    <w:p w:rsidR="008A1C7A" w:rsidRDefault="005F26CF" w:rsidP="007B1D44">
      <w:pPr>
        <w:ind w:right="-720"/>
        <w:rPr>
          <w:szCs w:val="28"/>
          <w:lang w:val="en-GB"/>
        </w:rPr>
      </w:pPr>
      <w:r>
        <w:rPr>
          <w:rFonts w:eastAsia="PMingLiU" w:hint="eastAsia"/>
          <w:szCs w:val="28"/>
          <w:lang w:val="en-GB" w:eastAsia="zh-TW"/>
        </w:rPr>
        <w:t>Mr Simon Wong</w:t>
      </w:r>
      <w:r w:rsidR="00BE4CAB">
        <w:rPr>
          <w:szCs w:val="28"/>
          <w:lang w:val="en-GB"/>
        </w:rPr>
        <w:t>,</w:t>
      </w:r>
      <w:r w:rsidR="009464D0">
        <w:rPr>
          <w:szCs w:val="28"/>
          <w:lang w:val="en-GB"/>
        </w:rPr>
        <w:t xml:space="preserve"> </w:t>
      </w:r>
      <w:r>
        <w:rPr>
          <w:rFonts w:eastAsia="PMingLiU" w:hint="eastAsia"/>
          <w:szCs w:val="28"/>
          <w:lang w:val="en-GB" w:eastAsia="zh-TW"/>
        </w:rPr>
        <w:t>instructed by Messrs Ng &amp; Co</w:t>
      </w:r>
      <w:r w:rsidR="00BE4CAB">
        <w:rPr>
          <w:szCs w:val="28"/>
          <w:lang w:val="en-GB"/>
        </w:rPr>
        <w:t>,</w:t>
      </w:r>
      <w:r w:rsidR="009464D0">
        <w:rPr>
          <w:szCs w:val="28"/>
          <w:lang w:val="en-GB"/>
        </w:rPr>
        <w:t xml:space="preserve"> </w:t>
      </w:r>
      <w:r w:rsidR="008A1C7A" w:rsidRPr="00C44BED">
        <w:rPr>
          <w:szCs w:val="28"/>
          <w:lang w:val="en-GB"/>
        </w:rPr>
        <w:t>for the plaintiff</w:t>
      </w:r>
    </w:p>
    <w:p w:rsidR="008A1C7A" w:rsidRDefault="008A1C7A" w:rsidP="007B1D44">
      <w:pPr>
        <w:ind w:right="-720"/>
        <w:rPr>
          <w:szCs w:val="28"/>
          <w:lang w:val="en-GB"/>
        </w:rPr>
      </w:pPr>
    </w:p>
    <w:p w:rsidR="009464D0" w:rsidRPr="00E46AF4" w:rsidRDefault="00D74D0B" w:rsidP="00E46AF4">
      <w:pPr>
        <w:ind w:right="-720"/>
        <w:rPr>
          <w:szCs w:val="28"/>
          <w:lang w:val="en-GB"/>
        </w:rPr>
      </w:pPr>
      <w:r>
        <w:rPr>
          <w:rFonts w:eastAsia="PMingLiU" w:hint="eastAsia"/>
          <w:szCs w:val="28"/>
          <w:lang w:val="en-GB" w:eastAsia="zh-TW"/>
        </w:rPr>
        <w:t>Mr Edward Poon</w:t>
      </w:r>
      <w:r w:rsidR="00BE4CAB">
        <w:rPr>
          <w:szCs w:val="28"/>
          <w:lang w:val="en-GB"/>
        </w:rPr>
        <w:t>,</w:t>
      </w:r>
      <w:r w:rsidR="00D87F8B">
        <w:rPr>
          <w:szCs w:val="28"/>
          <w:lang w:val="en-GB"/>
        </w:rPr>
        <w:t xml:space="preserve"> </w:t>
      </w:r>
      <w:r>
        <w:rPr>
          <w:rFonts w:eastAsia="PMingLiU" w:hint="eastAsia"/>
          <w:szCs w:val="28"/>
          <w:lang w:val="en-GB" w:eastAsia="zh-TW"/>
        </w:rPr>
        <w:t>instructed by Messrs Leung &amp; Lau</w:t>
      </w:r>
      <w:r w:rsidR="00BE4CAB">
        <w:rPr>
          <w:szCs w:val="28"/>
          <w:lang w:val="en-GB"/>
        </w:rPr>
        <w:t>,</w:t>
      </w:r>
      <w:r w:rsidR="00D87F8B">
        <w:rPr>
          <w:szCs w:val="28"/>
          <w:lang w:val="en-GB"/>
        </w:rPr>
        <w:t xml:space="preserve"> for the defendant</w:t>
      </w: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ECF" w:rsidRDefault="00AD6ECF">
      <w:r>
        <w:separator/>
      </w:r>
    </w:p>
  </w:endnote>
  <w:endnote w:type="continuationSeparator" w:id="0">
    <w:p w:rsidR="00AD6ECF" w:rsidRDefault="00AD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6D" w:rsidRDefault="00D42A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2A6D" w:rsidRDefault="00D42A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6D" w:rsidRDefault="00D42A6D">
    <w:pPr>
      <w:pStyle w:val="Footer"/>
      <w:framePr w:wrap="around" w:vAnchor="text" w:hAnchor="margin" w:xAlign="right" w:y="1"/>
      <w:rPr>
        <w:rStyle w:val="PageNumber"/>
      </w:rPr>
    </w:pPr>
  </w:p>
  <w:p w:rsidR="00D42A6D" w:rsidRDefault="00D42A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ECF" w:rsidRDefault="00AD6ECF">
      <w:r>
        <w:separator/>
      </w:r>
    </w:p>
  </w:footnote>
  <w:footnote w:type="continuationSeparator" w:id="0">
    <w:p w:rsidR="00AD6ECF" w:rsidRDefault="00AD6ECF">
      <w:r>
        <w:continuationSeparator/>
      </w:r>
    </w:p>
  </w:footnote>
  <w:footnote w:id="1">
    <w:p w:rsidR="00D42A6D" w:rsidRPr="00893868" w:rsidRDefault="00D42A6D">
      <w:pPr>
        <w:pStyle w:val="FootnoteText"/>
        <w:rPr>
          <w:rFonts w:ascii="Times New Roman" w:eastAsiaTheme="minorEastAsia" w:hAnsi="Times New Roman"/>
          <w:sz w:val="20"/>
          <w:szCs w:val="20"/>
          <w:lang w:eastAsia="zh-CN"/>
        </w:rPr>
      </w:pPr>
      <w:r w:rsidRPr="00893868">
        <w:rPr>
          <w:rStyle w:val="FootnoteReference"/>
          <w:rFonts w:ascii="Times New Roman" w:hAnsi="Times New Roman"/>
          <w:sz w:val="20"/>
          <w:szCs w:val="20"/>
        </w:rPr>
        <w:footnoteRef/>
      </w:r>
      <w:r w:rsidRPr="00893868">
        <w:rPr>
          <w:rFonts w:ascii="Times New Roman" w:hAnsi="Times New Roman"/>
          <w:sz w:val="20"/>
          <w:szCs w:val="20"/>
        </w:rPr>
        <w:t xml:space="preserve"> See </w:t>
      </w:r>
      <w:r w:rsidRPr="00893868">
        <w:rPr>
          <w:rFonts w:ascii="Times New Roman" w:hAnsi="Times New Roman"/>
          <w:sz w:val="20"/>
          <w:szCs w:val="20"/>
          <w:lang w:eastAsia="zh-HK"/>
        </w:rPr>
        <w:t>physiotherapist’s report of Physiotherapy Department of TKO</w:t>
      </w:r>
      <w:r w:rsidR="003C7616">
        <w:rPr>
          <w:rFonts w:ascii="Times New Roman" w:hAnsi="Times New Roman"/>
          <w:sz w:val="20"/>
          <w:szCs w:val="20"/>
          <w:lang w:eastAsia="zh-HK"/>
        </w:rPr>
        <w:t>H dated 5 June 2018 at [I/121-12</w:t>
      </w:r>
      <w:r w:rsidRPr="00893868">
        <w:rPr>
          <w:rFonts w:ascii="Times New Roman" w:hAnsi="Times New Roman"/>
          <w:sz w:val="20"/>
          <w:szCs w:val="20"/>
          <w:lang w:eastAsia="zh-HK"/>
        </w:rPr>
        <w:t xml:space="preserve">5]   </w:t>
      </w:r>
    </w:p>
  </w:footnote>
  <w:footnote w:id="2">
    <w:p w:rsidR="00D42A6D" w:rsidRPr="00893868" w:rsidRDefault="00D42A6D" w:rsidP="00893868">
      <w:pPr>
        <w:pStyle w:val="FootnoteText"/>
        <w:spacing w:after="160" w:line="259" w:lineRule="auto"/>
        <w:jc w:val="both"/>
        <w:rPr>
          <w:rFonts w:ascii="Times New Roman" w:hAnsi="Times New Roman"/>
          <w:sz w:val="20"/>
          <w:szCs w:val="20"/>
          <w:lang w:val="en-US" w:eastAsia="zh-HK"/>
        </w:rPr>
      </w:pPr>
      <w:r w:rsidRPr="00893868">
        <w:rPr>
          <w:rStyle w:val="FootnoteReference"/>
          <w:rFonts w:ascii="Times New Roman" w:hAnsi="Times New Roman"/>
          <w:sz w:val="20"/>
          <w:szCs w:val="20"/>
        </w:rPr>
        <w:footnoteRef/>
      </w:r>
      <w:r w:rsidRPr="00893868">
        <w:rPr>
          <w:rFonts w:ascii="Times New Roman" w:hAnsi="Times New Roman"/>
          <w:sz w:val="20"/>
          <w:szCs w:val="20"/>
        </w:rPr>
        <w:t xml:space="preserve"> </w:t>
      </w:r>
      <w:r w:rsidRPr="00893868">
        <w:rPr>
          <w:rFonts w:ascii="Times New Roman" w:hAnsi="Times New Roman"/>
          <w:sz w:val="20"/>
          <w:szCs w:val="20"/>
          <w:lang w:val="en-US"/>
        </w:rPr>
        <w:t xml:space="preserve">Inflation with reference to the Composite CPI should be considered: </w:t>
      </w:r>
      <w:r w:rsidRPr="00893868">
        <w:rPr>
          <w:rFonts w:ascii="Times New Roman" w:hAnsi="Times New Roman"/>
          <w:i/>
          <w:iCs/>
          <w:sz w:val="20"/>
          <w:szCs w:val="20"/>
          <w:lang w:eastAsia="zh-HK"/>
        </w:rPr>
        <w:t>Ng Tat Kuen</w:t>
      </w:r>
      <w:r w:rsidRPr="00893868">
        <w:rPr>
          <w:rFonts w:ascii="Times New Roman" w:hAnsi="Times New Roman"/>
          <w:i/>
          <w:iCs/>
          <w:sz w:val="20"/>
          <w:szCs w:val="20"/>
          <w:lang w:val="en-US" w:eastAsia="zh-HK"/>
        </w:rPr>
        <w:t xml:space="preserve"> </w:t>
      </w:r>
      <w:r w:rsidRPr="00893868">
        <w:rPr>
          <w:rFonts w:ascii="Times New Roman" w:hAnsi="Times New Roman"/>
          <w:i/>
          <w:iCs/>
          <w:sz w:val="20"/>
          <w:szCs w:val="20"/>
          <w:lang w:eastAsia="zh-HK"/>
        </w:rPr>
        <w:t>v Tam Che Fu &amp; Others</w:t>
      </w:r>
      <w:r w:rsidRPr="00893868">
        <w:rPr>
          <w:rFonts w:ascii="Times New Roman" w:hAnsi="Times New Roman"/>
          <w:sz w:val="20"/>
          <w:szCs w:val="20"/>
          <w:lang w:eastAsia="zh-HK"/>
        </w:rPr>
        <w:t xml:space="preserve"> [2019] HKCFI 1191 (unreported, HCPI 896/2013</w:t>
      </w:r>
      <w:r>
        <w:rPr>
          <w:rFonts w:ascii="Times New Roman" w:hAnsi="Times New Roman"/>
          <w:sz w:val="20"/>
          <w:szCs w:val="20"/>
          <w:lang w:val="en-US" w:eastAsia="zh-HK"/>
        </w:rPr>
        <w:t xml:space="preserve">, 3 May </w:t>
      </w:r>
      <w:r w:rsidRPr="00893868">
        <w:rPr>
          <w:rFonts w:ascii="Times New Roman" w:hAnsi="Times New Roman"/>
          <w:sz w:val="20"/>
          <w:szCs w:val="20"/>
          <w:lang w:val="en-US" w:eastAsia="zh-HK"/>
        </w:rPr>
        <w:t>2019)</w:t>
      </w:r>
      <w:r w:rsidRPr="00893868">
        <w:rPr>
          <w:rFonts w:ascii="Times New Roman" w:hAnsi="Times New Roman"/>
          <w:i/>
          <w:iCs/>
          <w:color w:val="000000"/>
          <w:sz w:val="20"/>
          <w:szCs w:val="20"/>
          <w:lang w:val="en-US"/>
        </w:rPr>
        <w:t xml:space="preserve">.  </w:t>
      </w:r>
      <w:r w:rsidRPr="00893868">
        <w:rPr>
          <w:rFonts w:ascii="Times New Roman" w:hAnsi="Times New Roman"/>
          <w:color w:val="000000"/>
          <w:sz w:val="20"/>
          <w:szCs w:val="20"/>
          <w:lang w:val="en-US"/>
        </w:rPr>
        <w:t>The CCPI can be found in</w:t>
      </w:r>
      <w:r w:rsidRPr="00893868">
        <w:rPr>
          <w:rFonts w:ascii="Times New Roman" w:hAnsi="Times New Roman"/>
          <w:i/>
          <w:iCs/>
          <w:color w:val="000000"/>
          <w:sz w:val="20"/>
          <w:szCs w:val="20"/>
          <w:lang w:val="en-US"/>
        </w:rPr>
        <w:t xml:space="preserve"> </w:t>
      </w:r>
      <w:r w:rsidRPr="00893868">
        <w:rPr>
          <w:rFonts w:ascii="Times New Roman" w:hAnsi="Times New Roman"/>
          <w:i/>
          <w:iCs/>
          <w:sz w:val="20"/>
          <w:szCs w:val="20"/>
          <w:lang w:eastAsia="zh-HK"/>
        </w:rPr>
        <w:t xml:space="preserve">Personal Injury Tables Hong Kong 2019, </w:t>
      </w:r>
      <w:r>
        <w:rPr>
          <w:rFonts w:ascii="Times New Roman" w:hAnsi="Times New Roman"/>
          <w:sz w:val="20"/>
          <w:szCs w:val="20"/>
          <w:lang w:eastAsia="zh-HK"/>
        </w:rPr>
        <w:t>pp</w:t>
      </w:r>
      <w:r>
        <w:rPr>
          <w:rFonts w:ascii="Times New Roman" w:hAnsi="Times New Roman"/>
          <w:sz w:val="20"/>
          <w:szCs w:val="20"/>
          <w:lang w:val="en-US" w:eastAsia="zh-HK"/>
        </w:rPr>
        <w:t xml:space="preserve"> </w:t>
      </w:r>
      <w:r w:rsidRPr="00893868">
        <w:rPr>
          <w:rFonts w:ascii="Times New Roman" w:hAnsi="Times New Roman"/>
          <w:sz w:val="20"/>
          <w:szCs w:val="20"/>
          <w:lang w:eastAsia="zh-HK"/>
        </w:rPr>
        <w:t>77-78</w:t>
      </w:r>
      <w:r w:rsidRPr="00893868">
        <w:rPr>
          <w:rFonts w:ascii="Times New Roman" w:hAnsi="Times New Roman"/>
          <w:sz w:val="20"/>
          <w:szCs w:val="20"/>
          <w:lang w:val="en-US" w:eastAsia="zh-HK"/>
        </w:rPr>
        <w:t>, most updated to December 2018.  The latest CCPI in 9/2020 is 108.4, according to the governme</w:t>
      </w:r>
      <w:r>
        <w:rPr>
          <w:rFonts w:ascii="Times New Roman" w:hAnsi="Times New Roman"/>
          <w:sz w:val="20"/>
          <w:szCs w:val="20"/>
          <w:lang w:val="en-US" w:eastAsia="zh-HK"/>
        </w:rPr>
        <w:t>nt statistics available on the I</w:t>
      </w:r>
      <w:r w:rsidRPr="00893868">
        <w:rPr>
          <w:rFonts w:ascii="Times New Roman" w:hAnsi="Times New Roman"/>
          <w:sz w:val="20"/>
          <w:szCs w:val="20"/>
          <w:lang w:val="en-US" w:eastAsia="zh-HK"/>
        </w:rPr>
        <w:t>nternet.  Hence, there has been an inflationary rate of 8.73% between 4/2015 (99.7) and 9/2020 (108.4), and hence the award would now be $200,000 x 1.0873 = $217,460.</w:t>
      </w:r>
    </w:p>
  </w:footnote>
  <w:footnote w:id="3">
    <w:p w:rsidR="00D42A6D" w:rsidRPr="00893868" w:rsidRDefault="00D42A6D" w:rsidP="00893868">
      <w:pPr>
        <w:pStyle w:val="FootnoteText"/>
        <w:spacing w:after="160" w:line="259" w:lineRule="auto"/>
        <w:jc w:val="both"/>
        <w:rPr>
          <w:rFonts w:ascii="Times New Roman" w:hAnsi="Times New Roman"/>
          <w:sz w:val="20"/>
          <w:szCs w:val="20"/>
          <w:lang w:val="en-US"/>
        </w:rPr>
      </w:pPr>
      <w:r w:rsidRPr="00893868">
        <w:rPr>
          <w:rStyle w:val="FootnoteReference"/>
          <w:rFonts w:ascii="Times New Roman" w:hAnsi="Times New Roman"/>
          <w:sz w:val="20"/>
          <w:szCs w:val="20"/>
        </w:rPr>
        <w:footnoteRef/>
      </w:r>
      <w:r w:rsidRPr="00893868">
        <w:rPr>
          <w:rFonts w:ascii="Times New Roman" w:hAnsi="Times New Roman"/>
          <w:sz w:val="20"/>
          <w:szCs w:val="20"/>
        </w:rPr>
        <w:t xml:space="preserve"> </w:t>
      </w:r>
      <w:r w:rsidRPr="00893868">
        <w:rPr>
          <w:rFonts w:ascii="Times New Roman" w:hAnsi="Times New Roman"/>
          <w:sz w:val="20"/>
          <w:szCs w:val="20"/>
          <w:lang w:val="en-US" w:eastAsia="zh-HK"/>
        </w:rPr>
        <w:t>There has been an inflationary rate of 16.94% between 3/2013 (92.7) and 9/2020 (108.4), and hence the award would now be $220,000 x 1.1694 = $257,268.</w:t>
      </w:r>
    </w:p>
  </w:footnote>
  <w:footnote w:id="4">
    <w:p w:rsidR="00D42A6D" w:rsidRPr="00893868" w:rsidRDefault="00D42A6D" w:rsidP="00893868">
      <w:pPr>
        <w:pStyle w:val="FootnoteText"/>
        <w:spacing w:after="160" w:line="259" w:lineRule="auto"/>
        <w:jc w:val="both"/>
        <w:rPr>
          <w:rFonts w:ascii="Times New Roman" w:hAnsi="Times New Roman"/>
          <w:sz w:val="20"/>
          <w:szCs w:val="20"/>
          <w:lang w:val="en-US"/>
        </w:rPr>
      </w:pPr>
      <w:r w:rsidRPr="00893868">
        <w:rPr>
          <w:rStyle w:val="FootnoteReference"/>
          <w:rFonts w:ascii="Times New Roman" w:hAnsi="Times New Roman"/>
          <w:sz w:val="20"/>
          <w:szCs w:val="20"/>
        </w:rPr>
        <w:footnoteRef/>
      </w:r>
      <w:r w:rsidRPr="00893868">
        <w:rPr>
          <w:rFonts w:ascii="Times New Roman" w:hAnsi="Times New Roman"/>
          <w:sz w:val="20"/>
          <w:szCs w:val="20"/>
        </w:rPr>
        <w:t xml:space="preserve"> </w:t>
      </w:r>
      <w:r w:rsidRPr="00893868">
        <w:rPr>
          <w:rFonts w:ascii="Times New Roman" w:hAnsi="Times New Roman"/>
          <w:sz w:val="20"/>
          <w:szCs w:val="20"/>
          <w:lang w:val="en-US" w:eastAsia="zh-HK"/>
        </w:rPr>
        <w:t>There has been an inflationary rate of 14.23% between 10/2013 (94.9) and 9/2020 (108.4), and hence the award would now be $325,000 x 1.1423 = $371,248</w:t>
      </w:r>
    </w:p>
    <w:p w:rsidR="00D42A6D" w:rsidRPr="00E0164D" w:rsidRDefault="00D42A6D" w:rsidP="008806EB">
      <w:pPr>
        <w:pStyle w:val="FootnoteText"/>
        <w:jc w:val="both"/>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6D" w:rsidRDefault="00D42A6D">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Pr="00782869" w:rsidRDefault="00D42A6D"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D42A6D" w:rsidRPr="00782869" w:rsidRDefault="00D42A6D"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6D" w:rsidRDefault="00D42A6D">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12E4D">
      <w:rPr>
        <w:rStyle w:val="PageNumber"/>
        <w:noProof/>
        <w:sz w:val="28"/>
      </w:rPr>
      <w:t>21</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D42A6D" w:rsidRDefault="00D42A6D">
                    <w:pPr>
                      <w:rPr>
                        <w:b/>
                        <w:sz w:val="20"/>
                      </w:rPr>
                    </w:pPr>
                    <w:r>
                      <w:rPr>
                        <w:rFonts w:hint="eastAsia"/>
                        <w:b/>
                        <w:sz w:val="20"/>
                      </w:rPr>
                      <w:t>A</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B</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C</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2"/>
                      <w:rPr>
                        <w:sz w:val="16"/>
                      </w:rPr>
                    </w:pPr>
                    <w:r>
                      <w:rPr>
                        <w:rFonts w:hint="eastAsia"/>
                      </w:rPr>
                      <w:t>D</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E</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20"/>
                      </w:rPr>
                    </w:pPr>
                    <w:r>
                      <w:rPr>
                        <w:rFonts w:hint="eastAsia"/>
                        <w:b/>
                        <w:sz w:val="20"/>
                      </w:rPr>
                      <w:t>F</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G</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H</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I</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J</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K</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L</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M</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N</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O</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P</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Q</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R</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S</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T</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rPr>
                        <w:b/>
                        <w:sz w:val="16"/>
                      </w:rPr>
                    </w:pPr>
                    <w:r>
                      <w:rPr>
                        <w:rFonts w:hint="eastAsia"/>
                        <w:b/>
                        <w:sz w:val="20"/>
                      </w:rPr>
                      <w:t>U</w:t>
                    </w:r>
                  </w:p>
                  <w:p w:rsidR="00D42A6D" w:rsidRDefault="00D42A6D">
                    <w:pPr>
                      <w:rPr>
                        <w:b/>
                        <w:sz w:val="10"/>
                      </w:rPr>
                    </w:pPr>
                  </w:p>
                  <w:p w:rsidR="00D42A6D" w:rsidRDefault="00D42A6D">
                    <w:pPr>
                      <w:rPr>
                        <w:b/>
                        <w:sz w:val="16"/>
                      </w:rPr>
                    </w:pPr>
                  </w:p>
                  <w:p w:rsidR="00D42A6D" w:rsidRDefault="00D42A6D">
                    <w:pPr>
                      <w:rPr>
                        <w:b/>
                        <w:sz w:val="16"/>
                      </w:rPr>
                    </w:pPr>
                  </w:p>
                  <w:p w:rsidR="00D42A6D" w:rsidRDefault="00D42A6D">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A6D" w:rsidRDefault="00D42A6D">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D42A6D" w:rsidRDefault="00D42A6D">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FCB"/>
    <w:multiLevelType w:val="hybridMultilevel"/>
    <w:tmpl w:val="CB08AF72"/>
    <w:lvl w:ilvl="0" w:tplc="B63CB0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8D542F"/>
    <w:multiLevelType w:val="hybridMultilevel"/>
    <w:tmpl w:val="517A4FCC"/>
    <w:lvl w:ilvl="0" w:tplc="952E7F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DA4804"/>
    <w:multiLevelType w:val="hybridMultilevel"/>
    <w:tmpl w:val="CB08AF72"/>
    <w:lvl w:ilvl="0" w:tplc="B63CB0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3604E4"/>
    <w:multiLevelType w:val="hybridMultilevel"/>
    <w:tmpl w:val="4B289E1A"/>
    <w:lvl w:ilvl="0" w:tplc="E3E6AC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7371"/>
    <w:multiLevelType w:val="hybridMultilevel"/>
    <w:tmpl w:val="D8B087B6"/>
    <w:lvl w:ilvl="0" w:tplc="551223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107F8D"/>
    <w:multiLevelType w:val="hybridMultilevel"/>
    <w:tmpl w:val="88DE26CE"/>
    <w:lvl w:ilvl="0" w:tplc="D0D870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0D1FBC"/>
    <w:multiLevelType w:val="hybridMultilevel"/>
    <w:tmpl w:val="D8B087B6"/>
    <w:lvl w:ilvl="0" w:tplc="551223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8C2BE2"/>
    <w:multiLevelType w:val="hybridMultilevel"/>
    <w:tmpl w:val="3A123F96"/>
    <w:lvl w:ilvl="0" w:tplc="DAACA022">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41D7373"/>
    <w:multiLevelType w:val="hybridMultilevel"/>
    <w:tmpl w:val="EA382654"/>
    <w:lvl w:ilvl="0" w:tplc="3CB09E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26B2D"/>
    <w:multiLevelType w:val="multilevel"/>
    <w:tmpl w:val="8A0EAB6E"/>
    <w:lvl w:ilvl="0">
      <w:start w:val="1"/>
      <w:numFmt w:val="decimal"/>
      <w:lvlText w:val="%1."/>
      <w:lvlJc w:val="left"/>
      <w:pPr>
        <w:ind w:left="360" w:hanging="360"/>
      </w:pPr>
      <w:rPr>
        <w:rFonts w:hint="eastAsia"/>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71527D7"/>
    <w:multiLevelType w:val="hybridMultilevel"/>
    <w:tmpl w:val="CB08AF72"/>
    <w:lvl w:ilvl="0" w:tplc="B63CB0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D01DF"/>
    <w:multiLevelType w:val="hybridMultilevel"/>
    <w:tmpl w:val="CB08AF72"/>
    <w:lvl w:ilvl="0" w:tplc="B63CB0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0DB1653"/>
    <w:multiLevelType w:val="hybridMultilevel"/>
    <w:tmpl w:val="6DBC62F8"/>
    <w:lvl w:ilvl="0" w:tplc="443E7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8835421"/>
    <w:multiLevelType w:val="hybridMultilevel"/>
    <w:tmpl w:val="C50C10C0"/>
    <w:lvl w:ilvl="0" w:tplc="D17CF9A2">
      <w:start w:val="1"/>
      <w:numFmt w:val="lowerLetter"/>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0"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3C51965"/>
    <w:multiLevelType w:val="hybridMultilevel"/>
    <w:tmpl w:val="8CEEEA74"/>
    <w:lvl w:ilvl="0" w:tplc="BD6C48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6B83766"/>
    <w:multiLevelType w:val="hybridMultilevel"/>
    <w:tmpl w:val="F8706FC4"/>
    <w:lvl w:ilvl="0" w:tplc="AA866E3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0"/>
  </w:num>
  <w:num w:numId="2">
    <w:abstractNumId w:val="27"/>
  </w:num>
  <w:num w:numId="3">
    <w:abstractNumId w:val="7"/>
  </w:num>
  <w:num w:numId="4">
    <w:abstractNumId w:val="29"/>
  </w:num>
  <w:num w:numId="5">
    <w:abstractNumId w:val="12"/>
  </w:num>
  <w:num w:numId="6">
    <w:abstractNumId w:val="30"/>
  </w:num>
  <w:num w:numId="7">
    <w:abstractNumId w:val="25"/>
  </w:num>
  <w:num w:numId="8">
    <w:abstractNumId w:val="24"/>
  </w:num>
  <w:num w:numId="9">
    <w:abstractNumId w:val="10"/>
  </w:num>
  <w:num w:numId="10">
    <w:abstractNumId w:val="5"/>
  </w:num>
  <w:num w:numId="11">
    <w:abstractNumId w:val="15"/>
  </w:num>
  <w:num w:numId="12">
    <w:abstractNumId w:val="8"/>
  </w:num>
  <w:num w:numId="13">
    <w:abstractNumId w:val="28"/>
  </w:num>
  <w:num w:numId="14">
    <w:abstractNumId w:val="22"/>
  </w:num>
  <w:num w:numId="15">
    <w:abstractNumId w:val="14"/>
  </w:num>
  <w:num w:numId="16">
    <w:abstractNumId w:val="16"/>
  </w:num>
  <w:num w:numId="17">
    <w:abstractNumId w:val="3"/>
  </w:num>
  <w:num w:numId="18">
    <w:abstractNumId w:val="18"/>
  </w:num>
  <w:num w:numId="19">
    <w:abstractNumId w:val="17"/>
  </w:num>
  <w:num w:numId="20">
    <w:abstractNumId w:val="6"/>
  </w:num>
  <w:num w:numId="21">
    <w:abstractNumId w:val="26"/>
  </w:num>
  <w:num w:numId="22">
    <w:abstractNumId w:val="0"/>
  </w:num>
  <w:num w:numId="23">
    <w:abstractNumId w:val="1"/>
  </w:num>
  <w:num w:numId="24">
    <w:abstractNumId w:val="31"/>
  </w:num>
  <w:num w:numId="25">
    <w:abstractNumId w:val="9"/>
  </w:num>
  <w:num w:numId="26">
    <w:abstractNumId w:val="13"/>
  </w:num>
  <w:num w:numId="27">
    <w:abstractNumId w:val="32"/>
  </w:num>
  <w:num w:numId="28">
    <w:abstractNumId w:val="19"/>
  </w:num>
  <w:num w:numId="29">
    <w:abstractNumId w:val="4"/>
  </w:num>
  <w:num w:numId="30">
    <w:abstractNumId w:val="2"/>
  </w:num>
  <w:num w:numId="31">
    <w:abstractNumId w:val="21"/>
  </w:num>
  <w:num w:numId="32">
    <w:abstractNumId w:val="11"/>
  </w:num>
  <w:num w:numId="33">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2D8B"/>
    <w:rsid w:val="000035DB"/>
    <w:rsid w:val="00003C12"/>
    <w:rsid w:val="00004477"/>
    <w:rsid w:val="000048E7"/>
    <w:rsid w:val="00004A13"/>
    <w:rsid w:val="00004CCF"/>
    <w:rsid w:val="0000732A"/>
    <w:rsid w:val="00016DF7"/>
    <w:rsid w:val="00016E35"/>
    <w:rsid w:val="000172BD"/>
    <w:rsid w:val="00017BBF"/>
    <w:rsid w:val="0002479B"/>
    <w:rsid w:val="0002524E"/>
    <w:rsid w:val="00025497"/>
    <w:rsid w:val="00025BCA"/>
    <w:rsid w:val="000273CF"/>
    <w:rsid w:val="00031E7D"/>
    <w:rsid w:val="00033D71"/>
    <w:rsid w:val="00035C9E"/>
    <w:rsid w:val="00036067"/>
    <w:rsid w:val="00040291"/>
    <w:rsid w:val="000422AC"/>
    <w:rsid w:val="00046437"/>
    <w:rsid w:val="00047090"/>
    <w:rsid w:val="00047872"/>
    <w:rsid w:val="00050A92"/>
    <w:rsid w:val="00050BFF"/>
    <w:rsid w:val="00051382"/>
    <w:rsid w:val="00052E23"/>
    <w:rsid w:val="0005327D"/>
    <w:rsid w:val="00053E26"/>
    <w:rsid w:val="0005537D"/>
    <w:rsid w:val="00055F9C"/>
    <w:rsid w:val="00056848"/>
    <w:rsid w:val="000600F2"/>
    <w:rsid w:val="00061710"/>
    <w:rsid w:val="0006197E"/>
    <w:rsid w:val="000629ED"/>
    <w:rsid w:val="00063B7F"/>
    <w:rsid w:val="00064EAB"/>
    <w:rsid w:val="00065986"/>
    <w:rsid w:val="00066074"/>
    <w:rsid w:val="00066208"/>
    <w:rsid w:val="0006785D"/>
    <w:rsid w:val="00067DE0"/>
    <w:rsid w:val="00067F66"/>
    <w:rsid w:val="00070353"/>
    <w:rsid w:val="000748B4"/>
    <w:rsid w:val="00074D59"/>
    <w:rsid w:val="0007684C"/>
    <w:rsid w:val="00076F86"/>
    <w:rsid w:val="00076FDE"/>
    <w:rsid w:val="000776CB"/>
    <w:rsid w:val="00077D0C"/>
    <w:rsid w:val="00081A74"/>
    <w:rsid w:val="00082D40"/>
    <w:rsid w:val="000831F5"/>
    <w:rsid w:val="00084060"/>
    <w:rsid w:val="0008494B"/>
    <w:rsid w:val="00085927"/>
    <w:rsid w:val="00086361"/>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2453"/>
    <w:rsid w:val="000A48F3"/>
    <w:rsid w:val="000A54F6"/>
    <w:rsid w:val="000A7FA3"/>
    <w:rsid w:val="000B02A6"/>
    <w:rsid w:val="000B0613"/>
    <w:rsid w:val="000B0D8C"/>
    <w:rsid w:val="000B1F07"/>
    <w:rsid w:val="000B28A0"/>
    <w:rsid w:val="000B30B8"/>
    <w:rsid w:val="000B4661"/>
    <w:rsid w:val="000B56E2"/>
    <w:rsid w:val="000B75F4"/>
    <w:rsid w:val="000B7DC5"/>
    <w:rsid w:val="000C1A58"/>
    <w:rsid w:val="000C5DCF"/>
    <w:rsid w:val="000C7167"/>
    <w:rsid w:val="000D2117"/>
    <w:rsid w:val="000D3D29"/>
    <w:rsid w:val="000D5265"/>
    <w:rsid w:val="000D5DA9"/>
    <w:rsid w:val="000D66A7"/>
    <w:rsid w:val="000D7829"/>
    <w:rsid w:val="000E0B3E"/>
    <w:rsid w:val="000E2BF9"/>
    <w:rsid w:val="000E4D96"/>
    <w:rsid w:val="000E58F6"/>
    <w:rsid w:val="000E5A37"/>
    <w:rsid w:val="000E6969"/>
    <w:rsid w:val="000E720C"/>
    <w:rsid w:val="000F0D04"/>
    <w:rsid w:val="000F30D3"/>
    <w:rsid w:val="000F47BA"/>
    <w:rsid w:val="000F4F65"/>
    <w:rsid w:val="000F5BD4"/>
    <w:rsid w:val="000F6F78"/>
    <w:rsid w:val="00105A28"/>
    <w:rsid w:val="00106CB8"/>
    <w:rsid w:val="001071F1"/>
    <w:rsid w:val="001103EC"/>
    <w:rsid w:val="00110660"/>
    <w:rsid w:val="001115A6"/>
    <w:rsid w:val="0011189E"/>
    <w:rsid w:val="00111A4B"/>
    <w:rsid w:val="00112DA1"/>
    <w:rsid w:val="00112EDE"/>
    <w:rsid w:val="0011336B"/>
    <w:rsid w:val="001133AB"/>
    <w:rsid w:val="00113C7C"/>
    <w:rsid w:val="00114C61"/>
    <w:rsid w:val="00115768"/>
    <w:rsid w:val="00116159"/>
    <w:rsid w:val="00117F32"/>
    <w:rsid w:val="00120422"/>
    <w:rsid w:val="00120AE8"/>
    <w:rsid w:val="001219F2"/>
    <w:rsid w:val="001225D1"/>
    <w:rsid w:val="001233B4"/>
    <w:rsid w:val="0012382C"/>
    <w:rsid w:val="00124CA8"/>
    <w:rsid w:val="0012725E"/>
    <w:rsid w:val="001328F9"/>
    <w:rsid w:val="0013453B"/>
    <w:rsid w:val="00134E4F"/>
    <w:rsid w:val="001359DC"/>
    <w:rsid w:val="00136331"/>
    <w:rsid w:val="00136D06"/>
    <w:rsid w:val="00136DC6"/>
    <w:rsid w:val="00137AD4"/>
    <w:rsid w:val="00137EBF"/>
    <w:rsid w:val="001410BE"/>
    <w:rsid w:val="00141AD3"/>
    <w:rsid w:val="00141E3B"/>
    <w:rsid w:val="00142CEF"/>
    <w:rsid w:val="00143222"/>
    <w:rsid w:val="001446E9"/>
    <w:rsid w:val="00144BD5"/>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788D"/>
    <w:rsid w:val="00167FA5"/>
    <w:rsid w:val="001741B1"/>
    <w:rsid w:val="0017441B"/>
    <w:rsid w:val="001744D0"/>
    <w:rsid w:val="0017776A"/>
    <w:rsid w:val="001778CD"/>
    <w:rsid w:val="00177F6B"/>
    <w:rsid w:val="00180417"/>
    <w:rsid w:val="0018055F"/>
    <w:rsid w:val="001817C1"/>
    <w:rsid w:val="00182B38"/>
    <w:rsid w:val="0018403A"/>
    <w:rsid w:val="00184B02"/>
    <w:rsid w:val="00185D51"/>
    <w:rsid w:val="00187CDF"/>
    <w:rsid w:val="00192623"/>
    <w:rsid w:val="00193CAB"/>
    <w:rsid w:val="00194982"/>
    <w:rsid w:val="0019588A"/>
    <w:rsid w:val="00195D57"/>
    <w:rsid w:val="00196940"/>
    <w:rsid w:val="00197D8B"/>
    <w:rsid w:val="001A0309"/>
    <w:rsid w:val="001A0E94"/>
    <w:rsid w:val="001A1100"/>
    <w:rsid w:val="001A2AAA"/>
    <w:rsid w:val="001A31AB"/>
    <w:rsid w:val="001A3B25"/>
    <w:rsid w:val="001A3B7C"/>
    <w:rsid w:val="001A42C1"/>
    <w:rsid w:val="001A5240"/>
    <w:rsid w:val="001A6A94"/>
    <w:rsid w:val="001A6FEB"/>
    <w:rsid w:val="001B011E"/>
    <w:rsid w:val="001B4314"/>
    <w:rsid w:val="001B4491"/>
    <w:rsid w:val="001B536C"/>
    <w:rsid w:val="001B5869"/>
    <w:rsid w:val="001B7EC7"/>
    <w:rsid w:val="001C0113"/>
    <w:rsid w:val="001C0CAE"/>
    <w:rsid w:val="001C166C"/>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5DE8"/>
    <w:rsid w:val="001E6690"/>
    <w:rsid w:val="001E72D7"/>
    <w:rsid w:val="001E79AC"/>
    <w:rsid w:val="001E7BA9"/>
    <w:rsid w:val="001F34CF"/>
    <w:rsid w:val="001F3B0A"/>
    <w:rsid w:val="001F48DC"/>
    <w:rsid w:val="001F4ECE"/>
    <w:rsid w:val="001F57AD"/>
    <w:rsid w:val="001F5FF8"/>
    <w:rsid w:val="00200478"/>
    <w:rsid w:val="002006E5"/>
    <w:rsid w:val="002016FD"/>
    <w:rsid w:val="00201A3B"/>
    <w:rsid w:val="002049D9"/>
    <w:rsid w:val="00207877"/>
    <w:rsid w:val="00207B82"/>
    <w:rsid w:val="00207FD2"/>
    <w:rsid w:val="00212B04"/>
    <w:rsid w:val="002139AA"/>
    <w:rsid w:val="002145D6"/>
    <w:rsid w:val="00216AA6"/>
    <w:rsid w:val="002221FE"/>
    <w:rsid w:val="0022356F"/>
    <w:rsid w:val="00223D71"/>
    <w:rsid w:val="00223E4C"/>
    <w:rsid w:val="00224DA0"/>
    <w:rsid w:val="00224F35"/>
    <w:rsid w:val="0022510E"/>
    <w:rsid w:val="002260A6"/>
    <w:rsid w:val="00227818"/>
    <w:rsid w:val="00227FA7"/>
    <w:rsid w:val="00232A16"/>
    <w:rsid w:val="0023514C"/>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67EBF"/>
    <w:rsid w:val="00271D16"/>
    <w:rsid w:val="002721E8"/>
    <w:rsid w:val="00272786"/>
    <w:rsid w:val="00275709"/>
    <w:rsid w:val="002774D1"/>
    <w:rsid w:val="00281520"/>
    <w:rsid w:val="0028486A"/>
    <w:rsid w:val="00285666"/>
    <w:rsid w:val="00286EE5"/>
    <w:rsid w:val="00287F9D"/>
    <w:rsid w:val="00290C18"/>
    <w:rsid w:val="00291B46"/>
    <w:rsid w:val="0029341F"/>
    <w:rsid w:val="002937F1"/>
    <w:rsid w:val="002939F8"/>
    <w:rsid w:val="00294282"/>
    <w:rsid w:val="00294805"/>
    <w:rsid w:val="00294E01"/>
    <w:rsid w:val="0029712F"/>
    <w:rsid w:val="002975A9"/>
    <w:rsid w:val="002A01DF"/>
    <w:rsid w:val="002A088A"/>
    <w:rsid w:val="002A0C16"/>
    <w:rsid w:val="002A0FCD"/>
    <w:rsid w:val="002A105C"/>
    <w:rsid w:val="002A1714"/>
    <w:rsid w:val="002A186F"/>
    <w:rsid w:val="002A57D0"/>
    <w:rsid w:val="002A7ED2"/>
    <w:rsid w:val="002B06BB"/>
    <w:rsid w:val="002B0933"/>
    <w:rsid w:val="002B116F"/>
    <w:rsid w:val="002B2B3D"/>
    <w:rsid w:val="002B3313"/>
    <w:rsid w:val="002B3497"/>
    <w:rsid w:val="002B3A47"/>
    <w:rsid w:val="002B6B1E"/>
    <w:rsid w:val="002B6CB1"/>
    <w:rsid w:val="002C02A0"/>
    <w:rsid w:val="002C097F"/>
    <w:rsid w:val="002C1927"/>
    <w:rsid w:val="002C1F20"/>
    <w:rsid w:val="002C1FCF"/>
    <w:rsid w:val="002C3464"/>
    <w:rsid w:val="002C3C80"/>
    <w:rsid w:val="002C3DDB"/>
    <w:rsid w:val="002C45F4"/>
    <w:rsid w:val="002C5729"/>
    <w:rsid w:val="002C7210"/>
    <w:rsid w:val="002D05AE"/>
    <w:rsid w:val="002D07C5"/>
    <w:rsid w:val="002D08F8"/>
    <w:rsid w:val="002D1D90"/>
    <w:rsid w:val="002D36D0"/>
    <w:rsid w:val="002D5371"/>
    <w:rsid w:val="002D5E37"/>
    <w:rsid w:val="002D629D"/>
    <w:rsid w:val="002D63E8"/>
    <w:rsid w:val="002E0453"/>
    <w:rsid w:val="002E0BE9"/>
    <w:rsid w:val="002E10F2"/>
    <w:rsid w:val="002E1533"/>
    <w:rsid w:val="002E2C95"/>
    <w:rsid w:val="002E4F83"/>
    <w:rsid w:val="002E63A0"/>
    <w:rsid w:val="002E6AD2"/>
    <w:rsid w:val="002F0EC7"/>
    <w:rsid w:val="002F148E"/>
    <w:rsid w:val="002F2F5A"/>
    <w:rsid w:val="002F42EC"/>
    <w:rsid w:val="002F62E5"/>
    <w:rsid w:val="002F6440"/>
    <w:rsid w:val="002F6BE8"/>
    <w:rsid w:val="0030147E"/>
    <w:rsid w:val="00301D17"/>
    <w:rsid w:val="003023EC"/>
    <w:rsid w:val="0030424E"/>
    <w:rsid w:val="0030434E"/>
    <w:rsid w:val="00304801"/>
    <w:rsid w:val="00304A16"/>
    <w:rsid w:val="0030755C"/>
    <w:rsid w:val="003076D4"/>
    <w:rsid w:val="00307F6E"/>
    <w:rsid w:val="00310898"/>
    <w:rsid w:val="00311232"/>
    <w:rsid w:val="003164FD"/>
    <w:rsid w:val="00316C40"/>
    <w:rsid w:val="00317903"/>
    <w:rsid w:val="003237D5"/>
    <w:rsid w:val="00323DD7"/>
    <w:rsid w:val="00323EF3"/>
    <w:rsid w:val="003252A3"/>
    <w:rsid w:val="00326E12"/>
    <w:rsid w:val="00330699"/>
    <w:rsid w:val="00330748"/>
    <w:rsid w:val="00330FBB"/>
    <w:rsid w:val="00331814"/>
    <w:rsid w:val="003328D3"/>
    <w:rsid w:val="00332E8D"/>
    <w:rsid w:val="00332EC2"/>
    <w:rsid w:val="003342F5"/>
    <w:rsid w:val="00340A87"/>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CB7"/>
    <w:rsid w:val="003545A8"/>
    <w:rsid w:val="00354DC7"/>
    <w:rsid w:val="0035532F"/>
    <w:rsid w:val="003565FC"/>
    <w:rsid w:val="003608B3"/>
    <w:rsid w:val="0036240B"/>
    <w:rsid w:val="003637CD"/>
    <w:rsid w:val="00364390"/>
    <w:rsid w:val="00365127"/>
    <w:rsid w:val="00366398"/>
    <w:rsid w:val="00370B0E"/>
    <w:rsid w:val="00373674"/>
    <w:rsid w:val="00373741"/>
    <w:rsid w:val="003745EC"/>
    <w:rsid w:val="00376E5F"/>
    <w:rsid w:val="003776AF"/>
    <w:rsid w:val="00377B19"/>
    <w:rsid w:val="00377BD3"/>
    <w:rsid w:val="00380601"/>
    <w:rsid w:val="0038292B"/>
    <w:rsid w:val="0038314E"/>
    <w:rsid w:val="003849DA"/>
    <w:rsid w:val="00387360"/>
    <w:rsid w:val="0039246E"/>
    <w:rsid w:val="00394F32"/>
    <w:rsid w:val="00395E1F"/>
    <w:rsid w:val="00397AB9"/>
    <w:rsid w:val="00397FC0"/>
    <w:rsid w:val="003A0306"/>
    <w:rsid w:val="003A09E8"/>
    <w:rsid w:val="003A1137"/>
    <w:rsid w:val="003A22A7"/>
    <w:rsid w:val="003A2BD2"/>
    <w:rsid w:val="003A37C6"/>
    <w:rsid w:val="003A4686"/>
    <w:rsid w:val="003A5C56"/>
    <w:rsid w:val="003A6429"/>
    <w:rsid w:val="003A6A78"/>
    <w:rsid w:val="003A6AB5"/>
    <w:rsid w:val="003B14FA"/>
    <w:rsid w:val="003B1A17"/>
    <w:rsid w:val="003B2659"/>
    <w:rsid w:val="003B3041"/>
    <w:rsid w:val="003B4AFE"/>
    <w:rsid w:val="003B5F00"/>
    <w:rsid w:val="003B63B3"/>
    <w:rsid w:val="003C0D33"/>
    <w:rsid w:val="003C1027"/>
    <w:rsid w:val="003C2243"/>
    <w:rsid w:val="003C33E4"/>
    <w:rsid w:val="003C3F0E"/>
    <w:rsid w:val="003C5806"/>
    <w:rsid w:val="003C6339"/>
    <w:rsid w:val="003C73F9"/>
    <w:rsid w:val="003C7616"/>
    <w:rsid w:val="003C7929"/>
    <w:rsid w:val="003D07B3"/>
    <w:rsid w:val="003D0962"/>
    <w:rsid w:val="003D23D6"/>
    <w:rsid w:val="003D35B3"/>
    <w:rsid w:val="003D3621"/>
    <w:rsid w:val="003D4FED"/>
    <w:rsid w:val="003D6C5D"/>
    <w:rsid w:val="003E3B99"/>
    <w:rsid w:val="003E4E6E"/>
    <w:rsid w:val="003E52E0"/>
    <w:rsid w:val="003E7614"/>
    <w:rsid w:val="003E7CDF"/>
    <w:rsid w:val="003F2EA5"/>
    <w:rsid w:val="003F65B2"/>
    <w:rsid w:val="003F7ACB"/>
    <w:rsid w:val="00401C72"/>
    <w:rsid w:val="004023B6"/>
    <w:rsid w:val="0040327B"/>
    <w:rsid w:val="00403365"/>
    <w:rsid w:val="00403422"/>
    <w:rsid w:val="0040350A"/>
    <w:rsid w:val="0040452D"/>
    <w:rsid w:val="0040596F"/>
    <w:rsid w:val="00407DDE"/>
    <w:rsid w:val="004106BF"/>
    <w:rsid w:val="004122B5"/>
    <w:rsid w:val="00412918"/>
    <w:rsid w:val="00414EE9"/>
    <w:rsid w:val="0041598F"/>
    <w:rsid w:val="0041740E"/>
    <w:rsid w:val="00417752"/>
    <w:rsid w:val="00417ECB"/>
    <w:rsid w:val="00420D29"/>
    <w:rsid w:val="0042152A"/>
    <w:rsid w:val="00421DB0"/>
    <w:rsid w:val="00422F09"/>
    <w:rsid w:val="004239B9"/>
    <w:rsid w:val="004258AD"/>
    <w:rsid w:val="00425C49"/>
    <w:rsid w:val="00426003"/>
    <w:rsid w:val="004272BF"/>
    <w:rsid w:val="004303B9"/>
    <w:rsid w:val="00430754"/>
    <w:rsid w:val="004312CB"/>
    <w:rsid w:val="00432A86"/>
    <w:rsid w:val="004331FC"/>
    <w:rsid w:val="00435CF0"/>
    <w:rsid w:val="00435D4C"/>
    <w:rsid w:val="00436D16"/>
    <w:rsid w:val="004417E1"/>
    <w:rsid w:val="00441B83"/>
    <w:rsid w:val="0044210F"/>
    <w:rsid w:val="004424DA"/>
    <w:rsid w:val="004444AD"/>
    <w:rsid w:val="00444AFF"/>
    <w:rsid w:val="00444C65"/>
    <w:rsid w:val="00445C62"/>
    <w:rsid w:val="00446639"/>
    <w:rsid w:val="00447225"/>
    <w:rsid w:val="00450035"/>
    <w:rsid w:val="00450C59"/>
    <w:rsid w:val="00450EF0"/>
    <w:rsid w:val="00451670"/>
    <w:rsid w:val="004520B5"/>
    <w:rsid w:val="00452A89"/>
    <w:rsid w:val="00455017"/>
    <w:rsid w:val="0045668C"/>
    <w:rsid w:val="004578F0"/>
    <w:rsid w:val="0045796B"/>
    <w:rsid w:val="00457CBD"/>
    <w:rsid w:val="004601A0"/>
    <w:rsid w:val="00461317"/>
    <w:rsid w:val="0046169D"/>
    <w:rsid w:val="0046182D"/>
    <w:rsid w:val="0046194D"/>
    <w:rsid w:val="00461BE2"/>
    <w:rsid w:val="004620F5"/>
    <w:rsid w:val="004629E3"/>
    <w:rsid w:val="004639F1"/>
    <w:rsid w:val="00463EF7"/>
    <w:rsid w:val="004646F8"/>
    <w:rsid w:val="00464EA8"/>
    <w:rsid w:val="00466397"/>
    <w:rsid w:val="00467F0D"/>
    <w:rsid w:val="00470016"/>
    <w:rsid w:val="004707FB"/>
    <w:rsid w:val="00470851"/>
    <w:rsid w:val="00470C80"/>
    <w:rsid w:val="00471595"/>
    <w:rsid w:val="00474CFD"/>
    <w:rsid w:val="0047652C"/>
    <w:rsid w:val="004766EA"/>
    <w:rsid w:val="00481359"/>
    <w:rsid w:val="00481CCA"/>
    <w:rsid w:val="00482088"/>
    <w:rsid w:val="00483FAF"/>
    <w:rsid w:val="00486DAC"/>
    <w:rsid w:val="00487006"/>
    <w:rsid w:val="004872F6"/>
    <w:rsid w:val="00487FF6"/>
    <w:rsid w:val="0049169A"/>
    <w:rsid w:val="0049209D"/>
    <w:rsid w:val="00492E1B"/>
    <w:rsid w:val="00493A10"/>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3952"/>
    <w:rsid w:val="004A4ED0"/>
    <w:rsid w:val="004A7AA6"/>
    <w:rsid w:val="004B12F7"/>
    <w:rsid w:val="004B18D1"/>
    <w:rsid w:val="004B296F"/>
    <w:rsid w:val="004B2AF9"/>
    <w:rsid w:val="004B4608"/>
    <w:rsid w:val="004B4712"/>
    <w:rsid w:val="004B63AC"/>
    <w:rsid w:val="004B69F4"/>
    <w:rsid w:val="004B77BB"/>
    <w:rsid w:val="004C1612"/>
    <w:rsid w:val="004C2858"/>
    <w:rsid w:val="004C3423"/>
    <w:rsid w:val="004C3BE1"/>
    <w:rsid w:val="004C492A"/>
    <w:rsid w:val="004C4C71"/>
    <w:rsid w:val="004C503A"/>
    <w:rsid w:val="004C5906"/>
    <w:rsid w:val="004C6012"/>
    <w:rsid w:val="004C6333"/>
    <w:rsid w:val="004C67E0"/>
    <w:rsid w:val="004D2CCD"/>
    <w:rsid w:val="004D2EB4"/>
    <w:rsid w:val="004D348C"/>
    <w:rsid w:val="004D5400"/>
    <w:rsid w:val="004D5A82"/>
    <w:rsid w:val="004D6EAB"/>
    <w:rsid w:val="004E047F"/>
    <w:rsid w:val="004E0972"/>
    <w:rsid w:val="004E1678"/>
    <w:rsid w:val="004E2D09"/>
    <w:rsid w:val="004E30DF"/>
    <w:rsid w:val="004E41B1"/>
    <w:rsid w:val="004E51A5"/>
    <w:rsid w:val="004E5F7F"/>
    <w:rsid w:val="004E6F1D"/>
    <w:rsid w:val="004F0057"/>
    <w:rsid w:val="004F17F4"/>
    <w:rsid w:val="004F33B0"/>
    <w:rsid w:val="004F5DCA"/>
    <w:rsid w:val="004F5E0D"/>
    <w:rsid w:val="004F69F6"/>
    <w:rsid w:val="004F6CB2"/>
    <w:rsid w:val="004F72B9"/>
    <w:rsid w:val="004F7F9D"/>
    <w:rsid w:val="005001B3"/>
    <w:rsid w:val="00500D81"/>
    <w:rsid w:val="0050196E"/>
    <w:rsid w:val="00501AB7"/>
    <w:rsid w:val="00501B1D"/>
    <w:rsid w:val="00502062"/>
    <w:rsid w:val="00504634"/>
    <w:rsid w:val="00510470"/>
    <w:rsid w:val="0051199B"/>
    <w:rsid w:val="00512266"/>
    <w:rsid w:val="00512862"/>
    <w:rsid w:val="00512EFF"/>
    <w:rsid w:val="00514B1B"/>
    <w:rsid w:val="005177EC"/>
    <w:rsid w:val="005218DD"/>
    <w:rsid w:val="005224EE"/>
    <w:rsid w:val="0052257D"/>
    <w:rsid w:val="00524090"/>
    <w:rsid w:val="00524E54"/>
    <w:rsid w:val="00526421"/>
    <w:rsid w:val="00526A9A"/>
    <w:rsid w:val="00527ECD"/>
    <w:rsid w:val="00530C9B"/>
    <w:rsid w:val="00531038"/>
    <w:rsid w:val="005315A5"/>
    <w:rsid w:val="0053182F"/>
    <w:rsid w:val="005320AC"/>
    <w:rsid w:val="00532540"/>
    <w:rsid w:val="00532FF7"/>
    <w:rsid w:val="00533429"/>
    <w:rsid w:val="00534A83"/>
    <w:rsid w:val="00536198"/>
    <w:rsid w:val="005363AA"/>
    <w:rsid w:val="0053647D"/>
    <w:rsid w:val="00536D80"/>
    <w:rsid w:val="0054058C"/>
    <w:rsid w:val="00545820"/>
    <w:rsid w:val="00550D95"/>
    <w:rsid w:val="005517EC"/>
    <w:rsid w:val="0055322E"/>
    <w:rsid w:val="00556E2C"/>
    <w:rsid w:val="00563C5F"/>
    <w:rsid w:val="00564F44"/>
    <w:rsid w:val="00566AD9"/>
    <w:rsid w:val="005672B0"/>
    <w:rsid w:val="00570945"/>
    <w:rsid w:val="00571358"/>
    <w:rsid w:val="00572398"/>
    <w:rsid w:val="00572481"/>
    <w:rsid w:val="0057568A"/>
    <w:rsid w:val="00575956"/>
    <w:rsid w:val="005763FC"/>
    <w:rsid w:val="0057672F"/>
    <w:rsid w:val="0057676F"/>
    <w:rsid w:val="00576DBC"/>
    <w:rsid w:val="005775E0"/>
    <w:rsid w:val="0058032C"/>
    <w:rsid w:val="00580933"/>
    <w:rsid w:val="005809BC"/>
    <w:rsid w:val="0058104A"/>
    <w:rsid w:val="005814D0"/>
    <w:rsid w:val="00585A11"/>
    <w:rsid w:val="00586DB8"/>
    <w:rsid w:val="00587303"/>
    <w:rsid w:val="005932B9"/>
    <w:rsid w:val="00595E12"/>
    <w:rsid w:val="00595EFA"/>
    <w:rsid w:val="005964BA"/>
    <w:rsid w:val="00596F0C"/>
    <w:rsid w:val="0059750D"/>
    <w:rsid w:val="005979F7"/>
    <w:rsid w:val="005A0721"/>
    <w:rsid w:val="005A2057"/>
    <w:rsid w:val="005A3129"/>
    <w:rsid w:val="005A397E"/>
    <w:rsid w:val="005A686F"/>
    <w:rsid w:val="005A7212"/>
    <w:rsid w:val="005A7C75"/>
    <w:rsid w:val="005B0B77"/>
    <w:rsid w:val="005B25C2"/>
    <w:rsid w:val="005B40E2"/>
    <w:rsid w:val="005B53D6"/>
    <w:rsid w:val="005B598D"/>
    <w:rsid w:val="005B6C36"/>
    <w:rsid w:val="005B7648"/>
    <w:rsid w:val="005C1F97"/>
    <w:rsid w:val="005C3130"/>
    <w:rsid w:val="005C3FB7"/>
    <w:rsid w:val="005C4630"/>
    <w:rsid w:val="005C5C5E"/>
    <w:rsid w:val="005D04FE"/>
    <w:rsid w:val="005D0C1B"/>
    <w:rsid w:val="005D18C7"/>
    <w:rsid w:val="005D1F20"/>
    <w:rsid w:val="005D297D"/>
    <w:rsid w:val="005D32B3"/>
    <w:rsid w:val="005D39A4"/>
    <w:rsid w:val="005D7C44"/>
    <w:rsid w:val="005E0587"/>
    <w:rsid w:val="005E12F3"/>
    <w:rsid w:val="005E130A"/>
    <w:rsid w:val="005E144E"/>
    <w:rsid w:val="005E245C"/>
    <w:rsid w:val="005E28FB"/>
    <w:rsid w:val="005E3A32"/>
    <w:rsid w:val="005E4814"/>
    <w:rsid w:val="005E61E3"/>
    <w:rsid w:val="005E6520"/>
    <w:rsid w:val="005E67AE"/>
    <w:rsid w:val="005E7B91"/>
    <w:rsid w:val="005F07A9"/>
    <w:rsid w:val="005F123A"/>
    <w:rsid w:val="005F15EE"/>
    <w:rsid w:val="005F1635"/>
    <w:rsid w:val="005F1D7E"/>
    <w:rsid w:val="005F237A"/>
    <w:rsid w:val="005F26CF"/>
    <w:rsid w:val="005F37CB"/>
    <w:rsid w:val="005F3C19"/>
    <w:rsid w:val="005F50AD"/>
    <w:rsid w:val="005F6F6A"/>
    <w:rsid w:val="006007B1"/>
    <w:rsid w:val="006017A1"/>
    <w:rsid w:val="00601F2A"/>
    <w:rsid w:val="006026DB"/>
    <w:rsid w:val="00603D68"/>
    <w:rsid w:val="006040A0"/>
    <w:rsid w:val="00604AF5"/>
    <w:rsid w:val="00604CFB"/>
    <w:rsid w:val="00605232"/>
    <w:rsid w:val="0060561E"/>
    <w:rsid w:val="00605F15"/>
    <w:rsid w:val="00606CB9"/>
    <w:rsid w:val="0061050B"/>
    <w:rsid w:val="00614C4F"/>
    <w:rsid w:val="00614DF3"/>
    <w:rsid w:val="0061580B"/>
    <w:rsid w:val="00616284"/>
    <w:rsid w:val="00616C4D"/>
    <w:rsid w:val="00616E40"/>
    <w:rsid w:val="00620DF1"/>
    <w:rsid w:val="0062138B"/>
    <w:rsid w:val="006244B5"/>
    <w:rsid w:val="006246A2"/>
    <w:rsid w:val="00625510"/>
    <w:rsid w:val="00627F29"/>
    <w:rsid w:val="006314CC"/>
    <w:rsid w:val="00632509"/>
    <w:rsid w:val="00632F26"/>
    <w:rsid w:val="0063408A"/>
    <w:rsid w:val="006344B9"/>
    <w:rsid w:val="00636A5F"/>
    <w:rsid w:val="006371D9"/>
    <w:rsid w:val="0064017C"/>
    <w:rsid w:val="00641455"/>
    <w:rsid w:val="00641BF2"/>
    <w:rsid w:val="00641F9E"/>
    <w:rsid w:val="00642AF9"/>
    <w:rsid w:val="00642DF7"/>
    <w:rsid w:val="00644DC9"/>
    <w:rsid w:val="006457FC"/>
    <w:rsid w:val="00646C48"/>
    <w:rsid w:val="006506E6"/>
    <w:rsid w:val="00652CCF"/>
    <w:rsid w:val="006541B6"/>
    <w:rsid w:val="0065587D"/>
    <w:rsid w:val="00657E0F"/>
    <w:rsid w:val="006601A1"/>
    <w:rsid w:val="00660E8A"/>
    <w:rsid w:val="006622C9"/>
    <w:rsid w:val="006627BD"/>
    <w:rsid w:val="00662AF6"/>
    <w:rsid w:val="006632B0"/>
    <w:rsid w:val="0066466E"/>
    <w:rsid w:val="00665970"/>
    <w:rsid w:val="00667FD4"/>
    <w:rsid w:val="00671A4D"/>
    <w:rsid w:val="00672092"/>
    <w:rsid w:val="00672D13"/>
    <w:rsid w:val="00673F2D"/>
    <w:rsid w:val="00674770"/>
    <w:rsid w:val="00680039"/>
    <w:rsid w:val="00681FC6"/>
    <w:rsid w:val="006850F8"/>
    <w:rsid w:val="00687E96"/>
    <w:rsid w:val="00690355"/>
    <w:rsid w:val="00690F78"/>
    <w:rsid w:val="006953B6"/>
    <w:rsid w:val="006957C3"/>
    <w:rsid w:val="006963B5"/>
    <w:rsid w:val="00696A1A"/>
    <w:rsid w:val="00696CE2"/>
    <w:rsid w:val="0069708E"/>
    <w:rsid w:val="0069773D"/>
    <w:rsid w:val="006A0CF4"/>
    <w:rsid w:val="006A1C1F"/>
    <w:rsid w:val="006A1FCC"/>
    <w:rsid w:val="006A4168"/>
    <w:rsid w:val="006A4BEB"/>
    <w:rsid w:val="006A58D6"/>
    <w:rsid w:val="006A5F34"/>
    <w:rsid w:val="006A79BE"/>
    <w:rsid w:val="006A7D60"/>
    <w:rsid w:val="006B1088"/>
    <w:rsid w:val="006B199D"/>
    <w:rsid w:val="006B2E8D"/>
    <w:rsid w:val="006B3BAB"/>
    <w:rsid w:val="006B3C3D"/>
    <w:rsid w:val="006C1A71"/>
    <w:rsid w:val="006C1E87"/>
    <w:rsid w:val="006C25FC"/>
    <w:rsid w:val="006C324C"/>
    <w:rsid w:val="006C3255"/>
    <w:rsid w:val="006C5DD2"/>
    <w:rsid w:val="006C5E94"/>
    <w:rsid w:val="006C664C"/>
    <w:rsid w:val="006C66D0"/>
    <w:rsid w:val="006C7B5A"/>
    <w:rsid w:val="006D4444"/>
    <w:rsid w:val="006D48F8"/>
    <w:rsid w:val="006D5D6A"/>
    <w:rsid w:val="006D62F3"/>
    <w:rsid w:val="006D75CC"/>
    <w:rsid w:val="006E010F"/>
    <w:rsid w:val="006E0E23"/>
    <w:rsid w:val="006E17FA"/>
    <w:rsid w:val="006E2198"/>
    <w:rsid w:val="006E38EF"/>
    <w:rsid w:val="006E4A15"/>
    <w:rsid w:val="006E4C25"/>
    <w:rsid w:val="006E62DE"/>
    <w:rsid w:val="006E6721"/>
    <w:rsid w:val="006E69A2"/>
    <w:rsid w:val="006E7DC3"/>
    <w:rsid w:val="006E7E52"/>
    <w:rsid w:val="006F0924"/>
    <w:rsid w:val="006F37EB"/>
    <w:rsid w:val="006F71CB"/>
    <w:rsid w:val="00700A0F"/>
    <w:rsid w:val="007022B7"/>
    <w:rsid w:val="007033E4"/>
    <w:rsid w:val="0070371F"/>
    <w:rsid w:val="00703E6A"/>
    <w:rsid w:val="00704178"/>
    <w:rsid w:val="007052A7"/>
    <w:rsid w:val="00705815"/>
    <w:rsid w:val="0070625D"/>
    <w:rsid w:val="007064B3"/>
    <w:rsid w:val="0070654E"/>
    <w:rsid w:val="00706C56"/>
    <w:rsid w:val="00706D8E"/>
    <w:rsid w:val="007116AD"/>
    <w:rsid w:val="00711E1A"/>
    <w:rsid w:val="00711E29"/>
    <w:rsid w:val="0071253F"/>
    <w:rsid w:val="00712871"/>
    <w:rsid w:val="007129BB"/>
    <w:rsid w:val="0071525E"/>
    <w:rsid w:val="007162FF"/>
    <w:rsid w:val="00717E87"/>
    <w:rsid w:val="00717F0A"/>
    <w:rsid w:val="0072259F"/>
    <w:rsid w:val="00722A63"/>
    <w:rsid w:val="00722B72"/>
    <w:rsid w:val="00722C93"/>
    <w:rsid w:val="007232AB"/>
    <w:rsid w:val="00724423"/>
    <w:rsid w:val="007246BB"/>
    <w:rsid w:val="00725197"/>
    <w:rsid w:val="007264D4"/>
    <w:rsid w:val="00730E9D"/>
    <w:rsid w:val="00731086"/>
    <w:rsid w:val="00733DF8"/>
    <w:rsid w:val="0073482B"/>
    <w:rsid w:val="00734AAA"/>
    <w:rsid w:val="0073540E"/>
    <w:rsid w:val="00735DD9"/>
    <w:rsid w:val="00736572"/>
    <w:rsid w:val="00736929"/>
    <w:rsid w:val="00736936"/>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3785"/>
    <w:rsid w:val="00765BEA"/>
    <w:rsid w:val="00766BAA"/>
    <w:rsid w:val="00770A8D"/>
    <w:rsid w:val="00771745"/>
    <w:rsid w:val="00771958"/>
    <w:rsid w:val="00774E5D"/>
    <w:rsid w:val="00774FAD"/>
    <w:rsid w:val="007777A3"/>
    <w:rsid w:val="0077782F"/>
    <w:rsid w:val="00783090"/>
    <w:rsid w:val="0078360F"/>
    <w:rsid w:val="00785B77"/>
    <w:rsid w:val="00785C71"/>
    <w:rsid w:val="007862C9"/>
    <w:rsid w:val="00786CC7"/>
    <w:rsid w:val="00787681"/>
    <w:rsid w:val="00787945"/>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09"/>
    <w:rsid w:val="007B1CDE"/>
    <w:rsid w:val="007B1D44"/>
    <w:rsid w:val="007B2194"/>
    <w:rsid w:val="007B3B87"/>
    <w:rsid w:val="007B3B88"/>
    <w:rsid w:val="007B634E"/>
    <w:rsid w:val="007B67E9"/>
    <w:rsid w:val="007C38F1"/>
    <w:rsid w:val="007C5A71"/>
    <w:rsid w:val="007D1297"/>
    <w:rsid w:val="007D1305"/>
    <w:rsid w:val="007D245E"/>
    <w:rsid w:val="007D27F3"/>
    <w:rsid w:val="007D3B78"/>
    <w:rsid w:val="007D48F6"/>
    <w:rsid w:val="007D53F8"/>
    <w:rsid w:val="007E38DE"/>
    <w:rsid w:val="007E3AFF"/>
    <w:rsid w:val="007E65D6"/>
    <w:rsid w:val="007E79EB"/>
    <w:rsid w:val="007F1C9A"/>
    <w:rsid w:val="007F1F00"/>
    <w:rsid w:val="007F228B"/>
    <w:rsid w:val="007F2C29"/>
    <w:rsid w:val="007F3267"/>
    <w:rsid w:val="007F4ACA"/>
    <w:rsid w:val="007F56CF"/>
    <w:rsid w:val="007F62F3"/>
    <w:rsid w:val="008025CC"/>
    <w:rsid w:val="0080356B"/>
    <w:rsid w:val="008074CF"/>
    <w:rsid w:val="00811AF6"/>
    <w:rsid w:val="008134A2"/>
    <w:rsid w:val="0081488E"/>
    <w:rsid w:val="00814F59"/>
    <w:rsid w:val="00816B7C"/>
    <w:rsid w:val="00817CBC"/>
    <w:rsid w:val="00820A8A"/>
    <w:rsid w:val="00820BE3"/>
    <w:rsid w:val="00820D62"/>
    <w:rsid w:val="00821966"/>
    <w:rsid w:val="00821EEB"/>
    <w:rsid w:val="00823060"/>
    <w:rsid w:val="008257A9"/>
    <w:rsid w:val="0082715D"/>
    <w:rsid w:val="00830FAE"/>
    <w:rsid w:val="00831E50"/>
    <w:rsid w:val="008321C7"/>
    <w:rsid w:val="00834CB0"/>
    <w:rsid w:val="00835984"/>
    <w:rsid w:val="00836995"/>
    <w:rsid w:val="0083763A"/>
    <w:rsid w:val="00837AA2"/>
    <w:rsid w:val="00840BD6"/>
    <w:rsid w:val="0084353C"/>
    <w:rsid w:val="00843AAE"/>
    <w:rsid w:val="008447B6"/>
    <w:rsid w:val="008451A6"/>
    <w:rsid w:val="00845925"/>
    <w:rsid w:val="00846233"/>
    <w:rsid w:val="008473A7"/>
    <w:rsid w:val="00847D6E"/>
    <w:rsid w:val="00850FC4"/>
    <w:rsid w:val="00851B10"/>
    <w:rsid w:val="00851F86"/>
    <w:rsid w:val="0085407C"/>
    <w:rsid w:val="008555DF"/>
    <w:rsid w:val="008569FC"/>
    <w:rsid w:val="00857574"/>
    <w:rsid w:val="00857D03"/>
    <w:rsid w:val="0086053E"/>
    <w:rsid w:val="00860A88"/>
    <w:rsid w:val="00861EC0"/>
    <w:rsid w:val="00864AA7"/>
    <w:rsid w:val="00866038"/>
    <w:rsid w:val="0086642B"/>
    <w:rsid w:val="008665F8"/>
    <w:rsid w:val="0086663C"/>
    <w:rsid w:val="00866D13"/>
    <w:rsid w:val="00866DDF"/>
    <w:rsid w:val="00870F3C"/>
    <w:rsid w:val="0087118D"/>
    <w:rsid w:val="00871ECF"/>
    <w:rsid w:val="00872193"/>
    <w:rsid w:val="0087229C"/>
    <w:rsid w:val="0087318B"/>
    <w:rsid w:val="00873451"/>
    <w:rsid w:val="008744CA"/>
    <w:rsid w:val="008747EA"/>
    <w:rsid w:val="00876698"/>
    <w:rsid w:val="0087679B"/>
    <w:rsid w:val="0087748E"/>
    <w:rsid w:val="008806EB"/>
    <w:rsid w:val="00884A46"/>
    <w:rsid w:val="00884B61"/>
    <w:rsid w:val="00884BE8"/>
    <w:rsid w:val="008857A5"/>
    <w:rsid w:val="00885D05"/>
    <w:rsid w:val="00885F3C"/>
    <w:rsid w:val="00886D36"/>
    <w:rsid w:val="00887B39"/>
    <w:rsid w:val="00887DD3"/>
    <w:rsid w:val="00891FF1"/>
    <w:rsid w:val="0089337A"/>
    <w:rsid w:val="00893868"/>
    <w:rsid w:val="00894622"/>
    <w:rsid w:val="00895EB2"/>
    <w:rsid w:val="00896308"/>
    <w:rsid w:val="008A05CF"/>
    <w:rsid w:val="008A1C7A"/>
    <w:rsid w:val="008A24DA"/>
    <w:rsid w:val="008A2644"/>
    <w:rsid w:val="008A3E29"/>
    <w:rsid w:val="008A5EBC"/>
    <w:rsid w:val="008A704A"/>
    <w:rsid w:val="008B0127"/>
    <w:rsid w:val="008B1161"/>
    <w:rsid w:val="008B44EB"/>
    <w:rsid w:val="008B4F95"/>
    <w:rsid w:val="008B4FA9"/>
    <w:rsid w:val="008B63B9"/>
    <w:rsid w:val="008B684C"/>
    <w:rsid w:val="008B68BC"/>
    <w:rsid w:val="008C07AF"/>
    <w:rsid w:val="008C0EFC"/>
    <w:rsid w:val="008C1673"/>
    <w:rsid w:val="008C1FF3"/>
    <w:rsid w:val="008C21D7"/>
    <w:rsid w:val="008C517C"/>
    <w:rsid w:val="008C5EB6"/>
    <w:rsid w:val="008D000C"/>
    <w:rsid w:val="008D177F"/>
    <w:rsid w:val="008D24AD"/>
    <w:rsid w:val="008D2A7D"/>
    <w:rsid w:val="008D3D88"/>
    <w:rsid w:val="008D53E4"/>
    <w:rsid w:val="008D674D"/>
    <w:rsid w:val="008D6AC5"/>
    <w:rsid w:val="008D7423"/>
    <w:rsid w:val="008E0AAC"/>
    <w:rsid w:val="008E25CA"/>
    <w:rsid w:val="008E2CE1"/>
    <w:rsid w:val="008E3052"/>
    <w:rsid w:val="008E4CBB"/>
    <w:rsid w:val="008E668B"/>
    <w:rsid w:val="008E6AC3"/>
    <w:rsid w:val="008F151A"/>
    <w:rsid w:val="008F1CD4"/>
    <w:rsid w:val="008F1F56"/>
    <w:rsid w:val="008F2119"/>
    <w:rsid w:val="008F335C"/>
    <w:rsid w:val="008F57B1"/>
    <w:rsid w:val="008F5D25"/>
    <w:rsid w:val="008F6B9E"/>
    <w:rsid w:val="008F7245"/>
    <w:rsid w:val="008F7A82"/>
    <w:rsid w:val="00900905"/>
    <w:rsid w:val="009031D4"/>
    <w:rsid w:val="00904317"/>
    <w:rsid w:val="00904447"/>
    <w:rsid w:val="00904D58"/>
    <w:rsid w:val="00905F71"/>
    <w:rsid w:val="00907797"/>
    <w:rsid w:val="00907919"/>
    <w:rsid w:val="00911390"/>
    <w:rsid w:val="00912BDA"/>
    <w:rsid w:val="009133D9"/>
    <w:rsid w:val="00916886"/>
    <w:rsid w:val="00916BE9"/>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5E21"/>
    <w:rsid w:val="0093714E"/>
    <w:rsid w:val="00937AD1"/>
    <w:rsid w:val="00937F1C"/>
    <w:rsid w:val="009433BF"/>
    <w:rsid w:val="00944C6E"/>
    <w:rsid w:val="009456F7"/>
    <w:rsid w:val="00945F94"/>
    <w:rsid w:val="009464D0"/>
    <w:rsid w:val="00946F78"/>
    <w:rsid w:val="00951358"/>
    <w:rsid w:val="0095326C"/>
    <w:rsid w:val="009549E4"/>
    <w:rsid w:val="00954E0E"/>
    <w:rsid w:val="0095514C"/>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8767F"/>
    <w:rsid w:val="00991221"/>
    <w:rsid w:val="00992257"/>
    <w:rsid w:val="00992E3A"/>
    <w:rsid w:val="00996437"/>
    <w:rsid w:val="00997411"/>
    <w:rsid w:val="009A0C8A"/>
    <w:rsid w:val="009A0DD2"/>
    <w:rsid w:val="009A0EB8"/>
    <w:rsid w:val="009A1560"/>
    <w:rsid w:val="009A19F6"/>
    <w:rsid w:val="009A261D"/>
    <w:rsid w:val="009A2800"/>
    <w:rsid w:val="009A2930"/>
    <w:rsid w:val="009A45BD"/>
    <w:rsid w:val="009A5E7A"/>
    <w:rsid w:val="009A6A88"/>
    <w:rsid w:val="009A6B80"/>
    <w:rsid w:val="009B1515"/>
    <w:rsid w:val="009B15C2"/>
    <w:rsid w:val="009B187E"/>
    <w:rsid w:val="009B1E78"/>
    <w:rsid w:val="009B29D1"/>
    <w:rsid w:val="009B2EE0"/>
    <w:rsid w:val="009B300A"/>
    <w:rsid w:val="009B3141"/>
    <w:rsid w:val="009B55B3"/>
    <w:rsid w:val="009B5E27"/>
    <w:rsid w:val="009B6FFD"/>
    <w:rsid w:val="009B7018"/>
    <w:rsid w:val="009B79AA"/>
    <w:rsid w:val="009B7A06"/>
    <w:rsid w:val="009C00EE"/>
    <w:rsid w:val="009C0B20"/>
    <w:rsid w:val="009C1422"/>
    <w:rsid w:val="009C14E7"/>
    <w:rsid w:val="009C18A5"/>
    <w:rsid w:val="009C2BA9"/>
    <w:rsid w:val="009C2F49"/>
    <w:rsid w:val="009C38F5"/>
    <w:rsid w:val="009C3A0D"/>
    <w:rsid w:val="009C3A6C"/>
    <w:rsid w:val="009C4D9E"/>
    <w:rsid w:val="009C529B"/>
    <w:rsid w:val="009C5793"/>
    <w:rsid w:val="009C758F"/>
    <w:rsid w:val="009D17D0"/>
    <w:rsid w:val="009D3C37"/>
    <w:rsid w:val="009D4A53"/>
    <w:rsid w:val="009D4BAA"/>
    <w:rsid w:val="009D5B63"/>
    <w:rsid w:val="009E0E12"/>
    <w:rsid w:val="009E0F91"/>
    <w:rsid w:val="009E1068"/>
    <w:rsid w:val="009E114C"/>
    <w:rsid w:val="009E13D8"/>
    <w:rsid w:val="009E1799"/>
    <w:rsid w:val="009E1CF3"/>
    <w:rsid w:val="009E4990"/>
    <w:rsid w:val="009E4B9E"/>
    <w:rsid w:val="009E539D"/>
    <w:rsid w:val="009E5617"/>
    <w:rsid w:val="009E6457"/>
    <w:rsid w:val="009F1203"/>
    <w:rsid w:val="009F231E"/>
    <w:rsid w:val="009F3387"/>
    <w:rsid w:val="009F5F3F"/>
    <w:rsid w:val="009F77AA"/>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65F"/>
    <w:rsid w:val="00A26F52"/>
    <w:rsid w:val="00A27E58"/>
    <w:rsid w:val="00A33C32"/>
    <w:rsid w:val="00A3494E"/>
    <w:rsid w:val="00A35968"/>
    <w:rsid w:val="00A3635F"/>
    <w:rsid w:val="00A36DAF"/>
    <w:rsid w:val="00A373AA"/>
    <w:rsid w:val="00A41585"/>
    <w:rsid w:val="00A43049"/>
    <w:rsid w:val="00A4482A"/>
    <w:rsid w:val="00A453EE"/>
    <w:rsid w:val="00A45762"/>
    <w:rsid w:val="00A457B5"/>
    <w:rsid w:val="00A45853"/>
    <w:rsid w:val="00A465BA"/>
    <w:rsid w:val="00A471F4"/>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5C7"/>
    <w:rsid w:val="00A70AD0"/>
    <w:rsid w:val="00A71EEE"/>
    <w:rsid w:val="00A72030"/>
    <w:rsid w:val="00A729FA"/>
    <w:rsid w:val="00A75D21"/>
    <w:rsid w:val="00A76573"/>
    <w:rsid w:val="00A80C8A"/>
    <w:rsid w:val="00A80FEE"/>
    <w:rsid w:val="00A8183A"/>
    <w:rsid w:val="00A82348"/>
    <w:rsid w:val="00A8390A"/>
    <w:rsid w:val="00A85095"/>
    <w:rsid w:val="00A85909"/>
    <w:rsid w:val="00A85ADE"/>
    <w:rsid w:val="00A86F91"/>
    <w:rsid w:val="00A91539"/>
    <w:rsid w:val="00A91AC6"/>
    <w:rsid w:val="00A923C4"/>
    <w:rsid w:val="00A92A2F"/>
    <w:rsid w:val="00A93BA6"/>
    <w:rsid w:val="00AA0ED7"/>
    <w:rsid w:val="00AA3A69"/>
    <w:rsid w:val="00AA4564"/>
    <w:rsid w:val="00AA58F9"/>
    <w:rsid w:val="00AA5A6C"/>
    <w:rsid w:val="00AA5BE4"/>
    <w:rsid w:val="00AB1640"/>
    <w:rsid w:val="00AB2DB4"/>
    <w:rsid w:val="00AB2E23"/>
    <w:rsid w:val="00AB2EB6"/>
    <w:rsid w:val="00AB33AF"/>
    <w:rsid w:val="00AB36DF"/>
    <w:rsid w:val="00AB3D0E"/>
    <w:rsid w:val="00AB3E10"/>
    <w:rsid w:val="00AB41C5"/>
    <w:rsid w:val="00AB6C4E"/>
    <w:rsid w:val="00AC0857"/>
    <w:rsid w:val="00AC0B38"/>
    <w:rsid w:val="00AC1A8B"/>
    <w:rsid w:val="00AC2E91"/>
    <w:rsid w:val="00AC52D3"/>
    <w:rsid w:val="00AC5B62"/>
    <w:rsid w:val="00AC5C9A"/>
    <w:rsid w:val="00AC6BE6"/>
    <w:rsid w:val="00AD1F46"/>
    <w:rsid w:val="00AD2524"/>
    <w:rsid w:val="00AD4A02"/>
    <w:rsid w:val="00AD63AF"/>
    <w:rsid w:val="00AD6ECF"/>
    <w:rsid w:val="00AE0113"/>
    <w:rsid w:val="00AE07D3"/>
    <w:rsid w:val="00AE220C"/>
    <w:rsid w:val="00AE4BAC"/>
    <w:rsid w:val="00AE5A1A"/>
    <w:rsid w:val="00AE5B21"/>
    <w:rsid w:val="00AE6C99"/>
    <w:rsid w:val="00AE7786"/>
    <w:rsid w:val="00AF0A8A"/>
    <w:rsid w:val="00AF2E9C"/>
    <w:rsid w:val="00AF30BB"/>
    <w:rsid w:val="00AF3B44"/>
    <w:rsid w:val="00AF3DDE"/>
    <w:rsid w:val="00AF40AC"/>
    <w:rsid w:val="00AF41DF"/>
    <w:rsid w:val="00AF4D62"/>
    <w:rsid w:val="00AF51B0"/>
    <w:rsid w:val="00AF5373"/>
    <w:rsid w:val="00AF546B"/>
    <w:rsid w:val="00AF5ED6"/>
    <w:rsid w:val="00AF6381"/>
    <w:rsid w:val="00AF63D5"/>
    <w:rsid w:val="00AF738D"/>
    <w:rsid w:val="00B0008F"/>
    <w:rsid w:val="00B01132"/>
    <w:rsid w:val="00B023E0"/>
    <w:rsid w:val="00B0250C"/>
    <w:rsid w:val="00B03581"/>
    <w:rsid w:val="00B04B53"/>
    <w:rsid w:val="00B06B57"/>
    <w:rsid w:val="00B0715D"/>
    <w:rsid w:val="00B07446"/>
    <w:rsid w:val="00B07B6A"/>
    <w:rsid w:val="00B1251B"/>
    <w:rsid w:val="00B1286A"/>
    <w:rsid w:val="00B12B2E"/>
    <w:rsid w:val="00B12BA4"/>
    <w:rsid w:val="00B14412"/>
    <w:rsid w:val="00B14D5F"/>
    <w:rsid w:val="00B15102"/>
    <w:rsid w:val="00B16BC1"/>
    <w:rsid w:val="00B20A4D"/>
    <w:rsid w:val="00B20B6A"/>
    <w:rsid w:val="00B2155E"/>
    <w:rsid w:val="00B22537"/>
    <w:rsid w:val="00B24736"/>
    <w:rsid w:val="00B24C96"/>
    <w:rsid w:val="00B25E5D"/>
    <w:rsid w:val="00B26245"/>
    <w:rsid w:val="00B26ADB"/>
    <w:rsid w:val="00B276A7"/>
    <w:rsid w:val="00B2771E"/>
    <w:rsid w:val="00B31F2C"/>
    <w:rsid w:val="00B32460"/>
    <w:rsid w:val="00B33FF0"/>
    <w:rsid w:val="00B352E4"/>
    <w:rsid w:val="00B3554F"/>
    <w:rsid w:val="00B35BA0"/>
    <w:rsid w:val="00B35E52"/>
    <w:rsid w:val="00B364DF"/>
    <w:rsid w:val="00B4117B"/>
    <w:rsid w:val="00B418A6"/>
    <w:rsid w:val="00B42860"/>
    <w:rsid w:val="00B4346D"/>
    <w:rsid w:val="00B4507E"/>
    <w:rsid w:val="00B454F8"/>
    <w:rsid w:val="00B45A3B"/>
    <w:rsid w:val="00B46EBA"/>
    <w:rsid w:val="00B50FA1"/>
    <w:rsid w:val="00B51C56"/>
    <w:rsid w:val="00B5274E"/>
    <w:rsid w:val="00B54477"/>
    <w:rsid w:val="00B56222"/>
    <w:rsid w:val="00B56C69"/>
    <w:rsid w:val="00B57615"/>
    <w:rsid w:val="00B576CD"/>
    <w:rsid w:val="00B62C89"/>
    <w:rsid w:val="00B665AE"/>
    <w:rsid w:val="00B666CB"/>
    <w:rsid w:val="00B678EB"/>
    <w:rsid w:val="00B67CDA"/>
    <w:rsid w:val="00B71641"/>
    <w:rsid w:val="00B74262"/>
    <w:rsid w:val="00B7433E"/>
    <w:rsid w:val="00B74693"/>
    <w:rsid w:val="00B751B3"/>
    <w:rsid w:val="00B76332"/>
    <w:rsid w:val="00B7776C"/>
    <w:rsid w:val="00B82EE5"/>
    <w:rsid w:val="00B84982"/>
    <w:rsid w:val="00B84EAD"/>
    <w:rsid w:val="00B85721"/>
    <w:rsid w:val="00B85E2E"/>
    <w:rsid w:val="00B86C29"/>
    <w:rsid w:val="00B9096E"/>
    <w:rsid w:val="00B9196F"/>
    <w:rsid w:val="00B92D96"/>
    <w:rsid w:val="00B933DE"/>
    <w:rsid w:val="00B95273"/>
    <w:rsid w:val="00B95A7A"/>
    <w:rsid w:val="00BA2052"/>
    <w:rsid w:val="00BA2715"/>
    <w:rsid w:val="00BA37ED"/>
    <w:rsid w:val="00BA449F"/>
    <w:rsid w:val="00BA55B4"/>
    <w:rsid w:val="00BA5C59"/>
    <w:rsid w:val="00BB31BE"/>
    <w:rsid w:val="00BB4CC0"/>
    <w:rsid w:val="00BB770E"/>
    <w:rsid w:val="00BB7FB5"/>
    <w:rsid w:val="00BC10E7"/>
    <w:rsid w:val="00BC25F7"/>
    <w:rsid w:val="00BC2A74"/>
    <w:rsid w:val="00BC36BB"/>
    <w:rsid w:val="00BC73A7"/>
    <w:rsid w:val="00BD09D3"/>
    <w:rsid w:val="00BD12AD"/>
    <w:rsid w:val="00BD44B9"/>
    <w:rsid w:val="00BD5560"/>
    <w:rsid w:val="00BD6EFA"/>
    <w:rsid w:val="00BE0E58"/>
    <w:rsid w:val="00BE1397"/>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21C7"/>
    <w:rsid w:val="00C04C4B"/>
    <w:rsid w:val="00C05887"/>
    <w:rsid w:val="00C067C4"/>
    <w:rsid w:val="00C06A02"/>
    <w:rsid w:val="00C06A44"/>
    <w:rsid w:val="00C06F41"/>
    <w:rsid w:val="00C12989"/>
    <w:rsid w:val="00C12E4D"/>
    <w:rsid w:val="00C150F2"/>
    <w:rsid w:val="00C15F88"/>
    <w:rsid w:val="00C1747B"/>
    <w:rsid w:val="00C21958"/>
    <w:rsid w:val="00C2232A"/>
    <w:rsid w:val="00C22D94"/>
    <w:rsid w:val="00C232B9"/>
    <w:rsid w:val="00C25157"/>
    <w:rsid w:val="00C265C5"/>
    <w:rsid w:val="00C267C7"/>
    <w:rsid w:val="00C270A1"/>
    <w:rsid w:val="00C271E9"/>
    <w:rsid w:val="00C27903"/>
    <w:rsid w:val="00C27DC7"/>
    <w:rsid w:val="00C27F86"/>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200C"/>
    <w:rsid w:val="00C532A5"/>
    <w:rsid w:val="00C541A4"/>
    <w:rsid w:val="00C54472"/>
    <w:rsid w:val="00C54931"/>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8BA"/>
    <w:rsid w:val="00C94C68"/>
    <w:rsid w:val="00C95791"/>
    <w:rsid w:val="00C96659"/>
    <w:rsid w:val="00C9767B"/>
    <w:rsid w:val="00C97CF5"/>
    <w:rsid w:val="00CA29A5"/>
    <w:rsid w:val="00CA2AA8"/>
    <w:rsid w:val="00CA2E3B"/>
    <w:rsid w:val="00CA4C8A"/>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455F"/>
    <w:rsid w:val="00CD471C"/>
    <w:rsid w:val="00CD4B07"/>
    <w:rsid w:val="00CD626B"/>
    <w:rsid w:val="00CE06A9"/>
    <w:rsid w:val="00CE0A94"/>
    <w:rsid w:val="00CE14E7"/>
    <w:rsid w:val="00CE2001"/>
    <w:rsid w:val="00CE3AD7"/>
    <w:rsid w:val="00CE43B1"/>
    <w:rsid w:val="00CE4E14"/>
    <w:rsid w:val="00CE63B8"/>
    <w:rsid w:val="00CF0176"/>
    <w:rsid w:val="00CF0B74"/>
    <w:rsid w:val="00CF1AE4"/>
    <w:rsid w:val="00CF21B4"/>
    <w:rsid w:val="00CF2562"/>
    <w:rsid w:val="00CF5ECA"/>
    <w:rsid w:val="00CF7875"/>
    <w:rsid w:val="00D00669"/>
    <w:rsid w:val="00D0281F"/>
    <w:rsid w:val="00D02E7D"/>
    <w:rsid w:val="00D03E4C"/>
    <w:rsid w:val="00D0454A"/>
    <w:rsid w:val="00D0646E"/>
    <w:rsid w:val="00D06F11"/>
    <w:rsid w:val="00D07521"/>
    <w:rsid w:val="00D100F5"/>
    <w:rsid w:val="00D11DA8"/>
    <w:rsid w:val="00D12F3A"/>
    <w:rsid w:val="00D1343E"/>
    <w:rsid w:val="00D136EC"/>
    <w:rsid w:val="00D14584"/>
    <w:rsid w:val="00D15356"/>
    <w:rsid w:val="00D156BF"/>
    <w:rsid w:val="00D16016"/>
    <w:rsid w:val="00D1659E"/>
    <w:rsid w:val="00D16D46"/>
    <w:rsid w:val="00D17334"/>
    <w:rsid w:val="00D204D2"/>
    <w:rsid w:val="00D20BA8"/>
    <w:rsid w:val="00D21026"/>
    <w:rsid w:val="00D21860"/>
    <w:rsid w:val="00D232B5"/>
    <w:rsid w:val="00D24890"/>
    <w:rsid w:val="00D25F0B"/>
    <w:rsid w:val="00D3100A"/>
    <w:rsid w:val="00D314B2"/>
    <w:rsid w:val="00D31ED4"/>
    <w:rsid w:val="00D328AA"/>
    <w:rsid w:val="00D32A6B"/>
    <w:rsid w:val="00D32F49"/>
    <w:rsid w:val="00D33850"/>
    <w:rsid w:val="00D33CE1"/>
    <w:rsid w:val="00D36675"/>
    <w:rsid w:val="00D413D9"/>
    <w:rsid w:val="00D42A6D"/>
    <w:rsid w:val="00D443FD"/>
    <w:rsid w:val="00D45A9B"/>
    <w:rsid w:val="00D47CEE"/>
    <w:rsid w:val="00D50250"/>
    <w:rsid w:val="00D5141B"/>
    <w:rsid w:val="00D54FEA"/>
    <w:rsid w:val="00D55021"/>
    <w:rsid w:val="00D550DA"/>
    <w:rsid w:val="00D55C3D"/>
    <w:rsid w:val="00D57607"/>
    <w:rsid w:val="00D60FB2"/>
    <w:rsid w:val="00D627BF"/>
    <w:rsid w:val="00D62B05"/>
    <w:rsid w:val="00D637DF"/>
    <w:rsid w:val="00D63A27"/>
    <w:rsid w:val="00D64057"/>
    <w:rsid w:val="00D65196"/>
    <w:rsid w:val="00D65D43"/>
    <w:rsid w:val="00D66F5B"/>
    <w:rsid w:val="00D74808"/>
    <w:rsid w:val="00D74D0B"/>
    <w:rsid w:val="00D75214"/>
    <w:rsid w:val="00D7538C"/>
    <w:rsid w:val="00D775F1"/>
    <w:rsid w:val="00D80D22"/>
    <w:rsid w:val="00D81C12"/>
    <w:rsid w:val="00D82229"/>
    <w:rsid w:val="00D82C4D"/>
    <w:rsid w:val="00D82FD0"/>
    <w:rsid w:val="00D85A33"/>
    <w:rsid w:val="00D87F8B"/>
    <w:rsid w:val="00D920E6"/>
    <w:rsid w:val="00D92A54"/>
    <w:rsid w:val="00D9470B"/>
    <w:rsid w:val="00D94A75"/>
    <w:rsid w:val="00D96B33"/>
    <w:rsid w:val="00D9795E"/>
    <w:rsid w:val="00DA0EE0"/>
    <w:rsid w:val="00DA1113"/>
    <w:rsid w:val="00DA1ABD"/>
    <w:rsid w:val="00DA2D5B"/>
    <w:rsid w:val="00DA3C5C"/>
    <w:rsid w:val="00DA70BE"/>
    <w:rsid w:val="00DB07DA"/>
    <w:rsid w:val="00DB188F"/>
    <w:rsid w:val="00DB1CFA"/>
    <w:rsid w:val="00DB1D5C"/>
    <w:rsid w:val="00DB2BB2"/>
    <w:rsid w:val="00DB5CF4"/>
    <w:rsid w:val="00DB782B"/>
    <w:rsid w:val="00DB79BF"/>
    <w:rsid w:val="00DB7DCB"/>
    <w:rsid w:val="00DC2AC6"/>
    <w:rsid w:val="00DC2D22"/>
    <w:rsid w:val="00DC475D"/>
    <w:rsid w:val="00DC4FC5"/>
    <w:rsid w:val="00DC648A"/>
    <w:rsid w:val="00DC6E15"/>
    <w:rsid w:val="00DC73DE"/>
    <w:rsid w:val="00DD0FCA"/>
    <w:rsid w:val="00DD106B"/>
    <w:rsid w:val="00DD256B"/>
    <w:rsid w:val="00DD2817"/>
    <w:rsid w:val="00DD30C9"/>
    <w:rsid w:val="00DD419E"/>
    <w:rsid w:val="00DD63B5"/>
    <w:rsid w:val="00DE0492"/>
    <w:rsid w:val="00DE1494"/>
    <w:rsid w:val="00DE2926"/>
    <w:rsid w:val="00DE3199"/>
    <w:rsid w:val="00DE402D"/>
    <w:rsid w:val="00DE67DA"/>
    <w:rsid w:val="00DF036C"/>
    <w:rsid w:val="00DF053A"/>
    <w:rsid w:val="00DF0BE3"/>
    <w:rsid w:val="00DF509F"/>
    <w:rsid w:val="00DF5295"/>
    <w:rsid w:val="00DF60E9"/>
    <w:rsid w:val="00DF6131"/>
    <w:rsid w:val="00DF6222"/>
    <w:rsid w:val="00E00782"/>
    <w:rsid w:val="00E0120C"/>
    <w:rsid w:val="00E0194E"/>
    <w:rsid w:val="00E02627"/>
    <w:rsid w:val="00E03567"/>
    <w:rsid w:val="00E047A7"/>
    <w:rsid w:val="00E0504D"/>
    <w:rsid w:val="00E05084"/>
    <w:rsid w:val="00E06124"/>
    <w:rsid w:val="00E078B6"/>
    <w:rsid w:val="00E10AF0"/>
    <w:rsid w:val="00E127B3"/>
    <w:rsid w:val="00E12A1B"/>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4B9D"/>
    <w:rsid w:val="00E37A3F"/>
    <w:rsid w:val="00E40020"/>
    <w:rsid w:val="00E4022D"/>
    <w:rsid w:val="00E4367D"/>
    <w:rsid w:val="00E43B0F"/>
    <w:rsid w:val="00E43E5A"/>
    <w:rsid w:val="00E4525D"/>
    <w:rsid w:val="00E45CB2"/>
    <w:rsid w:val="00E46AF4"/>
    <w:rsid w:val="00E47420"/>
    <w:rsid w:val="00E479F6"/>
    <w:rsid w:val="00E50578"/>
    <w:rsid w:val="00E50666"/>
    <w:rsid w:val="00E516DA"/>
    <w:rsid w:val="00E51B28"/>
    <w:rsid w:val="00E520BD"/>
    <w:rsid w:val="00E53C14"/>
    <w:rsid w:val="00E5471D"/>
    <w:rsid w:val="00E54E97"/>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9BB"/>
    <w:rsid w:val="00E75D72"/>
    <w:rsid w:val="00E76052"/>
    <w:rsid w:val="00E7727F"/>
    <w:rsid w:val="00E77E7D"/>
    <w:rsid w:val="00E80D7C"/>
    <w:rsid w:val="00E81BD3"/>
    <w:rsid w:val="00E82968"/>
    <w:rsid w:val="00E83344"/>
    <w:rsid w:val="00E83477"/>
    <w:rsid w:val="00E84231"/>
    <w:rsid w:val="00E84A5A"/>
    <w:rsid w:val="00E8565D"/>
    <w:rsid w:val="00E87299"/>
    <w:rsid w:val="00E87CDC"/>
    <w:rsid w:val="00E92AF2"/>
    <w:rsid w:val="00E954F1"/>
    <w:rsid w:val="00E959C7"/>
    <w:rsid w:val="00E96B67"/>
    <w:rsid w:val="00EA27C1"/>
    <w:rsid w:val="00EA33CD"/>
    <w:rsid w:val="00EA4F32"/>
    <w:rsid w:val="00EA6798"/>
    <w:rsid w:val="00EB0655"/>
    <w:rsid w:val="00EB27BB"/>
    <w:rsid w:val="00EB2855"/>
    <w:rsid w:val="00EB4F58"/>
    <w:rsid w:val="00EB5600"/>
    <w:rsid w:val="00EB6C44"/>
    <w:rsid w:val="00EC085D"/>
    <w:rsid w:val="00EC1496"/>
    <w:rsid w:val="00EC1928"/>
    <w:rsid w:val="00EC1D11"/>
    <w:rsid w:val="00EC2322"/>
    <w:rsid w:val="00EC2581"/>
    <w:rsid w:val="00EC2BA4"/>
    <w:rsid w:val="00EC3379"/>
    <w:rsid w:val="00EC3CCA"/>
    <w:rsid w:val="00EC419E"/>
    <w:rsid w:val="00EC5B7F"/>
    <w:rsid w:val="00EC6548"/>
    <w:rsid w:val="00EC675A"/>
    <w:rsid w:val="00EC6BDE"/>
    <w:rsid w:val="00EC7E07"/>
    <w:rsid w:val="00EC7ECC"/>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3B8"/>
    <w:rsid w:val="00EF4E7B"/>
    <w:rsid w:val="00EF603F"/>
    <w:rsid w:val="00EF6701"/>
    <w:rsid w:val="00EF7692"/>
    <w:rsid w:val="00EF793A"/>
    <w:rsid w:val="00F019CB"/>
    <w:rsid w:val="00F031AA"/>
    <w:rsid w:val="00F03383"/>
    <w:rsid w:val="00F03785"/>
    <w:rsid w:val="00F03AA6"/>
    <w:rsid w:val="00F0449C"/>
    <w:rsid w:val="00F0463F"/>
    <w:rsid w:val="00F05C83"/>
    <w:rsid w:val="00F06A4D"/>
    <w:rsid w:val="00F0727E"/>
    <w:rsid w:val="00F10334"/>
    <w:rsid w:val="00F10E42"/>
    <w:rsid w:val="00F1118B"/>
    <w:rsid w:val="00F127BD"/>
    <w:rsid w:val="00F12ADE"/>
    <w:rsid w:val="00F14EAA"/>
    <w:rsid w:val="00F17466"/>
    <w:rsid w:val="00F20698"/>
    <w:rsid w:val="00F20763"/>
    <w:rsid w:val="00F2209D"/>
    <w:rsid w:val="00F2272A"/>
    <w:rsid w:val="00F2360C"/>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688F"/>
    <w:rsid w:val="00F4726E"/>
    <w:rsid w:val="00F50E8F"/>
    <w:rsid w:val="00F50F92"/>
    <w:rsid w:val="00F547AD"/>
    <w:rsid w:val="00F54B57"/>
    <w:rsid w:val="00F54E50"/>
    <w:rsid w:val="00F5586C"/>
    <w:rsid w:val="00F577C6"/>
    <w:rsid w:val="00F578E9"/>
    <w:rsid w:val="00F60973"/>
    <w:rsid w:val="00F609F8"/>
    <w:rsid w:val="00F62302"/>
    <w:rsid w:val="00F62B98"/>
    <w:rsid w:val="00F62EFA"/>
    <w:rsid w:val="00F63E10"/>
    <w:rsid w:val="00F66454"/>
    <w:rsid w:val="00F67C58"/>
    <w:rsid w:val="00F70F3D"/>
    <w:rsid w:val="00F7310E"/>
    <w:rsid w:val="00F74B2C"/>
    <w:rsid w:val="00F75414"/>
    <w:rsid w:val="00F75C6A"/>
    <w:rsid w:val="00F77718"/>
    <w:rsid w:val="00F80CC0"/>
    <w:rsid w:val="00F81CC3"/>
    <w:rsid w:val="00F81FA1"/>
    <w:rsid w:val="00F81FF9"/>
    <w:rsid w:val="00F825FD"/>
    <w:rsid w:val="00F83A07"/>
    <w:rsid w:val="00F84351"/>
    <w:rsid w:val="00F845B6"/>
    <w:rsid w:val="00F863BA"/>
    <w:rsid w:val="00F86907"/>
    <w:rsid w:val="00F874D8"/>
    <w:rsid w:val="00F900AB"/>
    <w:rsid w:val="00F92FCB"/>
    <w:rsid w:val="00F950E8"/>
    <w:rsid w:val="00F96A9D"/>
    <w:rsid w:val="00FA0CE4"/>
    <w:rsid w:val="00FA0FDE"/>
    <w:rsid w:val="00FA21CC"/>
    <w:rsid w:val="00FA2615"/>
    <w:rsid w:val="00FA28FA"/>
    <w:rsid w:val="00FA3B7C"/>
    <w:rsid w:val="00FA3DA7"/>
    <w:rsid w:val="00FA43CA"/>
    <w:rsid w:val="00FA4C49"/>
    <w:rsid w:val="00FA4E75"/>
    <w:rsid w:val="00FA4EE8"/>
    <w:rsid w:val="00FA5279"/>
    <w:rsid w:val="00FA581E"/>
    <w:rsid w:val="00FA633B"/>
    <w:rsid w:val="00FA686F"/>
    <w:rsid w:val="00FA6D9D"/>
    <w:rsid w:val="00FB0089"/>
    <w:rsid w:val="00FB25A6"/>
    <w:rsid w:val="00FB2FE4"/>
    <w:rsid w:val="00FB316D"/>
    <w:rsid w:val="00FB3990"/>
    <w:rsid w:val="00FB55D2"/>
    <w:rsid w:val="00FB5861"/>
    <w:rsid w:val="00FB7769"/>
    <w:rsid w:val="00FB7B3A"/>
    <w:rsid w:val="00FC01A2"/>
    <w:rsid w:val="00FC270D"/>
    <w:rsid w:val="00FC3362"/>
    <w:rsid w:val="00FC3985"/>
    <w:rsid w:val="00FC3994"/>
    <w:rsid w:val="00FC57D2"/>
    <w:rsid w:val="00FC6426"/>
    <w:rsid w:val="00FC7081"/>
    <w:rsid w:val="00FC7D7A"/>
    <w:rsid w:val="00FD0D78"/>
    <w:rsid w:val="00FD2E2D"/>
    <w:rsid w:val="00FD3417"/>
    <w:rsid w:val="00FD485C"/>
    <w:rsid w:val="00FD5A6D"/>
    <w:rsid w:val="00FE1B47"/>
    <w:rsid w:val="00FE3D42"/>
    <w:rsid w:val="00FE6CA9"/>
    <w:rsid w:val="00FE7396"/>
    <w:rsid w:val="00FF049D"/>
    <w:rsid w:val="00FF2329"/>
    <w:rsid w:val="00FF4223"/>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5A3EA"/>
  <w15:docId w15:val="{73D2EDFB-CE01-4DC3-BEF6-5D1AF164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5B"/>
    <w:rsid w:val="00004B67"/>
    <w:rsid w:val="000177E1"/>
    <w:rsid w:val="00046078"/>
    <w:rsid w:val="000A63BA"/>
    <w:rsid w:val="0017097E"/>
    <w:rsid w:val="0025045B"/>
    <w:rsid w:val="002D65AD"/>
    <w:rsid w:val="00307E92"/>
    <w:rsid w:val="0034786C"/>
    <w:rsid w:val="00386774"/>
    <w:rsid w:val="005A16E3"/>
    <w:rsid w:val="005C655B"/>
    <w:rsid w:val="006145D8"/>
    <w:rsid w:val="0066471D"/>
    <w:rsid w:val="006972D9"/>
    <w:rsid w:val="006B1D91"/>
    <w:rsid w:val="00750EFE"/>
    <w:rsid w:val="007E55F9"/>
    <w:rsid w:val="008B4EBB"/>
    <w:rsid w:val="008D0826"/>
    <w:rsid w:val="0090137C"/>
    <w:rsid w:val="00A029E8"/>
    <w:rsid w:val="00A741EA"/>
    <w:rsid w:val="00A87158"/>
    <w:rsid w:val="00AB4896"/>
    <w:rsid w:val="00AD139F"/>
    <w:rsid w:val="00B464F7"/>
    <w:rsid w:val="00B6383D"/>
    <w:rsid w:val="00C41CED"/>
    <w:rsid w:val="00C442F5"/>
    <w:rsid w:val="00C51C51"/>
    <w:rsid w:val="00CE121D"/>
    <w:rsid w:val="00E269C5"/>
    <w:rsid w:val="00E83362"/>
    <w:rsid w:val="00EE5CF0"/>
    <w:rsid w:val="00FC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95878-3E16-4A80-9CCF-5BF94399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94</TotalTime>
  <Pages>22</Pages>
  <Words>4407</Words>
  <Characters>25125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28</cp:revision>
  <cp:lastPrinted>2021-02-24T08:43:00Z</cp:lastPrinted>
  <dcterms:created xsi:type="dcterms:W3CDTF">2021-02-24T03:58:00Z</dcterms:created>
  <dcterms:modified xsi:type="dcterms:W3CDTF">2021-02-26T02:28:00Z</dcterms:modified>
</cp:coreProperties>
</file>