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Pr="009F61D6" w:rsidRDefault="00F26B60" w:rsidP="002C0B1D">
      <w:pPr>
        <w:pStyle w:val="Heading2"/>
        <w:tabs>
          <w:tab w:val="clear" w:pos="4320"/>
          <w:tab w:val="clear" w:pos="9072"/>
        </w:tabs>
        <w:snapToGrid w:val="0"/>
        <w:spacing w:line="360" w:lineRule="auto"/>
        <w:jc w:val="right"/>
        <w:rPr>
          <w:b w:val="0"/>
          <w:bCs w:val="0"/>
          <w:sz w:val="28"/>
          <w:szCs w:val="26"/>
        </w:rPr>
      </w:pPr>
      <w:r w:rsidRPr="009F61D6">
        <w:rPr>
          <w:b w:val="0"/>
          <w:bCs w:val="0"/>
          <w:sz w:val="28"/>
          <w:szCs w:val="26"/>
        </w:rPr>
        <w:t xml:space="preserve">DCPI </w:t>
      </w:r>
      <w:r w:rsidR="00416FF7" w:rsidRPr="009F61D6">
        <w:rPr>
          <w:b w:val="0"/>
          <w:bCs w:val="0"/>
          <w:sz w:val="28"/>
          <w:szCs w:val="26"/>
        </w:rPr>
        <w:t>5</w:t>
      </w:r>
      <w:r w:rsidR="00791E9C" w:rsidRPr="009F61D6">
        <w:rPr>
          <w:b w:val="0"/>
          <w:bCs w:val="0"/>
          <w:sz w:val="28"/>
          <w:szCs w:val="26"/>
        </w:rPr>
        <w:t>8</w:t>
      </w:r>
      <w:r w:rsidRPr="009F61D6">
        <w:rPr>
          <w:b w:val="0"/>
          <w:bCs w:val="0"/>
          <w:sz w:val="28"/>
          <w:szCs w:val="26"/>
        </w:rPr>
        <w:t>/20</w:t>
      </w:r>
      <w:r w:rsidR="005E4F81" w:rsidRPr="009F61D6">
        <w:rPr>
          <w:b w:val="0"/>
          <w:bCs w:val="0"/>
          <w:sz w:val="28"/>
          <w:szCs w:val="26"/>
        </w:rPr>
        <w:t>1</w:t>
      </w:r>
      <w:r w:rsidR="00416FF7" w:rsidRPr="009F61D6">
        <w:rPr>
          <w:b w:val="0"/>
          <w:bCs w:val="0"/>
          <w:sz w:val="28"/>
          <w:szCs w:val="26"/>
        </w:rPr>
        <w:t>5</w:t>
      </w:r>
    </w:p>
    <w:p w:rsidR="00F26B60" w:rsidRPr="009F61D6" w:rsidRDefault="00F26B60" w:rsidP="002C0B1D">
      <w:pPr>
        <w:pStyle w:val="normal3"/>
        <w:tabs>
          <w:tab w:val="clear" w:pos="4320"/>
          <w:tab w:val="clear" w:pos="4500"/>
          <w:tab w:val="clear" w:pos="9000"/>
          <w:tab w:val="clear" w:pos="9072"/>
        </w:tabs>
        <w:overflowPunct/>
        <w:autoSpaceDE/>
        <w:autoSpaceDN/>
        <w:rPr>
          <w:rFonts w:eastAsia="SimSun"/>
          <w:lang w:val="en-US"/>
        </w:rPr>
      </w:pPr>
    </w:p>
    <w:p w:rsidR="005E4F81" w:rsidRPr="009F61D6" w:rsidRDefault="005E4F81" w:rsidP="002C0B1D">
      <w:pPr>
        <w:pStyle w:val="normal3"/>
        <w:tabs>
          <w:tab w:val="clear" w:pos="4320"/>
          <w:tab w:val="clear" w:pos="4500"/>
          <w:tab w:val="clear" w:pos="9000"/>
          <w:tab w:val="clear" w:pos="9072"/>
        </w:tabs>
        <w:overflowPunct/>
        <w:autoSpaceDE/>
        <w:autoSpaceDN/>
        <w:rPr>
          <w:rFonts w:eastAsia="SimSun"/>
          <w:lang w:val="en-US"/>
        </w:rPr>
        <w:sectPr w:rsidR="005E4F81" w:rsidRPr="009F61D6" w:rsidSect="00791E9C">
          <w:headerReference w:type="default" r:id="rId8"/>
          <w:footerReference w:type="default" r:id="rId9"/>
          <w:pgSz w:w="11906" w:h="16838" w:code="9"/>
          <w:pgMar w:top="1800" w:right="1800" w:bottom="1440" w:left="1800" w:header="720" w:footer="720" w:gutter="0"/>
          <w:cols w:space="708"/>
          <w:docGrid w:linePitch="380"/>
        </w:sectPr>
      </w:pPr>
    </w:p>
    <w:p w:rsidR="00F26B60" w:rsidRPr="009F61D6" w:rsidRDefault="00F26B60" w:rsidP="002C0B1D">
      <w:pPr>
        <w:tabs>
          <w:tab w:val="clear" w:pos="4320"/>
          <w:tab w:val="clear" w:pos="9072"/>
        </w:tabs>
        <w:spacing w:line="360" w:lineRule="auto"/>
        <w:jc w:val="center"/>
        <w:rPr>
          <w:b/>
          <w:szCs w:val="26"/>
        </w:rPr>
      </w:pPr>
      <w:r w:rsidRPr="009F61D6">
        <w:rPr>
          <w:b/>
          <w:szCs w:val="26"/>
        </w:rPr>
        <w:t>IN THE DISTRICT COURT OF THE</w:t>
      </w:r>
    </w:p>
    <w:p w:rsidR="00F26B60" w:rsidRPr="009F61D6" w:rsidRDefault="00F26B60" w:rsidP="002C0B1D">
      <w:pPr>
        <w:pStyle w:val="Heading1"/>
        <w:snapToGrid w:val="0"/>
        <w:spacing w:before="0" w:after="0" w:line="360" w:lineRule="auto"/>
        <w:jc w:val="center"/>
        <w:rPr>
          <w:rFonts w:ascii="Times New Roman" w:hAnsi="Times New Roman"/>
          <w:szCs w:val="26"/>
        </w:rPr>
      </w:pPr>
      <w:r w:rsidRPr="009F61D6">
        <w:rPr>
          <w:rFonts w:ascii="Times New Roman" w:hAnsi="Times New Roman"/>
          <w:szCs w:val="26"/>
        </w:rPr>
        <w:t>HONG KONG SPECIAL ADMINISTRATIVE REGION</w:t>
      </w:r>
    </w:p>
    <w:p w:rsidR="00F26B60" w:rsidRPr="009F61D6" w:rsidRDefault="00F26B60" w:rsidP="002C0B1D">
      <w:pPr>
        <w:tabs>
          <w:tab w:val="clear" w:pos="4320"/>
          <w:tab w:val="clear" w:pos="9072"/>
        </w:tabs>
        <w:spacing w:line="360" w:lineRule="auto"/>
        <w:jc w:val="center"/>
        <w:rPr>
          <w:szCs w:val="26"/>
        </w:rPr>
      </w:pPr>
      <w:r w:rsidRPr="009F61D6">
        <w:rPr>
          <w:szCs w:val="26"/>
        </w:rPr>
        <w:t xml:space="preserve">PERSONAL INJURIES ACTION NO </w:t>
      </w:r>
      <w:r w:rsidR="00416FF7" w:rsidRPr="009F61D6">
        <w:rPr>
          <w:szCs w:val="26"/>
        </w:rPr>
        <w:t>5</w:t>
      </w:r>
      <w:r w:rsidR="00791E9C" w:rsidRPr="009F61D6">
        <w:rPr>
          <w:szCs w:val="26"/>
        </w:rPr>
        <w:t>8</w:t>
      </w:r>
      <w:r w:rsidRPr="009F61D6">
        <w:rPr>
          <w:szCs w:val="26"/>
        </w:rPr>
        <w:t xml:space="preserve"> OF 20</w:t>
      </w:r>
      <w:r w:rsidR="005E4F81" w:rsidRPr="009F61D6">
        <w:rPr>
          <w:szCs w:val="26"/>
        </w:rPr>
        <w:t>1</w:t>
      </w:r>
      <w:r w:rsidR="00416FF7" w:rsidRPr="009F61D6">
        <w:rPr>
          <w:szCs w:val="26"/>
        </w:rPr>
        <w:t>5</w:t>
      </w:r>
    </w:p>
    <w:p w:rsidR="005E4F81" w:rsidRPr="009F61D6" w:rsidRDefault="005E4F81" w:rsidP="002C0B1D">
      <w:pPr>
        <w:tabs>
          <w:tab w:val="clear" w:pos="4320"/>
          <w:tab w:val="clear" w:pos="9072"/>
        </w:tabs>
        <w:spacing w:line="360" w:lineRule="auto"/>
        <w:jc w:val="center"/>
        <w:rPr>
          <w:szCs w:val="26"/>
        </w:rPr>
      </w:pPr>
    </w:p>
    <w:p w:rsidR="005E4F81" w:rsidRPr="009F61D6" w:rsidRDefault="005E4F81" w:rsidP="00A8299F">
      <w:pPr>
        <w:tabs>
          <w:tab w:val="clear" w:pos="4320"/>
          <w:tab w:val="clear" w:pos="9072"/>
        </w:tabs>
        <w:spacing w:line="360" w:lineRule="auto"/>
        <w:jc w:val="center"/>
        <w:rPr>
          <w:szCs w:val="26"/>
        </w:rPr>
      </w:pPr>
      <w:r w:rsidRPr="009F61D6">
        <w:rPr>
          <w:szCs w:val="26"/>
        </w:rPr>
        <w:t>-------------------------</w:t>
      </w:r>
    </w:p>
    <w:p w:rsidR="00F26B60" w:rsidRPr="009F61D6" w:rsidRDefault="00F26B60" w:rsidP="00A8299F">
      <w:pPr>
        <w:tabs>
          <w:tab w:val="clear" w:pos="4320"/>
          <w:tab w:val="clear" w:pos="9072"/>
        </w:tabs>
        <w:spacing w:line="360" w:lineRule="auto"/>
        <w:rPr>
          <w:szCs w:val="26"/>
        </w:rPr>
      </w:pPr>
      <w:r w:rsidRPr="009F61D6">
        <w:rPr>
          <w:szCs w:val="26"/>
        </w:rPr>
        <w:t>BETWEEN</w:t>
      </w:r>
    </w:p>
    <w:p w:rsidR="00416FF7" w:rsidRPr="009F61D6" w:rsidRDefault="00791E9C" w:rsidP="00791E9C">
      <w:pPr>
        <w:tabs>
          <w:tab w:val="clear" w:pos="1440"/>
          <w:tab w:val="clear" w:pos="4320"/>
          <w:tab w:val="clear" w:pos="9072"/>
          <w:tab w:val="center" w:pos="4140"/>
          <w:tab w:val="right" w:pos="8280"/>
        </w:tabs>
        <w:spacing w:line="360" w:lineRule="auto"/>
      </w:pPr>
      <w:r w:rsidRPr="009F61D6">
        <w:tab/>
        <w:t>WONG HIN CHUEN</w:t>
      </w:r>
      <w:r w:rsidR="00416FF7" w:rsidRPr="009F61D6">
        <w:tab/>
        <w:t>Plaintiff</w:t>
      </w:r>
    </w:p>
    <w:p w:rsidR="00416FF7" w:rsidRPr="009F61D6" w:rsidRDefault="00416FF7" w:rsidP="00416FF7">
      <w:pPr>
        <w:keepNext/>
        <w:tabs>
          <w:tab w:val="clear" w:pos="1440"/>
          <w:tab w:val="clear" w:pos="4320"/>
          <w:tab w:val="clear" w:pos="9072"/>
          <w:tab w:val="center" w:pos="4140"/>
          <w:tab w:val="right" w:pos="8280"/>
        </w:tabs>
        <w:spacing w:line="360" w:lineRule="auto"/>
        <w:outlineLvl w:val="2"/>
        <w:rPr>
          <w:bCs/>
        </w:rPr>
      </w:pPr>
      <w:r w:rsidRPr="009F61D6">
        <w:rPr>
          <w:bCs/>
          <w:lang w:eastAsia="zh-TW"/>
        </w:rPr>
        <w:tab/>
      </w:r>
      <w:r w:rsidRPr="009F61D6">
        <w:rPr>
          <w:bCs/>
        </w:rPr>
        <w:t>and</w:t>
      </w:r>
    </w:p>
    <w:p w:rsidR="00416FF7" w:rsidRPr="009F61D6" w:rsidRDefault="00791E9C" w:rsidP="00791E9C">
      <w:pPr>
        <w:tabs>
          <w:tab w:val="clear" w:pos="1440"/>
          <w:tab w:val="clear" w:pos="4320"/>
          <w:tab w:val="clear" w:pos="9072"/>
          <w:tab w:val="center" w:pos="4140"/>
          <w:tab w:val="right" w:pos="8280"/>
        </w:tabs>
      </w:pPr>
      <w:r w:rsidRPr="009F61D6">
        <w:tab/>
        <w:t>WANG ON MAJORLUCK LIMITED</w:t>
      </w:r>
      <w:r w:rsidRPr="009F61D6">
        <w:tab/>
        <w:t>1</w:t>
      </w:r>
      <w:r w:rsidRPr="009F61D6">
        <w:rPr>
          <w:vertAlign w:val="superscript"/>
        </w:rPr>
        <w:t>st</w:t>
      </w:r>
      <w:r w:rsidRPr="009F61D6">
        <w:t xml:space="preserve"> </w:t>
      </w:r>
      <w:r w:rsidR="002877C7" w:rsidRPr="009F61D6">
        <w:t>d</w:t>
      </w:r>
      <w:r w:rsidRPr="009F61D6">
        <w:t>efendant</w:t>
      </w:r>
    </w:p>
    <w:p w:rsidR="00791E9C" w:rsidRPr="009F61D6" w:rsidRDefault="00791E9C" w:rsidP="00791E9C">
      <w:pPr>
        <w:tabs>
          <w:tab w:val="clear" w:pos="1440"/>
          <w:tab w:val="clear" w:pos="4320"/>
          <w:tab w:val="clear" w:pos="9072"/>
        </w:tabs>
        <w:snapToGrid/>
      </w:pPr>
    </w:p>
    <w:p w:rsidR="00791E9C" w:rsidRPr="009F61D6" w:rsidRDefault="00791E9C" w:rsidP="00013FCC">
      <w:pPr>
        <w:tabs>
          <w:tab w:val="clear" w:pos="1440"/>
          <w:tab w:val="clear" w:pos="9072"/>
          <w:tab w:val="left" w:pos="1080"/>
          <w:tab w:val="left" w:pos="1980"/>
        </w:tabs>
        <w:snapToGrid/>
      </w:pPr>
      <w:r w:rsidRPr="009F61D6">
        <w:tab/>
      </w:r>
      <w:r w:rsidR="00013FCC" w:rsidRPr="009F61D6">
        <w:tab/>
      </w:r>
      <w:r w:rsidRPr="009F61D6">
        <w:t>CHOI WU TONG trading as</w:t>
      </w:r>
    </w:p>
    <w:p w:rsidR="00791E9C" w:rsidRPr="009F61D6" w:rsidRDefault="00791E9C" w:rsidP="00013FCC">
      <w:pPr>
        <w:tabs>
          <w:tab w:val="clear" w:pos="1440"/>
          <w:tab w:val="clear" w:pos="9072"/>
          <w:tab w:val="left" w:pos="1980"/>
        </w:tabs>
        <w:snapToGrid/>
      </w:pPr>
      <w:r w:rsidRPr="009F61D6">
        <w:tab/>
        <w:t>CHUEN YUEN CLEANING &amp; PEST</w:t>
      </w:r>
    </w:p>
    <w:p w:rsidR="00416FF7" w:rsidRPr="009F61D6" w:rsidRDefault="00791E9C" w:rsidP="00013FCC">
      <w:pPr>
        <w:tabs>
          <w:tab w:val="clear" w:pos="1440"/>
          <w:tab w:val="clear" w:pos="4320"/>
          <w:tab w:val="clear" w:pos="9072"/>
          <w:tab w:val="left" w:pos="1980"/>
          <w:tab w:val="center" w:pos="4140"/>
          <w:tab w:val="right" w:pos="8280"/>
        </w:tabs>
        <w:snapToGrid/>
        <w:rPr>
          <w:szCs w:val="20"/>
        </w:rPr>
      </w:pPr>
      <w:r w:rsidRPr="009F61D6">
        <w:tab/>
        <w:t>CONTROL SERVICE COMPANY</w:t>
      </w:r>
      <w:r w:rsidR="00416FF7" w:rsidRPr="009F61D6">
        <w:rPr>
          <w:szCs w:val="20"/>
        </w:rPr>
        <w:tab/>
      </w:r>
      <w:r w:rsidRPr="009F61D6">
        <w:rPr>
          <w:szCs w:val="20"/>
        </w:rPr>
        <w:t>2</w:t>
      </w:r>
      <w:r w:rsidRPr="009F61D6">
        <w:rPr>
          <w:szCs w:val="20"/>
          <w:vertAlign w:val="superscript"/>
        </w:rPr>
        <w:t>nd</w:t>
      </w:r>
      <w:r w:rsidRPr="009F61D6">
        <w:rPr>
          <w:szCs w:val="20"/>
        </w:rPr>
        <w:t xml:space="preserve"> </w:t>
      </w:r>
      <w:r w:rsidR="002877C7" w:rsidRPr="009F61D6">
        <w:rPr>
          <w:szCs w:val="20"/>
        </w:rPr>
        <w:t>d</w:t>
      </w:r>
      <w:r w:rsidR="00416FF7" w:rsidRPr="009F61D6">
        <w:rPr>
          <w:szCs w:val="20"/>
        </w:rPr>
        <w:t>efendant</w:t>
      </w:r>
    </w:p>
    <w:p w:rsidR="00791E9C" w:rsidRPr="009F61D6" w:rsidRDefault="00791E9C" w:rsidP="00791E9C">
      <w:pPr>
        <w:tabs>
          <w:tab w:val="clear" w:pos="1440"/>
          <w:tab w:val="clear" w:pos="4320"/>
          <w:tab w:val="clear" w:pos="9072"/>
          <w:tab w:val="left" w:pos="1080"/>
          <w:tab w:val="right" w:pos="8280"/>
        </w:tabs>
        <w:rPr>
          <w:szCs w:val="20"/>
        </w:rPr>
      </w:pPr>
    </w:p>
    <w:p w:rsidR="00791E9C" w:rsidRPr="009F61D6" w:rsidRDefault="00791E9C" w:rsidP="00791E9C">
      <w:pPr>
        <w:pStyle w:val="NoSpacing"/>
        <w:tabs>
          <w:tab w:val="center" w:pos="4140"/>
        </w:tabs>
        <w:rPr>
          <w:sz w:val="28"/>
          <w:szCs w:val="28"/>
        </w:rPr>
      </w:pPr>
      <w:r w:rsidRPr="009F61D6">
        <w:tab/>
      </w:r>
      <w:r w:rsidRPr="009F61D6">
        <w:rPr>
          <w:sz w:val="28"/>
          <w:szCs w:val="28"/>
        </w:rPr>
        <w:t>GREATEST WEALTH LIMITED</w:t>
      </w:r>
    </w:p>
    <w:p w:rsidR="00791E9C" w:rsidRPr="009F61D6" w:rsidRDefault="00791E9C" w:rsidP="00791E9C">
      <w:pPr>
        <w:pStyle w:val="NoSpacing"/>
        <w:tabs>
          <w:tab w:val="left" w:pos="2250"/>
          <w:tab w:val="center" w:pos="4140"/>
          <w:tab w:val="right" w:pos="8280"/>
        </w:tabs>
        <w:spacing w:line="360" w:lineRule="auto"/>
        <w:rPr>
          <w:sz w:val="28"/>
          <w:szCs w:val="28"/>
        </w:rPr>
      </w:pPr>
      <w:r w:rsidRPr="009F61D6">
        <w:rPr>
          <w:sz w:val="28"/>
          <w:szCs w:val="28"/>
        </w:rPr>
        <w:tab/>
        <w:t xml:space="preserve">trading as </w:t>
      </w:r>
      <w:r w:rsidRPr="009F61D6">
        <w:rPr>
          <w:sz w:val="28"/>
          <w:szCs w:val="28"/>
        </w:rPr>
        <w:t>萬有放心肉</w:t>
      </w:r>
      <w:r w:rsidRPr="009F61D6">
        <w:rPr>
          <w:sz w:val="28"/>
          <w:szCs w:val="28"/>
        </w:rPr>
        <w:tab/>
        <w:t>3</w:t>
      </w:r>
      <w:r w:rsidRPr="009F61D6">
        <w:rPr>
          <w:sz w:val="28"/>
          <w:szCs w:val="28"/>
          <w:vertAlign w:val="superscript"/>
        </w:rPr>
        <w:t>rd</w:t>
      </w:r>
      <w:r w:rsidR="002877C7" w:rsidRPr="009F61D6">
        <w:rPr>
          <w:sz w:val="28"/>
          <w:szCs w:val="28"/>
        </w:rPr>
        <w:t xml:space="preserve"> d</w:t>
      </w:r>
      <w:r w:rsidRPr="009F61D6">
        <w:rPr>
          <w:sz w:val="28"/>
          <w:szCs w:val="28"/>
        </w:rPr>
        <w:t>efendant</w:t>
      </w:r>
    </w:p>
    <w:p w:rsidR="005E4F81" w:rsidRPr="009F61D6" w:rsidRDefault="005E4F81" w:rsidP="00791E9C">
      <w:pPr>
        <w:tabs>
          <w:tab w:val="clear" w:pos="4320"/>
          <w:tab w:val="clear" w:pos="9072"/>
          <w:tab w:val="left" w:pos="6930"/>
        </w:tabs>
        <w:spacing w:line="360" w:lineRule="auto"/>
        <w:jc w:val="center"/>
        <w:rPr>
          <w:szCs w:val="26"/>
        </w:rPr>
      </w:pPr>
      <w:r w:rsidRPr="009F61D6">
        <w:rPr>
          <w:szCs w:val="26"/>
        </w:rPr>
        <w:t>-------------------------</w:t>
      </w:r>
    </w:p>
    <w:p w:rsidR="00A8299F" w:rsidRPr="009F61D6" w:rsidRDefault="00A8299F" w:rsidP="00CF406C">
      <w:pPr>
        <w:tabs>
          <w:tab w:val="right" w:pos="8100"/>
        </w:tabs>
        <w:spacing w:line="360" w:lineRule="auto"/>
      </w:pPr>
    </w:p>
    <w:p w:rsidR="00416FF7" w:rsidRPr="009F61D6" w:rsidRDefault="00A8299F" w:rsidP="00CF406C">
      <w:pPr>
        <w:tabs>
          <w:tab w:val="clear" w:pos="4320"/>
          <w:tab w:val="clear" w:pos="9072"/>
        </w:tabs>
        <w:spacing w:line="360" w:lineRule="auto"/>
        <w:rPr>
          <w:szCs w:val="20"/>
        </w:rPr>
      </w:pPr>
      <w:r w:rsidRPr="009F61D6">
        <w:t xml:space="preserve">Before:  </w:t>
      </w:r>
      <w:r w:rsidR="00416FF7" w:rsidRPr="009F61D6">
        <w:rPr>
          <w:szCs w:val="20"/>
        </w:rPr>
        <w:t xml:space="preserve">Deputy District Judge Eric Tam </w:t>
      </w:r>
    </w:p>
    <w:p w:rsidR="00A8299F" w:rsidRPr="009F61D6" w:rsidRDefault="00A8299F" w:rsidP="00CF406C">
      <w:pPr>
        <w:tabs>
          <w:tab w:val="left" w:pos="2100"/>
          <w:tab w:val="left" w:pos="2380"/>
          <w:tab w:val="right" w:pos="8100"/>
        </w:tabs>
        <w:spacing w:line="360" w:lineRule="auto"/>
      </w:pPr>
      <w:r w:rsidRPr="009F61D6">
        <w:t xml:space="preserve">Date of Hearing:  </w:t>
      </w:r>
      <w:r w:rsidR="00416FF7" w:rsidRPr="009F61D6">
        <w:tab/>
      </w:r>
      <w:r w:rsidR="00791E9C" w:rsidRPr="009F61D6">
        <w:t xml:space="preserve">16 February and 9 May </w:t>
      </w:r>
      <w:r w:rsidRPr="009F61D6">
        <w:t>201</w:t>
      </w:r>
      <w:r w:rsidR="00416FF7" w:rsidRPr="009F61D6">
        <w:rPr>
          <w:lang w:eastAsia="zh-TW"/>
        </w:rPr>
        <w:t>7</w:t>
      </w:r>
    </w:p>
    <w:p w:rsidR="00A8299F" w:rsidRPr="009F61D6" w:rsidRDefault="00A8299F" w:rsidP="00CF406C">
      <w:pPr>
        <w:pStyle w:val="normal3"/>
        <w:tabs>
          <w:tab w:val="clear" w:pos="1440"/>
          <w:tab w:val="clear" w:pos="4500"/>
          <w:tab w:val="clear" w:pos="9000"/>
          <w:tab w:val="left" w:pos="2100"/>
          <w:tab w:val="left" w:pos="2380"/>
          <w:tab w:val="right" w:pos="8100"/>
        </w:tabs>
        <w:overflowPunct/>
        <w:autoSpaceDE/>
        <w:autoSpaceDN/>
        <w:rPr>
          <w:rFonts w:eastAsia="SimSun"/>
          <w:lang w:val="en-US"/>
        </w:rPr>
      </w:pPr>
      <w:r w:rsidRPr="009F61D6">
        <w:rPr>
          <w:rFonts w:eastAsia="SimSun"/>
          <w:lang w:val="en-US"/>
        </w:rPr>
        <w:t xml:space="preserve">Date of </w:t>
      </w:r>
      <w:r w:rsidR="00416FF7" w:rsidRPr="009F61D6">
        <w:rPr>
          <w:rFonts w:eastAsia="SimSun"/>
          <w:lang w:val="en-US" w:eastAsia="zh-TW"/>
        </w:rPr>
        <w:t>Decision</w:t>
      </w:r>
      <w:r w:rsidRPr="009F61D6">
        <w:rPr>
          <w:rFonts w:eastAsia="SimSun"/>
          <w:lang w:val="en-US"/>
        </w:rPr>
        <w:t xml:space="preserve">:  </w:t>
      </w:r>
      <w:r w:rsidR="00416FF7" w:rsidRPr="009F61D6">
        <w:rPr>
          <w:rFonts w:eastAsia="SimSun"/>
          <w:lang w:val="en-US"/>
        </w:rPr>
        <w:tab/>
      </w:r>
      <w:r w:rsidR="009F61D6" w:rsidRPr="009F61D6">
        <w:rPr>
          <w:rFonts w:eastAsia="SimSun"/>
          <w:lang w:val="en-US"/>
        </w:rPr>
        <w:t xml:space="preserve">29 May </w:t>
      </w:r>
      <w:r w:rsidRPr="009F61D6">
        <w:rPr>
          <w:rFonts w:eastAsia="SimSun"/>
          <w:lang w:val="en-US"/>
        </w:rPr>
        <w:t>201</w:t>
      </w:r>
      <w:r w:rsidR="00416FF7" w:rsidRPr="009F61D6">
        <w:rPr>
          <w:rFonts w:eastAsia="SimSun"/>
          <w:lang w:val="en-US"/>
        </w:rPr>
        <w:t>7</w:t>
      </w:r>
    </w:p>
    <w:p w:rsidR="00F26B60" w:rsidRPr="009F61D6" w:rsidRDefault="00F26B60" w:rsidP="00CF406C">
      <w:pPr>
        <w:tabs>
          <w:tab w:val="clear" w:pos="4320"/>
          <w:tab w:val="clear" w:pos="9072"/>
        </w:tabs>
        <w:spacing w:line="360" w:lineRule="auto"/>
        <w:rPr>
          <w:szCs w:val="26"/>
          <w:lang w:eastAsia="zh-TW"/>
        </w:rPr>
      </w:pPr>
    </w:p>
    <w:p w:rsidR="005E4F81" w:rsidRPr="009F61D6" w:rsidRDefault="00A8299F" w:rsidP="00CF406C">
      <w:pPr>
        <w:tabs>
          <w:tab w:val="clear" w:pos="4320"/>
          <w:tab w:val="clear" w:pos="9072"/>
        </w:tabs>
        <w:spacing w:line="360" w:lineRule="auto"/>
        <w:jc w:val="center"/>
        <w:rPr>
          <w:szCs w:val="26"/>
        </w:rPr>
      </w:pPr>
      <w:r w:rsidRPr="009F61D6">
        <w:rPr>
          <w:szCs w:val="26"/>
        </w:rPr>
        <w:t>-------------</w:t>
      </w:r>
      <w:r w:rsidR="005E4F81" w:rsidRPr="009F61D6">
        <w:rPr>
          <w:szCs w:val="26"/>
        </w:rPr>
        <w:t>--------</w:t>
      </w:r>
    </w:p>
    <w:p w:rsidR="005E4F81" w:rsidRPr="009F61D6" w:rsidRDefault="00416FF7" w:rsidP="00CF406C">
      <w:pPr>
        <w:tabs>
          <w:tab w:val="clear" w:pos="4320"/>
          <w:tab w:val="clear" w:pos="9072"/>
        </w:tabs>
        <w:spacing w:line="360" w:lineRule="auto"/>
        <w:jc w:val="center"/>
        <w:rPr>
          <w:szCs w:val="26"/>
        </w:rPr>
      </w:pPr>
      <w:r w:rsidRPr="009F61D6">
        <w:rPr>
          <w:szCs w:val="26"/>
        </w:rPr>
        <w:t>DECISION</w:t>
      </w:r>
    </w:p>
    <w:p w:rsidR="00791E9C" w:rsidRPr="009F61D6" w:rsidRDefault="00791E9C" w:rsidP="00791E9C">
      <w:pPr>
        <w:tabs>
          <w:tab w:val="clear" w:pos="4320"/>
          <w:tab w:val="clear" w:pos="9072"/>
        </w:tabs>
        <w:spacing w:line="360" w:lineRule="auto"/>
        <w:jc w:val="center"/>
        <w:rPr>
          <w:szCs w:val="26"/>
        </w:rPr>
      </w:pPr>
      <w:r w:rsidRPr="009F61D6">
        <w:rPr>
          <w:szCs w:val="26"/>
        </w:rPr>
        <w:t>---------------------</w:t>
      </w:r>
    </w:p>
    <w:p w:rsidR="004B3C9D" w:rsidRPr="009F61D6" w:rsidRDefault="004B3C9D" w:rsidP="004B3C9D">
      <w:pPr>
        <w:pStyle w:val="ListParagraph"/>
        <w:tabs>
          <w:tab w:val="clear" w:pos="4320"/>
          <w:tab w:val="clear" w:pos="9072"/>
        </w:tabs>
        <w:spacing w:line="360" w:lineRule="auto"/>
        <w:ind w:left="0"/>
        <w:jc w:val="both"/>
        <w:rPr>
          <w:i/>
        </w:rPr>
      </w:pPr>
    </w:p>
    <w:p w:rsidR="004B3C9D" w:rsidRPr="009F61D6" w:rsidRDefault="004B3C9D" w:rsidP="004B3C9D">
      <w:pPr>
        <w:pStyle w:val="ListParagraph"/>
        <w:tabs>
          <w:tab w:val="clear" w:pos="4320"/>
          <w:tab w:val="clear" w:pos="9072"/>
        </w:tabs>
        <w:spacing w:line="360" w:lineRule="auto"/>
        <w:ind w:left="0"/>
        <w:jc w:val="both"/>
        <w:rPr>
          <w:i/>
        </w:rPr>
      </w:pPr>
    </w:p>
    <w:p w:rsidR="004B3C9D" w:rsidRPr="009F61D6" w:rsidRDefault="004B3C9D" w:rsidP="004B3C9D">
      <w:pPr>
        <w:pStyle w:val="ListParagraph"/>
        <w:tabs>
          <w:tab w:val="clear" w:pos="4320"/>
          <w:tab w:val="clear" w:pos="9072"/>
        </w:tabs>
        <w:spacing w:line="360" w:lineRule="auto"/>
        <w:ind w:left="0"/>
        <w:jc w:val="both"/>
        <w:rPr>
          <w:i/>
        </w:rPr>
      </w:pPr>
    </w:p>
    <w:p w:rsidR="004110C0" w:rsidRPr="009F61D6" w:rsidRDefault="004110C0" w:rsidP="004B3C9D">
      <w:pPr>
        <w:pStyle w:val="ListParagraph"/>
        <w:tabs>
          <w:tab w:val="clear" w:pos="4320"/>
          <w:tab w:val="clear" w:pos="9072"/>
        </w:tabs>
        <w:spacing w:line="360" w:lineRule="auto"/>
        <w:ind w:left="0"/>
        <w:jc w:val="both"/>
        <w:rPr>
          <w:i/>
        </w:rPr>
      </w:pPr>
    </w:p>
    <w:p w:rsidR="00791E9C" w:rsidRPr="009F61D6" w:rsidRDefault="00791E9C" w:rsidP="004B3C9D">
      <w:pPr>
        <w:pStyle w:val="ListParagraph"/>
        <w:tabs>
          <w:tab w:val="clear" w:pos="4320"/>
          <w:tab w:val="clear" w:pos="9072"/>
        </w:tabs>
        <w:spacing w:line="360" w:lineRule="auto"/>
        <w:ind w:left="0"/>
        <w:jc w:val="both"/>
        <w:rPr>
          <w:i/>
        </w:rPr>
      </w:pPr>
      <w:r w:rsidRPr="009F61D6">
        <w:rPr>
          <w:i/>
        </w:rPr>
        <w:t>Background</w:t>
      </w:r>
    </w:p>
    <w:p w:rsidR="004B3C9D" w:rsidRPr="009F61D6" w:rsidRDefault="004B3C9D" w:rsidP="004B3C9D">
      <w:pPr>
        <w:pStyle w:val="ListParagraph"/>
        <w:tabs>
          <w:tab w:val="clear" w:pos="4320"/>
          <w:tab w:val="clear" w:pos="9072"/>
        </w:tabs>
        <w:spacing w:line="360" w:lineRule="auto"/>
        <w:ind w:left="0"/>
        <w:jc w:val="both"/>
        <w:rPr>
          <w:i/>
        </w:rPr>
      </w:pPr>
    </w:p>
    <w:p w:rsidR="00791E9C" w:rsidRPr="009F61D6" w:rsidRDefault="00791E9C" w:rsidP="00870DF6">
      <w:pPr>
        <w:pStyle w:val="ListParagraph"/>
        <w:numPr>
          <w:ilvl w:val="0"/>
          <w:numId w:val="2"/>
        </w:numPr>
        <w:tabs>
          <w:tab w:val="clear" w:pos="4320"/>
          <w:tab w:val="clear" w:pos="9072"/>
        </w:tabs>
        <w:spacing w:line="360" w:lineRule="auto"/>
        <w:ind w:left="0" w:firstLine="0"/>
        <w:jc w:val="both"/>
      </w:pPr>
      <w:r w:rsidRPr="009F61D6">
        <w:t xml:space="preserve">The plaintiff claimed for damages he sustained in a slip and fall accident (“the Accident”) on 16 May 2012 at Po Lam Market, Tseung Kwan O (“the Market”). </w:t>
      </w:r>
      <w:r w:rsidR="004B3C9D" w:rsidRPr="009F61D6">
        <w:t xml:space="preserve"> </w:t>
      </w:r>
      <w:r w:rsidRPr="009F61D6">
        <w:t xml:space="preserve">The Market was a wet market. </w:t>
      </w:r>
      <w:r w:rsidR="004B3C9D" w:rsidRPr="009F61D6">
        <w:t xml:space="preserve"> </w:t>
      </w:r>
      <w:r w:rsidRPr="009F61D6">
        <w:t xml:space="preserve">The Accident happened outside shop 54B (“the Stall”) at the Market. </w:t>
      </w:r>
      <w:r w:rsidR="004B3C9D" w:rsidRPr="009F61D6">
        <w:t xml:space="preserve"> </w:t>
      </w:r>
      <w:r w:rsidRPr="009F61D6">
        <w:t xml:space="preserve">The plaintiff was shopping at the Market. </w:t>
      </w:r>
      <w:r w:rsidR="004B3C9D" w:rsidRPr="009F61D6">
        <w:t xml:space="preserve"> </w:t>
      </w:r>
      <w:r w:rsidRPr="009F61D6">
        <w:t xml:space="preserve">When he passed the Stall, he stepped on some slippery substance which caused him to lose his footing and balance. </w:t>
      </w:r>
      <w:r w:rsidR="004B3C9D" w:rsidRPr="009F61D6">
        <w:t xml:space="preserve"> </w:t>
      </w:r>
      <w:r w:rsidRPr="009F61D6">
        <w:t xml:space="preserve">He fell and suffered a fracture of the left femoral neck commonly known as hip fracture. </w:t>
      </w:r>
      <w:r w:rsidR="004B3C9D" w:rsidRPr="009F61D6">
        <w:t xml:space="preserve"> </w:t>
      </w:r>
      <w:r w:rsidRPr="009F61D6">
        <w:t xml:space="preserve">It is the plaintiff’s case that after the fall he found out that he had stepped on some pork residues that were discarded by the staff of the Stall. </w:t>
      </w:r>
      <w:r w:rsidR="004B3C9D" w:rsidRPr="009F61D6">
        <w:t xml:space="preserve"> </w:t>
      </w:r>
      <w:r w:rsidRPr="009F61D6">
        <w:t>The floor of the passageway was wet at that time.</w:t>
      </w:r>
    </w:p>
    <w:p w:rsidR="004B3C9D" w:rsidRPr="009F61D6" w:rsidRDefault="004B3C9D" w:rsidP="004B3C9D">
      <w:pPr>
        <w:pStyle w:val="ListParagraph"/>
        <w:tabs>
          <w:tab w:val="clear" w:pos="4320"/>
          <w:tab w:val="clear" w:pos="9072"/>
        </w:tabs>
        <w:spacing w:line="360" w:lineRule="auto"/>
        <w:ind w:left="0"/>
        <w:jc w:val="both"/>
      </w:pPr>
    </w:p>
    <w:p w:rsidR="00791E9C" w:rsidRPr="009F61D6" w:rsidRDefault="00791E9C" w:rsidP="00870DF6">
      <w:pPr>
        <w:pStyle w:val="ListParagraph"/>
        <w:numPr>
          <w:ilvl w:val="0"/>
          <w:numId w:val="2"/>
        </w:numPr>
        <w:tabs>
          <w:tab w:val="clear" w:pos="4320"/>
          <w:tab w:val="clear" w:pos="9072"/>
        </w:tabs>
        <w:spacing w:line="360" w:lineRule="auto"/>
        <w:ind w:left="0" w:firstLine="0"/>
        <w:jc w:val="both"/>
      </w:pPr>
      <w:r w:rsidRPr="009F61D6">
        <w:t>At the time of the Accident, Wang On Majorluck Limited (“the 1</w:t>
      </w:r>
      <w:r w:rsidRPr="009F61D6">
        <w:rPr>
          <w:vertAlign w:val="superscript"/>
        </w:rPr>
        <w:t>st</w:t>
      </w:r>
      <w:r w:rsidRPr="009F61D6">
        <w:t xml:space="preserve"> defendant”) was the property manager of the Market.</w:t>
      </w:r>
      <w:r w:rsidR="004B3C9D" w:rsidRPr="009F61D6">
        <w:t xml:space="preserve"> </w:t>
      </w:r>
      <w:r w:rsidRPr="009F61D6">
        <w:t xml:space="preserve"> Choi Wu Tong trading as Chuen Yuen Cleaning &amp; Pest Control Service Company (“the 2</w:t>
      </w:r>
      <w:r w:rsidRPr="009F61D6">
        <w:rPr>
          <w:vertAlign w:val="superscript"/>
        </w:rPr>
        <w:t>nd</w:t>
      </w:r>
      <w:r w:rsidRPr="009F61D6">
        <w:t xml:space="preserve"> defendant”) was the cleaning contractor engaged by the 1</w:t>
      </w:r>
      <w:r w:rsidRPr="009F61D6">
        <w:rPr>
          <w:vertAlign w:val="superscript"/>
        </w:rPr>
        <w:t>st</w:t>
      </w:r>
      <w:r w:rsidRPr="009F61D6">
        <w:t xml:space="preserve"> defendant to provide cleaning service for the Market. </w:t>
      </w:r>
      <w:r w:rsidR="004B3C9D" w:rsidRPr="009F61D6">
        <w:t xml:space="preserve"> </w:t>
      </w:r>
      <w:r w:rsidRPr="009F61D6">
        <w:t xml:space="preserve">Greatest Wealth Limited trading as </w:t>
      </w:r>
      <w:r w:rsidRPr="009F61D6">
        <w:t>萬有放心肉</w:t>
      </w:r>
      <w:r w:rsidRPr="009F61D6">
        <w:t xml:space="preserve"> (“the 3</w:t>
      </w:r>
      <w:r w:rsidRPr="009F61D6">
        <w:rPr>
          <w:vertAlign w:val="superscript"/>
        </w:rPr>
        <w:t>rd</w:t>
      </w:r>
      <w:r w:rsidRPr="009F61D6">
        <w:t xml:space="preserve"> defendant”) was a tenant of the 1</w:t>
      </w:r>
      <w:r w:rsidRPr="009F61D6">
        <w:rPr>
          <w:vertAlign w:val="superscript"/>
        </w:rPr>
        <w:t>st</w:t>
      </w:r>
      <w:r w:rsidRPr="009F61D6">
        <w:t xml:space="preserve"> defendant at the Market and operated the Stall selling pork.</w:t>
      </w:r>
    </w:p>
    <w:p w:rsidR="004B3C9D" w:rsidRPr="009F61D6" w:rsidRDefault="004B3C9D" w:rsidP="004B3C9D">
      <w:pPr>
        <w:pStyle w:val="ListParagraph"/>
        <w:tabs>
          <w:tab w:val="clear" w:pos="4320"/>
          <w:tab w:val="clear" w:pos="9072"/>
        </w:tabs>
        <w:spacing w:line="360" w:lineRule="auto"/>
        <w:ind w:left="0"/>
        <w:jc w:val="both"/>
      </w:pPr>
    </w:p>
    <w:p w:rsidR="00791E9C" w:rsidRPr="009F61D6" w:rsidRDefault="00791E9C" w:rsidP="00870DF6">
      <w:pPr>
        <w:pStyle w:val="ListParagraph"/>
        <w:numPr>
          <w:ilvl w:val="0"/>
          <w:numId w:val="2"/>
        </w:numPr>
        <w:tabs>
          <w:tab w:val="clear" w:pos="4320"/>
          <w:tab w:val="clear" w:pos="9072"/>
        </w:tabs>
        <w:spacing w:line="360" w:lineRule="auto"/>
        <w:ind w:left="0" w:firstLine="0"/>
        <w:jc w:val="both"/>
      </w:pPr>
      <w:r w:rsidRPr="009F61D6">
        <w:t>Judgment was granted in favour of the plaintiff and the claims against the 1</w:t>
      </w:r>
      <w:r w:rsidRPr="009F61D6">
        <w:rPr>
          <w:vertAlign w:val="superscript"/>
        </w:rPr>
        <w:t>st</w:t>
      </w:r>
      <w:r w:rsidR="004B3C9D" w:rsidRPr="009F61D6">
        <w:t xml:space="preserve"> </w:t>
      </w:r>
      <w:r w:rsidRPr="009F61D6">
        <w:t>defendant and the 2</w:t>
      </w:r>
      <w:r w:rsidRPr="009F61D6">
        <w:rPr>
          <w:vertAlign w:val="superscript"/>
        </w:rPr>
        <w:t>nd</w:t>
      </w:r>
      <w:r w:rsidR="004B3C9D" w:rsidRPr="009F61D6">
        <w:t xml:space="preserve"> </w:t>
      </w:r>
      <w:r w:rsidRPr="009F61D6">
        <w:t>defendant were dismissed.</w:t>
      </w:r>
    </w:p>
    <w:p w:rsidR="004B3C9D" w:rsidRPr="009F61D6" w:rsidRDefault="004B3C9D" w:rsidP="004B3C9D">
      <w:pPr>
        <w:pStyle w:val="ListParagraph"/>
        <w:tabs>
          <w:tab w:val="clear" w:pos="4320"/>
          <w:tab w:val="clear" w:pos="9072"/>
        </w:tabs>
        <w:spacing w:line="360" w:lineRule="auto"/>
        <w:ind w:left="0"/>
        <w:jc w:val="both"/>
      </w:pPr>
    </w:p>
    <w:p w:rsidR="00791E9C" w:rsidRPr="009F61D6" w:rsidRDefault="00791E9C" w:rsidP="00870DF6">
      <w:pPr>
        <w:pStyle w:val="ListParagraph"/>
        <w:numPr>
          <w:ilvl w:val="0"/>
          <w:numId w:val="2"/>
        </w:numPr>
        <w:tabs>
          <w:tab w:val="clear" w:pos="4320"/>
          <w:tab w:val="clear" w:pos="9072"/>
        </w:tabs>
        <w:spacing w:line="360" w:lineRule="auto"/>
        <w:ind w:left="0" w:firstLine="0"/>
        <w:jc w:val="both"/>
      </w:pPr>
      <w:r w:rsidRPr="009F61D6">
        <w:t>There was order nisi that the 3</w:t>
      </w:r>
      <w:r w:rsidRPr="009F61D6">
        <w:rPr>
          <w:vertAlign w:val="superscript"/>
        </w:rPr>
        <w:t>rd</w:t>
      </w:r>
      <w:r w:rsidRPr="009F61D6">
        <w:t xml:space="preserve"> defendant do pay costs to the plaintiff, the 1</w:t>
      </w:r>
      <w:r w:rsidRPr="009F61D6">
        <w:rPr>
          <w:vertAlign w:val="superscript"/>
        </w:rPr>
        <w:t>st</w:t>
      </w:r>
      <w:r w:rsidRPr="009F61D6">
        <w:t xml:space="preserve"> and the 2</w:t>
      </w:r>
      <w:r w:rsidRPr="009F61D6">
        <w:rPr>
          <w:vertAlign w:val="superscript"/>
        </w:rPr>
        <w:t>nd</w:t>
      </w:r>
      <w:r w:rsidRPr="009F61D6">
        <w:t xml:space="preserve"> defendants.</w:t>
      </w:r>
    </w:p>
    <w:p w:rsidR="004B3C9D" w:rsidRPr="009F61D6" w:rsidRDefault="004B3C9D" w:rsidP="004B3C9D">
      <w:pPr>
        <w:pStyle w:val="ListParagraph"/>
        <w:tabs>
          <w:tab w:val="clear" w:pos="4320"/>
          <w:tab w:val="clear" w:pos="9072"/>
        </w:tabs>
        <w:spacing w:line="360" w:lineRule="auto"/>
        <w:ind w:left="0"/>
        <w:jc w:val="both"/>
      </w:pPr>
    </w:p>
    <w:p w:rsidR="00791E9C" w:rsidRPr="009F61D6" w:rsidRDefault="00791E9C" w:rsidP="00870DF6">
      <w:pPr>
        <w:pStyle w:val="ListParagraph"/>
        <w:numPr>
          <w:ilvl w:val="0"/>
          <w:numId w:val="2"/>
        </w:numPr>
        <w:tabs>
          <w:tab w:val="clear" w:pos="4320"/>
          <w:tab w:val="clear" w:pos="9072"/>
        </w:tabs>
        <w:spacing w:line="360" w:lineRule="auto"/>
        <w:ind w:left="0" w:firstLine="0"/>
        <w:jc w:val="both"/>
      </w:pPr>
      <w:r w:rsidRPr="009F61D6">
        <w:lastRenderedPageBreak/>
        <w:t>The was also order nisi that the costs of the contribution and indemnity proceedings be paid by the 3</w:t>
      </w:r>
      <w:r w:rsidRPr="009F61D6">
        <w:rPr>
          <w:vertAlign w:val="superscript"/>
        </w:rPr>
        <w:t>rd</w:t>
      </w:r>
      <w:r w:rsidRPr="009F61D6">
        <w:t xml:space="preserve"> defendant to the 1</w:t>
      </w:r>
      <w:r w:rsidRPr="009F61D6">
        <w:rPr>
          <w:vertAlign w:val="superscript"/>
        </w:rPr>
        <w:t>st</w:t>
      </w:r>
      <w:r w:rsidRPr="009F61D6">
        <w:t xml:space="preserve"> and the 2</w:t>
      </w:r>
      <w:r w:rsidRPr="009F61D6">
        <w:rPr>
          <w:vertAlign w:val="superscript"/>
        </w:rPr>
        <w:t>nd</w:t>
      </w:r>
      <w:r w:rsidRPr="009F61D6">
        <w:t xml:space="preserve"> defendants.</w:t>
      </w:r>
    </w:p>
    <w:p w:rsidR="004B3C9D" w:rsidRPr="009F61D6" w:rsidRDefault="004B3C9D" w:rsidP="004B3C9D">
      <w:pPr>
        <w:pStyle w:val="ListParagraph"/>
        <w:tabs>
          <w:tab w:val="clear" w:pos="4320"/>
          <w:tab w:val="clear" w:pos="9072"/>
        </w:tabs>
        <w:spacing w:line="360" w:lineRule="auto"/>
        <w:ind w:left="0"/>
        <w:jc w:val="both"/>
      </w:pPr>
    </w:p>
    <w:p w:rsidR="00791E9C" w:rsidRPr="009F61D6" w:rsidRDefault="00791E9C" w:rsidP="00870DF6">
      <w:pPr>
        <w:pStyle w:val="ListParagraph"/>
        <w:numPr>
          <w:ilvl w:val="0"/>
          <w:numId w:val="2"/>
        </w:numPr>
        <w:tabs>
          <w:tab w:val="clear" w:pos="4320"/>
          <w:tab w:val="clear" w:pos="9072"/>
        </w:tabs>
        <w:spacing w:line="360" w:lineRule="auto"/>
        <w:ind w:left="0" w:firstLine="0"/>
        <w:jc w:val="both"/>
      </w:pPr>
      <w:r w:rsidRPr="009F61D6">
        <w:t>The 3</w:t>
      </w:r>
      <w:r w:rsidRPr="009F61D6">
        <w:rPr>
          <w:vertAlign w:val="superscript"/>
        </w:rPr>
        <w:t>rd</w:t>
      </w:r>
      <w:r w:rsidRPr="009F61D6">
        <w:t xml:space="preserve"> defendant applied to vary the order nisi.</w:t>
      </w:r>
    </w:p>
    <w:p w:rsidR="004B3C9D" w:rsidRPr="009F61D6" w:rsidRDefault="004B3C9D" w:rsidP="004B3C9D">
      <w:pPr>
        <w:pStyle w:val="ListParagraph"/>
        <w:tabs>
          <w:tab w:val="clear" w:pos="4320"/>
          <w:tab w:val="clear" w:pos="9072"/>
        </w:tabs>
        <w:spacing w:line="360" w:lineRule="auto"/>
        <w:ind w:left="0"/>
        <w:jc w:val="both"/>
      </w:pPr>
    </w:p>
    <w:p w:rsidR="00791E9C" w:rsidRPr="009F61D6" w:rsidRDefault="00791E9C" w:rsidP="00870DF6">
      <w:pPr>
        <w:pStyle w:val="ListParagraph"/>
        <w:numPr>
          <w:ilvl w:val="0"/>
          <w:numId w:val="2"/>
        </w:numPr>
        <w:tabs>
          <w:tab w:val="clear" w:pos="4320"/>
          <w:tab w:val="clear" w:pos="9072"/>
        </w:tabs>
        <w:spacing w:line="360" w:lineRule="auto"/>
        <w:ind w:left="0" w:firstLine="0"/>
        <w:jc w:val="both"/>
        <w:rPr>
          <w:lang w:val="en-HK" w:eastAsia="zh-TW"/>
        </w:rPr>
      </w:pPr>
      <w:r w:rsidRPr="009F61D6">
        <w:rPr>
          <w:lang w:val="en-HK" w:eastAsia="zh-TW"/>
        </w:rPr>
        <w:t>The 3</w:t>
      </w:r>
      <w:r w:rsidRPr="009F61D6">
        <w:rPr>
          <w:vertAlign w:val="superscript"/>
          <w:lang w:val="en-HK" w:eastAsia="zh-TW"/>
        </w:rPr>
        <w:t>rd</w:t>
      </w:r>
      <w:r w:rsidRPr="009F61D6">
        <w:rPr>
          <w:lang w:val="en-HK" w:eastAsia="zh-TW"/>
        </w:rPr>
        <w:t xml:space="preserve"> defendant contended that the plaintiff should pay costs to the 1</w:t>
      </w:r>
      <w:r w:rsidRPr="009F61D6">
        <w:rPr>
          <w:vertAlign w:val="superscript"/>
          <w:lang w:val="en-HK" w:eastAsia="zh-TW"/>
        </w:rPr>
        <w:t>st</w:t>
      </w:r>
      <w:r w:rsidRPr="009F61D6">
        <w:rPr>
          <w:lang w:val="en-HK" w:eastAsia="zh-TW"/>
        </w:rPr>
        <w:t xml:space="preserve"> and the 2</w:t>
      </w:r>
      <w:r w:rsidRPr="009F61D6">
        <w:rPr>
          <w:vertAlign w:val="superscript"/>
          <w:lang w:val="en-HK" w:eastAsia="zh-TW"/>
        </w:rPr>
        <w:t>nd</w:t>
      </w:r>
      <w:r w:rsidRPr="009F61D6">
        <w:rPr>
          <w:lang w:val="en-HK" w:eastAsia="zh-TW"/>
        </w:rPr>
        <w:t xml:space="preserve"> defendants (including contribution proceedings among the defendants) for the reason that:</w:t>
      </w:r>
      <w:r w:rsidR="004B3C9D" w:rsidRPr="009F61D6">
        <w:rPr>
          <w:lang w:val="en-HK" w:eastAsia="zh-TW"/>
        </w:rPr>
        <w:t>-</w:t>
      </w:r>
    </w:p>
    <w:p w:rsidR="004B3C9D" w:rsidRPr="009F61D6" w:rsidRDefault="004B3C9D" w:rsidP="004B3C9D">
      <w:pPr>
        <w:pStyle w:val="ListParagraph"/>
        <w:tabs>
          <w:tab w:val="clear" w:pos="4320"/>
          <w:tab w:val="clear" w:pos="9072"/>
        </w:tabs>
        <w:spacing w:line="360" w:lineRule="auto"/>
        <w:ind w:left="0"/>
        <w:jc w:val="both"/>
        <w:rPr>
          <w:lang w:val="en-HK" w:eastAsia="zh-TW"/>
        </w:rPr>
      </w:pPr>
    </w:p>
    <w:p w:rsidR="00791E9C" w:rsidRPr="009F61D6" w:rsidRDefault="000E3567" w:rsidP="00870DF6">
      <w:pPr>
        <w:pStyle w:val="ListParagraph"/>
        <w:numPr>
          <w:ilvl w:val="0"/>
          <w:numId w:val="3"/>
        </w:numPr>
        <w:tabs>
          <w:tab w:val="clear" w:pos="4320"/>
          <w:tab w:val="clear" w:pos="9072"/>
          <w:tab w:val="left" w:pos="2160"/>
        </w:tabs>
        <w:spacing w:line="360" w:lineRule="auto"/>
        <w:ind w:left="2160" w:hanging="720"/>
        <w:jc w:val="both"/>
        <w:rPr>
          <w:lang w:val="en-HK" w:eastAsia="zh-TW"/>
        </w:rPr>
      </w:pPr>
      <w:r w:rsidRPr="009F61D6">
        <w:rPr>
          <w:lang w:val="en-HK" w:eastAsia="zh-TW"/>
        </w:rPr>
        <w:t>t</w:t>
      </w:r>
      <w:r w:rsidR="00791E9C" w:rsidRPr="009F61D6">
        <w:rPr>
          <w:lang w:val="en-HK" w:eastAsia="zh-TW"/>
        </w:rPr>
        <w:t>he plaintiff’s claims against the 1</w:t>
      </w:r>
      <w:r w:rsidR="00791E9C" w:rsidRPr="009F61D6">
        <w:rPr>
          <w:vertAlign w:val="superscript"/>
          <w:lang w:val="en-HK" w:eastAsia="zh-TW"/>
        </w:rPr>
        <w:t>st</w:t>
      </w:r>
      <w:r w:rsidR="00791E9C" w:rsidRPr="009F61D6">
        <w:rPr>
          <w:lang w:val="en-HK" w:eastAsia="zh-TW"/>
        </w:rPr>
        <w:t xml:space="preserve"> and the 2</w:t>
      </w:r>
      <w:r w:rsidR="00791E9C" w:rsidRPr="009F61D6">
        <w:rPr>
          <w:vertAlign w:val="superscript"/>
          <w:lang w:val="en-HK" w:eastAsia="zh-TW"/>
        </w:rPr>
        <w:t>nd</w:t>
      </w:r>
      <w:r w:rsidR="00791E9C" w:rsidRPr="009F61D6">
        <w:rPr>
          <w:lang w:val="en-HK" w:eastAsia="zh-TW"/>
        </w:rPr>
        <w:t xml:space="preserve"> defendants had been dismissed;</w:t>
      </w:r>
    </w:p>
    <w:p w:rsidR="004B3C9D" w:rsidRPr="009F61D6" w:rsidRDefault="004B3C9D" w:rsidP="004B3C9D">
      <w:pPr>
        <w:pStyle w:val="ListParagraph"/>
        <w:tabs>
          <w:tab w:val="clear" w:pos="4320"/>
          <w:tab w:val="clear" w:pos="9072"/>
          <w:tab w:val="left" w:pos="2160"/>
        </w:tabs>
        <w:spacing w:line="360" w:lineRule="auto"/>
        <w:ind w:left="2160"/>
        <w:jc w:val="both"/>
        <w:rPr>
          <w:lang w:val="en-HK" w:eastAsia="zh-TW"/>
        </w:rPr>
      </w:pPr>
    </w:p>
    <w:p w:rsidR="00791E9C" w:rsidRPr="009F61D6" w:rsidRDefault="004B3C9D" w:rsidP="00870DF6">
      <w:pPr>
        <w:pStyle w:val="ListParagraph"/>
        <w:numPr>
          <w:ilvl w:val="0"/>
          <w:numId w:val="3"/>
        </w:numPr>
        <w:tabs>
          <w:tab w:val="clear" w:pos="4320"/>
          <w:tab w:val="clear" w:pos="9072"/>
          <w:tab w:val="left" w:pos="2160"/>
        </w:tabs>
        <w:spacing w:line="360" w:lineRule="auto"/>
        <w:ind w:left="2160" w:hanging="720"/>
        <w:jc w:val="both"/>
        <w:rPr>
          <w:lang w:val="en-HK" w:eastAsia="zh-TW"/>
        </w:rPr>
      </w:pPr>
      <w:r w:rsidRPr="009F61D6">
        <w:rPr>
          <w:lang w:val="en-HK" w:eastAsia="zh-TW"/>
        </w:rPr>
        <w:t>b</w:t>
      </w:r>
      <w:r w:rsidR="00791E9C" w:rsidRPr="009F61D6">
        <w:rPr>
          <w:lang w:val="en-HK" w:eastAsia="zh-TW"/>
        </w:rPr>
        <w:t xml:space="preserve">ased on the finding of facts of the </w:t>
      </w:r>
      <w:r w:rsidRPr="009F61D6">
        <w:rPr>
          <w:lang w:val="en-HK" w:eastAsia="zh-TW"/>
        </w:rPr>
        <w:t>c</w:t>
      </w:r>
      <w:r w:rsidR="00791E9C" w:rsidRPr="009F61D6">
        <w:rPr>
          <w:lang w:val="en-HK" w:eastAsia="zh-TW"/>
        </w:rPr>
        <w:t>ourt, there was no good reason to commence proceedings against the 1</w:t>
      </w:r>
      <w:r w:rsidR="00791E9C" w:rsidRPr="009F61D6">
        <w:rPr>
          <w:vertAlign w:val="superscript"/>
          <w:lang w:val="en-HK" w:eastAsia="zh-TW"/>
        </w:rPr>
        <w:t>st</w:t>
      </w:r>
      <w:r w:rsidR="00791E9C" w:rsidRPr="009F61D6">
        <w:rPr>
          <w:lang w:val="en-HK" w:eastAsia="zh-TW"/>
        </w:rPr>
        <w:t xml:space="preserve"> and the 2</w:t>
      </w:r>
      <w:r w:rsidR="00791E9C" w:rsidRPr="009F61D6">
        <w:rPr>
          <w:vertAlign w:val="superscript"/>
          <w:lang w:val="en-HK" w:eastAsia="zh-TW"/>
        </w:rPr>
        <w:t>nd</w:t>
      </w:r>
      <w:r w:rsidR="00791E9C" w:rsidRPr="009F61D6">
        <w:rPr>
          <w:lang w:val="en-HK" w:eastAsia="zh-TW"/>
        </w:rPr>
        <w:t xml:space="preserve"> defendants;</w:t>
      </w:r>
      <w:r w:rsidRPr="009F61D6">
        <w:rPr>
          <w:lang w:val="en-HK" w:eastAsia="zh-TW"/>
        </w:rPr>
        <w:t xml:space="preserve"> and</w:t>
      </w:r>
    </w:p>
    <w:p w:rsidR="004B3C9D" w:rsidRPr="009F61D6" w:rsidRDefault="004B3C9D" w:rsidP="004B3C9D">
      <w:pPr>
        <w:tabs>
          <w:tab w:val="clear" w:pos="4320"/>
          <w:tab w:val="clear" w:pos="9072"/>
          <w:tab w:val="left" w:pos="2160"/>
        </w:tabs>
        <w:spacing w:line="360" w:lineRule="auto"/>
        <w:jc w:val="both"/>
        <w:rPr>
          <w:lang w:val="en-HK" w:eastAsia="zh-TW"/>
        </w:rPr>
      </w:pPr>
    </w:p>
    <w:p w:rsidR="00791E9C" w:rsidRPr="009F61D6" w:rsidRDefault="004B3C9D" w:rsidP="00870DF6">
      <w:pPr>
        <w:pStyle w:val="ListParagraph"/>
        <w:numPr>
          <w:ilvl w:val="0"/>
          <w:numId w:val="3"/>
        </w:numPr>
        <w:tabs>
          <w:tab w:val="clear" w:pos="4320"/>
          <w:tab w:val="clear" w:pos="9072"/>
          <w:tab w:val="left" w:pos="2160"/>
        </w:tabs>
        <w:spacing w:line="360" w:lineRule="auto"/>
        <w:ind w:left="2160" w:hanging="720"/>
        <w:jc w:val="both"/>
        <w:rPr>
          <w:lang w:val="en-HK" w:eastAsia="zh-TW"/>
        </w:rPr>
      </w:pPr>
      <w:r w:rsidRPr="009F61D6">
        <w:rPr>
          <w:lang w:val="en-HK" w:eastAsia="zh-TW"/>
        </w:rPr>
        <w:t>t</w:t>
      </w:r>
      <w:r w:rsidR="00791E9C" w:rsidRPr="009F61D6">
        <w:rPr>
          <w:lang w:val="en-HK" w:eastAsia="zh-TW"/>
        </w:rPr>
        <w:t>he 3</w:t>
      </w:r>
      <w:r w:rsidR="00791E9C" w:rsidRPr="009F61D6">
        <w:rPr>
          <w:vertAlign w:val="superscript"/>
          <w:lang w:val="en-HK" w:eastAsia="zh-TW"/>
        </w:rPr>
        <w:t>rd</w:t>
      </w:r>
      <w:r w:rsidR="00791E9C" w:rsidRPr="009F61D6">
        <w:rPr>
          <w:lang w:val="en-HK" w:eastAsia="zh-TW"/>
        </w:rPr>
        <w:t xml:space="preserve"> defendant did nothing to lead or induce the plaintiff to claim against the 1</w:t>
      </w:r>
      <w:r w:rsidR="00791E9C" w:rsidRPr="009F61D6">
        <w:rPr>
          <w:vertAlign w:val="superscript"/>
          <w:lang w:val="en-HK" w:eastAsia="zh-TW"/>
        </w:rPr>
        <w:t>st</w:t>
      </w:r>
      <w:r w:rsidR="00791E9C" w:rsidRPr="009F61D6">
        <w:rPr>
          <w:lang w:val="en-HK" w:eastAsia="zh-TW"/>
        </w:rPr>
        <w:t xml:space="preserve"> and the 2</w:t>
      </w:r>
      <w:r w:rsidR="00791E9C" w:rsidRPr="009F61D6">
        <w:rPr>
          <w:vertAlign w:val="superscript"/>
          <w:lang w:val="en-HK" w:eastAsia="zh-TW"/>
        </w:rPr>
        <w:t>nd</w:t>
      </w:r>
      <w:r w:rsidR="00791E9C" w:rsidRPr="009F61D6">
        <w:rPr>
          <w:lang w:val="en-HK" w:eastAsia="zh-TW"/>
        </w:rPr>
        <w:t xml:space="preserve"> defendants.</w:t>
      </w:r>
    </w:p>
    <w:p w:rsidR="00791E9C" w:rsidRPr="009F61D6" w:rsidRDefault="00791E9C" w:rsidP="004B3C9D">
      <w:pPr>
        <w:tabs>
          <w:tab w:val="clear" w:pos="4320"/>
          <w:tab w:val="clear" w:pos="9072"/>
        </w:tabs>
        <w:spacing w:line="360" w:lineRule="auto"/>
        <w:jc w:val="both"/>
        <w:rPr>
          <w:lang w:val="en-HK" w:eastAsia="zh-TW"/>
        </w:rPr>
      </w:pPr>
    </w:p>
    <w:p w:rsidR="00076AAA" w:rsidRPr="009F61D6" w:rsidRDefault="00791E9C" w:rsidP="00076AAA">
      <w:pPr>
        <w:pStyle w:val="ListParagraph"/>
        <w:numPr>
          <w:ilvl w:val="0"/>
          <w:numId w:val="2"/>
        </w:numPr>
        <w:tabs>
          <w:tab w:val="clear" w:pos="4320"/>
          <w:tab w:val="clear" w:pos="9072"/>
        </w:tabs>
        <w:spacing w:line="360" w:lineRule="auto"/>
        <w:ind w:left="0" w:firstLine="0"/>
        <w:jc w:val="both"/>
      </w:pPr>
      <w:r w:rsidRPr="009F61D6">
        <w:t>Mr Ho, counsel for the 3</w:t>
      </w:r>
      <w:r w:rsidRPr="009F61D6">
        <w:rPr>
          <w:vertAlign w:val="superscript"/>
        </w:rPr>
        <w:t>rd</w:t>
      </w:r>
      <w:r w:rsidRPr="009F61D6">
        <w:t xml:space="preserve"> defendant, submitted in paragraphs 8 to 16 of his written submissions as follows:</w:t>
      </w:r>
      <w:r w:rsidR="004B3C9D" w:rsidRPr="009F61D6">
        <w:t>-</w:t>
      </w:r>
    </w:p>
    <w:p w:rsidR="004110C0" w:rsidRPr="009F61D6" w:rsidRDefault="004110C0" w:rsidP="004110C0">
      <w:pPr>
        <w:pStyle w:val="ListParagraph"/>
        <w:tabs>
          <w:tab w:val="clear" w:pos="4320"/>
          <w:tab w:val="clear" w:pos="9072"/>
        </w:tabs>
        <w:spacing w:line="360" w:lineRule="auto"/>
        <w:ind w:left="0"/>
        <w:jc w:val="both"/>
      </w:pPr>
    </w:p>
    <w:p w:rsidR="00076AAA" w:rsidRPr="009F61D6" w:rsidRDefault="00076AAA" w:rsidP="00076AAA">
      <w:pPr>
        <w:pStyle w:val="ListParagraph"/>
        <w:tabs>
          <w:tab w:val="clear" w:pos="4320"/>
          <w:tab w:val="clear" w:pos="9072"/>
          <w:tab w:val="left" w:pos="2160"/>
        </w:tabs>
        <w:ind w:left="1440" w:right="746"/>
        <w:jc w:val="both"/>
        <w:rPr>
          <w:sz w:val="24"/>
          <w:szCs w:val="24"/>
          <w:lang w:val="en-HK" w:eastAsia="zh-TW"/>
        </w:rPr>
      </w:pPr>
      <w:r w:rsidRPr="009F61D6">
        <w:rPr>
          <w:sz w:val="24"/>
          <w:szCs w:val="24"/>
          <w:lang w:eastAsia="zh-TW"/>
        </w:rPr>
        <w:t>“</w:t>
      </w:r>
      <w:r w:rsidRPr="009F61D6">
        <w:rPr>
          <w:sz w:val="24"/>
          <w:szCs w:val="24"/>
          <w:lang w:val="en-HK" w:eastAsia="zh-TW"/>
        </w:rPr>
        <w:t>8.</w:t>
      </w:r>
      <w:r w:rsidRPr="009F61D6">
        <w:rPr>
          <w:sz w:val="24"/>
          <w:szCs w:val="24"/>
          <w:lang w:val="en-HK" w:eastAsia="zh-TW"/>
        </w:rPr>
        <w:tab/>
        <w:t>The Court accepted the plaintiff’s evidence at §8 of his witness that the plaintiff saw the 3</w:t>
      </w:r>
      <w:r w:rsidRPr="009F61D6">
        <w:rPr>
          <w:sz w:val="24"/>
          <w:szCs w:val="24"/>
          <w:vertAlign w:val="superscript"/>
          <w:lang w:val="en-HK" w:eastAsia="zh-TW"/>
        </w:rPr>
        <w:t>rd</w:t>
      </w:r>
      <w:r w:rsidRPr="009F61D6">
        <w:rPr>
          <w:sz w:val="24"/>
          <w:szCs w:val="24"/>
          <w:lang w:val="en-HK" w:eastAsia="zh-TW"/>
        </w:rPr>
        <w:t xml:space="preserve"> </w:t>
      </w:r>
      <w:r w:rsidR="002877C7" w:rsidRPr="009F61D6">
        <w:rPr>
          <w:sz w:val="24"/>
          <w:szCs w:val="24"/>
          <w:lang w:val="en-HK" w:eastAsia="zh-TW"/>
        </w:rPr>
        <w:t>d</w:t>
      </w:r>
      <w:r w:rsidRPr="009F61D6">
        <w:rPr>
          <w:sz w:val="24"/>
          <w:szCs w:val="24"/>
          <w:lang w:val="en-HK" w:eastAsia="zh-TW"/>
        </w:rPr>
        <w:t>efendant’s worker drop the pork substances onto the floor of the Market (</w:t>
      </w:r>
      <w:r w:rsidRPr="009F61D6">
        <w:rPr>
          <w:sz w:val="24"/>
          <w:szCs w:val="24"/>
          <w:lang w:val="en-HK" w:eastAsia="zh-TW"/>
        </w:rPr>
        <w:t>我看到該員工在切除那些豬皮、碎骨、碎肉等時會把這些東西散佈在該豬肉枱附近的地上。</w:t>
      </w:r>
      <w:r w:rsidRPr="009F61D6">
        <w:rPr>
          <w:sz w:val="24"/>
          <w:szCs w:val="24"/>
          <w:lang w:val="en-HK" w:eastAsia="zh-TW"/>
        </w:rPr>
        <w:t>).  This finding of</w:t>
      </w:r>
      <w:r w:rsidR="002877C7" w:rsidRPr="009F61D6">
        <w:rPr>
          <w:sz w:val="24"/>
          <w:szCs w:val="24"/>
          <w:lang w:val="en-HK" w:eastAsia="zh-TW"/>
        </w:rPr>
        <w:t xml:space="preserve"> fact must be the basis of the c</w:t>
      </w:r>
      <w:r w:rsidRPr="009F61D6">
        <w:rPr>
          <w:sz w:val="24"/>
          <w:szCs w:val="24"/>
          <w:lang w:val="en-HK" w:eastAsia="zh-TW"/>
        </w:rPr>
        <w:t>ourt’s exercise of discretion: see §7 of Lui Yin.</w:t>
      </w:r>
    </w:p>
    <w:p w:rsidR="00076AAA" w:rsidRPr="009F61D6" w:rsidRDefault="00076AAA" w:rsidP="00076AAA">
      <w:pPr>
        <w:pStyle w:val="ListParagraph"/>
        <w:tabs>
          <w:tab w:val="clear" w:pos="4320"/>
          <w:tab w:val="clear" w:pos="9072"/>
          <w:tab w:val="left" w:pos="2160"/>
        </w:tabs>
        <w:ind w:left="1440" w:right="746"/>
        <w:jc w:val="both"/>
        <w:rPr>
          <w:sz w:val="24"/>
          <w:szCs w:val="24"/>
          <w:lang w:val="en-HK" w:eastAsia="zh-TW"/>
        </w:rPr>
      </w:pPr>
    </w:p>
    <w:p w:rsidR="00076AAA" w:rsidRPr="009F61D6" w:rsidRDefault="00076AAA" w:rsidP="00076AAA">
      <w:pPr>
        <w:pStyle w:val="ListParagraph"/>
        <w:tabs>
          <w:tab w:val="clear" w:pos="4320"/>
          <w:tab w:val="clear" w:pos="9072"/>
          <w:tab w:val="left" w:pos="2160"/>
        </w:tabs>
        <w:ind w:left="1440" w:right="746"/>
        <w:jc w:val="both"/>
        <w:rPr>
          <w:sz w:val="24"/>
          <w:szCs w:val="24"/>
          <w:lang w:val="en-HK" w:eastAsia="zh-TW"/>
        </w:rPr>
      </w:pPr>
      <w:r w:rsidRPr="009F61D6">
        <w:rPr>
          <w:sz w:val="24"/>
          <w:szCs w:val="24"/>
          <w:lang w:val="en-HK" w:eastAsia="zh-TW"/>
        </w:rPr>
        <w:t>9.</w:t>
      </w:r>
      <w:r w:rsidRPr="009F61D6">
        <w:rPr>
          <w:sz w:val="24"/>
          <w:szCs w:val="24"/>
          <w:lang w:val="en-HK" w:eastAsia="zh-TW"/>
        </w:rPr>
        <w:tab/>
        <w:t>As the plaintiff was a shopper at the Market (§1 of the judgment), based on the finding of the court, the pork substances must be discarded seconds before the plaintiff stepped on them - otherwise the plaintiff would not be able to say that he saw that pork substances were discarded by the 3</w:t>
      </w:r>
      <w:r w:rsidRPr="009F61D6">
        <w:rPr>
          <w:sz w:val="24"/>
          <w:szCs w:val="24"/>
          <w:vertAlign w:val="superscript"/>
          <w:lang w:val="en-HK" w:eastAsia="zh-TW"/>
        </w:rPr>
        <w:t>rd</w:t>
      </w:r>
      <w:r w:rsidRPr="009F61D6">
        <w:rPr>
          <w:sz w:val="24"/>
          <w:szCs w:val="24"/>
          <w:lang w:val="en-HK" w:eastAsia="zh-TW"/>
        </w:rPr>
        <w:t xml:space="preserve"> defendant’s worker.</w:t>
      </w:r>
    </w:p>
    <w:p w:rsidR="00076AAA" w:rsidRPr="009F61D6" w:rsidRDefault="00076AAA" w:rsidP="00076AAA">
      <w:pPr>
        <w:pStyle w:val="ListParagraph"/>
        <w:tabs>
          <w:tab w:val="clear" w:pos="4320"/>
          <w:tab w:val="clear" w:pos="9072"/>
          <w:tab w:val="left" w:pos="2160"/>
        </w:tabs>
        <w:ind w:left="1440" w:right="746"/>
        <w:jc w:val="both"/>
        <w:rPr>
          <w:sz w:val="24"/>
          <w:szCs w:val="24"/>
          <w:lang w:val="en-HK" w:eastAsia="zh-TW"/>
        </w:rPr>
      </w:pPr>
    </w:p>
    <w:p w:rsidR="00076AAA" w:rsidRPr="009F61D6" w:rsidRDefault="00076AAA" w:rsidP="00076AAA">
      <w:pPr>
        <w:pStyle w:val="ListParagraph"/>
        <w:tabs>
          <w:tab w:val="clear" w:pos="4320"/>
          <w:tab w:val="clear" w:pos="9072"/>
          <w:tab w:val="left" w:pos="2160"/>
        </w:tabs>
        <w:ind w:left="1440" w:right="746"/>
        <w:jc w:val="both"/>
        <w:rPr>
          <w:sz w:val="24"/>
          <w:szCs w:val="24"/>
          <w:lang w:val="en-HK" w:eastAsia="zh-TW"/>
        </w:rPr>
      </w:pPr>
      <w:r w:rsidRPr="009F61D6">
        <w:rPr>
          <w:sz w:val="24"/>
          <w:szCs w:val="24"/>
          <w:lang w:val="en-HK" w:eastAsia="zh-TW"/>
        </w:rPr>
        <w:t>10.</w:t>
      </w:r>
      <w:r w:rsidRPr="009F61D6">
        <w:rPr>
          <w:sz w:val="24"/>
          <w:szCs w:val="24"/>
          <w:lang w:val="en-HK" w:eastAsia="zh-TW"/>
        </w:rPr>
        <w:tab/>
        <w:t>Further, as the plaintiff is the only eye-witness of the Accident, whether it is reasonable to claim against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 depend solely on his version of the Accident as accepted by the court.</w:t>
      </w:r>
    </w:p>
    <w:p w:rsidR="00076AAA" w:rsidRPr="009F61D6" w:rsidRDefault="00076AAA" w:rsidP="00076AAA">
      <w:pPr>
        <w:pStyle w:val="ListParagraph"/>
        <w:tabs>
          <w:tab w:val="clear" w:pos="4320"/>
          <w:tab w:val="clear" w:pos="9072"/>
          <w:tab w:val="left" w:pos="2160"/>
        </w:tabs>
        <w:ind w:left="1440" w:right="746"/>
        <w:jc w:val="both"/>
        <w:rPr>
          <w:sz w:val="24"/>
          <w:szCs w:val="24"/>
          <w:lang w:val="en-HK" w:eastAsia="zh-TW"/>
        </w:rPr>
      </w:pPr>
    </w:p>
    <w:p w:rsidR="00076AAA" w:rsidRPr="009F61D6" w:rsidRDefault="00076AAA" w:rsidP="00076AAA">
      <w:pPr>
        <w:pStyle w:val="ListParagraph"/>
        <w:tabs>
          <w:tab w:val="clear" w:pos="4320"/>
          <w:tab w:val="clear" w:pos="9072"/>
          <w:tab w:val="left" w:pos="2160"/>
        </w:tabs>
        <w:ind w:left="1440" w:right="746"/>
        <w:jc w:val="both"/>
        <w:rPr>
          <w:sz w:val="24"/>
          <w:szCs w:val="24"/>
          <w:lang w:val="en-HK" w:eastAsia="zh-TW"/>
        </w:rPr>
      </w:pPr>
      <w:r w:rsidRPr="009F61D6">
        <w:rPr>
          <w:sz w:val="24"/>
          <w:szCs w:val="24"/>
          <w:lang w:val="en-HK" w:eastAsia="zh-TW"/>
        </w:rPr>
        <w:t>11.</w:t>
      </w:r>
      <w:r w:rsidRPr="009F61D6">
        <w:rPr>
          <w:sz w:val="24"/>
          <w:szCs w:val="24"/>
          <w:lang w:val="en-HK" w:eastAsia="zh-TW"/>
        </w:rPr>
        <w:tab/>
        <w:t>However, if the plaintiff’s case is that pork substances were dropped seconds before he slipped over them, it will be ludicrous to suggest that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 would have a duty to remove pork substances immediately, because the duty on the part of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 is only up to a reasonable standard.  The plaintiff’s claim against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 was rightly dismissed by the court.</w:t>
      </w:r>
    </w:p>
    <w:p w:rsidR="00076AAA" w:rsidRPr="009F61D6" w:rsidRDefault="00076AAA" w:rsidP="00076AAA">
      <w:pPr>
        <w:pStyle w:val="ListParagraph"/>
        <w:tabs>
          <w:tab w:val="clear" w:pos="4320"/>
          <w:tab w:val="clear" w:pos="9072"/>
          <w:tab w:val="left" w:pos="2160"/>
        </w:tabs>
        <w:ind w:left="1440" w:right="746"/>
        <w:jc w:val="both"/>
        <w:rPr>
          <w:sz w:val="24"/>
          <w:szCs w:val="24"/>
          <w:lang w:val="en-HK" w:eastAsia="zh-TW"/>
        </w:rPr>
      </w:pPr>
    </w:p>
    <w:p w:rsidR="00076AAA" w:rsidRPr="009F61D6" w:rsidRDefault="00076AAA" w:rsidP="00076AAA">
      <w:pPr>
        <w:pStyle w:val="ListParagraph"/>
        <w:tabs>
          <w:tab w:val="clear" w:pos="4320"/>
          <w:tab w:val="clear" w:pos="9072"/>
          <w:tab w:val="left" w:pos="2160"/>
        </w:tabs>
        <w:ind w:left="1440" w:right="746"/>
        <w:jc w:val="both"/>
        <w:rPr>
          <w:sz w:val="24"/>
          <w:szCs w:val="24"/>
          <w:lang w:val="en-HK" w:eastAsia="zh-TW"/>
        </w:rPr>
      </w:pPr>
      <w:r w:rsidRPr="009F61D6">
        <w:rPr>
          <w:sz w:val="24"/>
          <w:szCs w:val="24"/>
          <w:lang w:val="en-HK" w:eastAsia="zh-TW"/>
        </w:rPr>
        <w:t>12.</w:t>
      </w:r>
      <w:r w:rsidRPr="009F61D6">
        <w:rPr>
          <w:sz w:val="24"/>
          <w:szCs w:val="24"/>
          <w:lang w:val="en-HK" w:eastAsia="zh-TW"/>
        </w:rPr>
        <w:tab/>
        <w:t>Therefore, if the plaintiff has been properly advised based on his version of the Accident, there is no reason why he should claim against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w:t>
      </w:r>
    </w:p>
    <w:p w:rsidR="00076AAA" w:rsidRPr="009F61D6" w:rsidRDefault="00076AAA" w:rsidP="00076AAA">
      <w:pPr>
        <w:pStyle w:val="ListParagraph"/>
        <w:tabs>
          <w:tab w:val="clear" w:pos="4320"/>
          <w:tab w:val="clear" w:pos="9072"/>
          <w:tab w:val="left" w:pos="2160"/>
        </w:tabs>
        <w:ind w:left="1440" w:right="746"/>
        <w:jc w:val="both"/>
        <w:rPr>
          <w:sz w:val="24"/>
          <w:szCs w:val="24"/>
          <w:lang w:val="en-HK" w:eastAsia="zh-TW"/>
        </w:rPr>
      </w:pPr>
    </w:p>
    <w:p w:rsidR="00076AAA" w:rsidRPr="009F61D6" w:rsidRDefault="00076AAA" w:rsidP="00076AAA">
      <w:pPr>
        <w:pStyle w:val="ListParagraph"/>
        <w:tabs>
          <w:tab w:val="clear" w:pos="4320"/>
          <w:tab w:val="clear" w:pos="9072"/>
          <w:tab w:val="left" w:pos="2160"/>
        </w:tabs>
        <w:ind w:left="1440" w:right="746"/>
        <w:jc w:val="both"/>
        <w:rPr>
          <w:sz w:val="24"/>
          <w:szCs w:val="24"/>
          <w:lang w:val="en-HK" w:eastAsia="zh-TW"/>
        </w:rPr>
      </w:pPr>
      <w:r w:rsidRPr="009F61D6">
        <w:rPr>
          <w:sz w:val="24"/>
          <w:szCs w:val="24"/>
          <w:lang w:val="en-HK" w:eastAsia="zh-TW"/>
        </w:rPr>
        <w:t>13.</w:t>
      </w:r>
      <w:r w:rsidRPr="009F61D6">
        <w:rPr>
          <w:sz w:val="24"/>
          <w:szCs w:val="24"/>
          <w:lang w:val="en-HK" w:eastAsia="zh-TW"/>
        </w:rPr>
        <w:tab/>
        <w:t>The plaintiff’s case against the 3</w:t>
      </w:r>
      <w:r w:rsidRPr="009F61D6">
        <w:rPr>
          <w:sz w:val="24"/>
          <w:szCs w:val="24"/>
          <w:vertAlign w:val="superscript"/>
          <w:lang w:val="en-HK" w:eastAsia="zh-TW"/>
        </w:rPr>
        <w:t>rd</w:t>
      </w:r>
      <w:r w:rsidRPr="009F61D6">
        <w:rPr>
          <w:sz w:val="24"/>
          <w:szCs w:val="24"/>
          <w:lang w:val="en-HK" w:eastAsia="zh-TW"/>
        </w:rPr>
        <w:t xml:space="preserve"> defendant is that the 3</w:t>
      </w:r>
      <w:r w:rsidRPr="009F61D6">
        <w:rPr>
          <w:sz w:val="24"/>
          <w:szCs w:val="24"/>
          <w:vertAlign w:val="superscript"/>
          <w:lang w:val="en-HK" w:eastAsia="zh-TW"/>
        </w:rPr>
        <w:t>rd</w:t>
      </w:r>
      <w:r w:rsidRPr="009F61D6">
        <w:rPr>
          <w:sz w:val="24"/>
          <w:szCs w:val="24"/>
          <w:lang w:val="en-HK" w:eastAsia="zh-TW"/>
        </w:rPr>
        <w:t xml:space="preserve"> defendant’s littered pork substances on the ground of the Market.  The plaintiff’s case against the 3</w:t>
      </w:r>
      <w:r w:rsidRPr="009F61D6">
        <w:rPr>
          <w:sz w:val="24"/>
          <w:szCs w:val="24"/>
          <w:vertAlign w:val="superscript"/>
          <w:lang w:val="en-HK" w:eastAsia="zh-TW"/>
        </w:rPr>
        <w:t>rd</w:t>
      </w:r>
      <w:r w:rsidRPr="009F61D6">
        <w:rPr>
          <w:sz w:val="24"/>
          <w:szCs w:val="24"/>
          <w:lang w:val="en-HK" w:eastAsia="zh-TW"/>
        </w:rPr>
        <w:t xml:space="preserve"> defendant is completely different from that against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 which is failure to keep the floor to be free from slippery substances.</w:t>
      </w:r>
      <w:r w:rsidR="00300767" w:rsidRPr="009F61D6">
        <w:rPr>
          <w:sz w:val="24"/>
          <w:szCs w:val="24"/>
          <w:lang w:val="en-HK" w:eastAsia="zh-TW"/>
        </w:rPr>
        <w:t xml:space="preserve">  Further:</w:t>
      </w:r>
    </w:p>
    <w:p w:rsidR="00076AAA" w:rsidRPr="009F61D6" w:rsidRDefault="00076AAA" w:rsidP="00076AAA">
      <w:pPr>
        <w:pStyle w:val="ListParagraph"/>
        <w:tabs>
          <w:tab w:val="clear" w:pos="4320"/>
          <w:tab w:val="clear" w:pos="9072"/>
        </w:tabs>
        <w:ind w:left="1440" w:right="749"/>
        <w:jc w:val="both"/>
        <w:rPr>
          <w:sz w:val="24"/>
          <w:szCs w:val="24"/>
          <w:lang w:val="en-HK" w:eastAsia="zh-TW"/>
        </w:rPr>
      </w:pPr>
    </w:p>
    <w:p w:rsidR="00076AAA" w:rsidRPr="009F61D6" w:rsidRDefault="00076AAA" w:rsidP="00870DF6">
      <w:pPr>
        <w:pStyle w:val="ListParagraph"/>
        <w:numPr>
          <w:ilvl w:val="0"/>
          <w:numId w:val="5"/>
        </w:numPr>
        <w:tabs>
          <w:tab w:val="clear" w:pos="1440"/>
          <w:tab w:val="clear" w:pos="4320"/>
          <w:tab w:val="clear" w:pos="9072"/>
          <w:tab w:val="left" w:pos="2160"/>
          <w:tab w:val="left" w:pos="2880"/>
        </w:tabs>
        <w:ind w:left="2160" w:right="749" w:firstLine="0"/>
        <w:jc w:val="both"/>
        <w:rPr>
          <w:sz w:val="24"/>
          <w:szCs w:val="24"/>
          <w:lang w:val="en-HK" w:eastAsia="zh-TW"/>
        </w:rPr>
      </w:pPr>
      <w:r w:rsidRPr="009F61D6">
        <w:rPr>
          <w:sz w:val="24"/>
          <w:szCs w:val="24"/>
          <w:lang w:val="en-HK" w:eastAsia="zh-TW"/>
        </w:rPr>
        <w:t>If the plaintiff succeeded in his claim, he would be able to claim damages from the 3</w:t>
      </w:r>
      <w:r w:rsidRPr="009F61D6">
        <w:rPr>
          <w:sz w:val="24"/>
          <w:szCs w:val="24"/>
          <w:vertAlign w:val="superscript"/>
          <w:lang w:val="en-HK" w:eastAsia="zh-TW"/>
        </w:rPr>
        <w:t>rd</w:t>
      </w:r>
      <w:r w:rsidRPr="009F61D6">
        <w:rPr>
          <w:sz w:val="24"/>
          <w:szCs w:val="24"/>
          <w:lang w:val="en-HK" w:eastAsia="zh-TW"/>
        </w:rPr>
        <w:t xml:space="preserve"> defendant fully.</w:t>
      </w:r>
    </w:p>
    <w:p w:rsidR="00076AAA" w:rsidRPr="009F61D6" w:rsidRDefault="00076AAA" w:rsidP="00076AAA">
      <w:pPr>
        <w:pStyle w:val="ListParagraph"/>
        <w:tabs>
          <w:tab w:val="clear" w:pos="1440"/>
          <w:tab w:val="clear" w:pos="4320"/>
          <w:tab w:val="clear" w:pos="9072"/>
          <w:tab w:val="left" w:pos="2160"/>
          <w:tab w:val="left" w:pos="2880"/>
        </w:tabs>
        <w:ind w:left="2160" w:right="749"/>
        <w:jc w:val="both"/>
        <w:rPr>
          <w:sz w:val="24"/>
          <w:szCs w:val="24"/>
          <w:lang w:val="en-HK" w:eastAsia="zh-TW"/>
        </w:rPr>
      </w:pPr>
    </w:p>
    <w:p w:rsidR="00076AAA" w:rsidRPr="009F61D6" w:rsidRDefault="00076AAA" w:rsidP="00870DF6">
      <w:pPr>
        <w:pStyle w:val="ListParagraph"/>
        <w:numPr>
          <w:ilvl w:val="0"/>
          <w:numId w:val="5"/>
        </w:numPr>
        <w:tabs>
          <w:tab w:val="clear" w:pos="1440"/>
          <w:tab w:val="clear" w:pos="4320"/>
          <w:tab w:val="clear" w:pos="9072"/>
          <w:tab w:val="left" w:pos="2160"/>
          <w:tab w:val="left" w:pos="2880"/>
        </w:tabs>
        <w:ind w:left="2160" w:right="749" w:firstLine="0"/>
        <w:jc w:val="both"/>
        <w:rPr>
          <w:sz w:val="24"/>
          <w:szCs w:val="24"/>
          <w:lang w:val="en-HK" w:eastAsia="zh-TW"/>
        </w:rPr>
      </w:pPr>
      <w:r w:rsidRPr="009F61D6">
        <w:rPr>
          <w:sz w:val="24"/>
          <w:szCs w:val="24"/>
          <w:lang w:val="en-HK" w:eastAsia="zh-TW"/>
        </w:rPr>
        <w:t>The plaintiff’s claim against the 3</w:t>
      </w:r>
      <w:r w:rsidRPr="009F61D6">
        <w:rPr>
          <w:sz w:val="24"/>
          <w:szCs w:val="24"/>
          <w:vertAlign w:val="superscript"/>
          <w:lang w:val="en-HK" w:eastAsia="zh-TW"/>
        </w:rPr>
        <w:t>rd</w:t>
      </w:r>
      <w:r w:rsidRPr="009F61D6">
        <w:rPr>
          <w:sz w:val="24"/>
          <w:szCs w:val="24"/>
          <w:lang w:val="en-HK" w:eastAsia="zh-TW"/>
        </w:rPr>
        <w:t xml:space="preserve"> defendant depends solely on the court’s acceptance of his evidence.  It does not depend on evidence from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w:t>
      </w:r>
    </w:p>
    <w:p w:rsidR="00076AAA" w:rsidRPr="009F61D6" w:rsidRDefault="00076AAA" w:rsidP="00076AAA">
      <w:pPr>
        <w:tabs>
          <w:tab w:val="clear" w:pos="1440"/>
          <w:tab w:val="clear" w:pos="4320"/>
          <w:tab w:val="clear" w:pos="9072"/>
          <w:tab w:val="left" w:pos="2160"/>
          <w:tab w:val="left" w:pos="2880"/>
        </w:tabs>
        <w:ind w:left="2160" w:right="749"/>
        <w:jc w:val="both"/>
        <w:rPr>
          <w:sz w:val="24"/>
          <w:szCs w:val="24"/>
          <w:lang w:val="en-HK" w:eastAsia="zh-TW"/>
        </w:rPr>
      </w:pPr>
    </w:p>
    <w:p w:rsidR="00076AAA" w:rsidRPr="009F61D6" w:rsidRDefault="00076AAA" w:rsidP="00870DF6">
      <w:pPr>
        <w:pStyle w:val="ListParagraph"/>
        <w:numPr>
          <w:ilvl w:val="0"/>
          <w:numId w:val="5"/>
        </w:numPr>
        <w:tabs>
          <w:tab w:val="clear" w:pos="1440"/>
          <w:tab w:val="clear" w:pos="4320"/>
          <w:tab w:val="clear" w:pos="9072"/>
          <w:tab w:val="left" w:pos="2160"/>
          <w:tab w:val="left" w:pos="2880"/>
        </w:tabs>
        <w:ind w:left="2160" w:right="749" w:firstLine="0"/>
        <w:jc w:val="both"/>
        <w:rPr>
          <w:sz w:val="24"/>
          <w:szCs w:val="24"/>
          <w:lang w:val="en-HK" w:eastAsia="zh-TW"/>
        </w:rPr>
      </w:pPr>
      <w:r w:rsidRPr="009F61D6">
        <w:rPr>
          <w:sz w:val="24"/>
          <w:szCs w:val="24"/>
          <w:lang w:val="en-HK" w:eastAsia="zh-TW"/>
        </w:rPr>
        <w:t>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 were not joined because they were vicariously liable or otherwise connected to the 3</w:t>
      </w:r>
      <w:r w:rsidRPr="009F61D6">
        <w:rPr>
          <w:sz w:val="24"/>
          <w:szCs w:val="24"/>
          <w:vertAlign w:val="superscript"/>
          <w:lang w:val="en-HK" w:eastAsia="zh-TW"/>
        </w:rPr>
        <w:t>rd</w:t>
      </w:r>
      <w:r w:rsidRPr="009F61D6">
        <w:rPr>
          <w:sz w:val="24"/>
          <w:szCs w:val="24"/>
          <w:lang w:val="en-HK" w:eastAsia="zh-TW"/>
        </w:rPr>
        <w:t xml:space="preserve"> defendant.  They were joined in because the plaintiff had separate and distinct causes of action against them, which were dismissed by the court.</w:t>
      </w:r>
    </w:p>
    <w:p w:rsidR="00076AAA" w:rsidRPr="009F61D6" w:rsidRDefault="00076AAA" w:rsidP="00076AAA">
      <w:pPr>
        <w:tabs>
          <w:tab w:val="clear" w:pos="4320"/>
          <w:tab w:val="clear" w:pos="9072"/>
        </w:tabs>
        <w:ind w:left="1440" w:right="749"/>
        <w:jc w:val="both"/>
        <w:rPr>
          <w:sz w:val="24"/>
          <w:szCs w:val="24"/>
          <w:lang w:val="en-HK" w:eastAsia="zh-TW"/>
        </w:rPr>
      </w:pPr>
    </w:p>
    <w:p w:rsidR="00076AAA" w:rsidRPr="009F61D6" w:rsidRDefault="00076AAA" w:rsidP="00870DF6">
      <w:pPr>
        <w:pStyle w:val="ListParagraph"/>
        <w:numPr>
          <w:ilvl w:val="0"/>
          <w:numId w:val="6"/>
        </w:numPr>
        <w:tabs>
          <w:tab w:val="clear" w:pos="4320"/>
          <w:tab w:val="clear" w:pos="9072"/>
          <w:tab w:val="left" w:pos="2160"/>
        </w:tabs>
        <w:ind w:left="1440" w:right="749" w:firstLine="0"/>
        <w:jc w:val="both"/>
        <w:rPr>
          <w:sz w:val="24"/>
          <w:szCs w:val="24"/>
          <w:lang w:val="en-HK" w:eastAsia="zh-TW"/>
        </w:rPr>
      </w:pPr>
      <w:r w:rsidRPr="009F61D6">
        <w:rPr>
          <w:sz w:val="24"/>
          <w:szCs w:val="24"/>
          <w:lang w:val="en-HK" w:eastAsia="zh-TW"/>
        </w:rPr>
        <w:t>As held in Irvine, the absence of connection of claims between successful and unsuccessful defendants is a material factor against the making of a Sanderson Order.</w:t>
      </w:r>
    </w:p>
    <w:p w:rsidR="00076AAA" w:rsidRPr="009F61D6" w:rsidRDefault="00076AAA" w:rsidP="00076AAA">
      <w:pPr>
        <w:pStyle w:val="ListParagraph"/>
        <w:tabs>
          <w:tab w:val="clear" w:pos="4320"/>
          <w:tab w:val="clear" w:pos="9072"/>
        </w:tabs>
        <w:ind w:left="1440" w:right="749"/>
        <w:jc w:val="both"/>
        <w:rPr>
          <w:sz w:val="24"/>
          <w:szCs w:val="24"/>
          <w:lang w:val="en-HK" w:eastAsia="zh-TW"/>
        </w:rPr>
      </w:pPr>
    </w:p>
    <w:p w:rsidR="00076AAA" w:rsidRPr="009F61D6" w:rsidRDefault="00076AAA" w:rsidP="00870DF6">
      <w:pPr>
        <w:pStyle w:val="ListParagraph"/>
        <w:numPr>
          <w:ilvl w:val="0"/>
          <w:numId w:val="6"/>
        </w:numPr>
        <w:tabs>
          <w:tab w:val="clear" w:pos="4320"/>
          <w:tab w:val="clear" w:pos="9072"/>
          <w:tab w:val="left" w:pos="2160"/>
        </w:tabs>
        <w:ind w:left="1440" w:right="749" w:firstLine="0"/>
        <w:jc w:val="both"/>
        <w:rPr>
          <w:sz w:val="24"/>
          <w:szCs w:val="24"/>
          <w:lang w:val="en-HK" w:eastAsia="zh-TW"/>
        </w:rPr>
      </w:pPr>
      <w:r w:rsidRPr="009F61D6">
        <w:rPr>
          <w:sz w:val="24"/>
          <w:szCs w:val="24"/>
          <w:lang w:val="en-HK" w:eastAsia="zh-TW"/>
        </w:rPr>
        <w:t>The plaintiff sent a pre-action letter to the 3</w:t>
      </w:r>
      <w:r w:rsidRPr="009F61D6">
        <w:rPr>
          <w:sz w:val="24"/>
          <w:szCs w:val="24"/>
          <w:vertAlign w:val="superscript"/>
          <w:lang w:val="en-HK" w:eastAsia="zh-TW"/>
        </w:rPr>
        <w:t>rd</w:t>
      </w:r>
      <w:r w:rsidRPr="009F61D6">
        <w:rPr>
          <w:sz w:val="24"/>
          <w:szCs w:val="24"/>
          <w:lang w:val="en-HK" w:eastAsia="zh-TW"/>
        </w:rPr>
        <w:t xml:space="preserve"> defendant on 17 December 2012, where the plaintiff invited the 3</w:t>
      </w:r>
      <w:r w:rsidRPr="009F61D6">
        <w:rPr>
          <w:sz w:val="24"/>
          <w:szCs w:val="24"/>
          <w:vertAlign w:val="superscript"/>
          <w:lang w:val="en-HK" w:eastAsia="zh-TW"/>
        </w:rPr>
        <w:t>rd</w:t>
      </w:r>
      <w:r w:rsidRPr="009F61D6">
        <w:rPr>
          <w:sz w:val="24"/>
          <w:szCs w:val="24"/>
          <w:lang w:val="en-HK" w:eastAsia="zh-TW"/>
        </w:rPr>
        <w:t xml:space="preserve"> defendant to suggest whether other parties were at fault.  The 3</w:t>
      </w:r>
      <w:r w:rsidRPr="009F61D6">
        <w:rPr>
          <w:sz w:val="24"/>
          <w:szCs w:val="24"/>
          <w:vertAlign w:val="superscript"/>
          <w:lang w:val="en-HK" w:eastAsia="zh-TW"/>
        </w:rPr>
        <w:t>rd</w:t>
      </w:r>
      <w:r w:rsidRPr="009F61D6">
        <w:rPr>
          <w:sz w:val="24"/>
          <w:szCs w:val="24"/>
          <w:lang w:val="en-HK" w:eastAsia="zh-TW"/>
        </w:rPr>
        <w:t xml:space="preserve"> defendant did not write back to blame any other party.  Notwithstanding that, the plaintiff commenced proceedings against all 3 defendants.</w:t>
      </w:r>
    </w:p>
    <w:p w:rsidR="00076AAA" w:rsidRPr="009F61D6" w:rsidRDefault="00076AAA" w:rsidP="00076AAA">
      <w:pPr>
        <w:tabs>
          <w:tab w:val="clear" w:pos="4320"/>
          <w:tab w:val="clear" w:pos="9072"/>
        </w:tabs>
        <w:ind w:left="1440" w:right="749"/>
        <w:jc w:val="both"/>
        <w:rPr>
          <w:sz w:val="24"/>
          <w:szCs w:val="24"/>
          <w:lang w:val="en-HK" w:eastAsia="zh-TW"/>
        </w:rPr>
      </w:pPr>
    </w:p>
    <w:p w:rsidR="00076AAA" w:rsidRPr="009F61D6" w:rsidRDefault="00076AAA" w:rsidP="00870DF6">
      <w:pPr>
        <w:pStyle w:val="ListParagraph"/>
        <w:numPr>
          <w:ilvl w:val="0"/>
          <w:numId w:val="6"/>
        </w:numPr>
        <w:tabs>
          <w:tab w:val="clear" w:pos="4320"/>
          <w:tab w:val="clear" w:pos="9072"/>
        </w:tabs>
        <w:ind w:left="1440" w:right="749" w:firstLine="0"/>
        <w:jc w:val="both"/>
        <w:rPr>
          <w:sz w:val="24"/>
          <w:szCs w:val="24"/>
          <w:lang w:val="en-HK" w:eastAsia="zh-TW"/>
        </w:rPr>
      </w:pPr>
      <w:r w:rsidRPr="009F61D6">
        <w:rPr>
          <w:sz w:val="24"/>
          <w:szCs w:val="24"/>
          <w:lang w:val="en-HK" w:eastAsia="zh-TW"/>
        </w:rPr>
        <w:t>In the 3</w:t>
      </w:r>
      <w:r w:rsidRPr="009F61D6">
        <w:rPr>
          <w:sz w:val="24"/>
          <w:szCs w:val="24"/>
          <w:vertAlign w:val="superscript"/>
          <w:lang w:val="en-HK" w:eastAsia="zh-TW"/>
        </w:rPr>
        <w:t>rd</w:t>
      </w:r>
      <w:r w:rsidRPr="009F61D6">
        <w:rPr>
          <w:sz w:val="24"/>
          <w:szCs w:val="24"/>
          <w:lang w:val="en-HK" w:eastAsia="zh-TW"/>
        </w:rPr>
        <w:t xml:space="preserve"> defendant’s Amended Defence, the 3</w:t>
      </w:r>
      <w:r w:rsidRPr="009F61D6">
        <w:rPr>
          <w:sz w:val="24"/>
          <w:szCs w:val="24"/>
          <w:vertAlign w:val="superscript"/>
          <w:lang w:val="en-HK" w:eastAsia="zh-TW"/>
        </w:rPr>
        <w:t>rd</w:t>
      </w:r>
      <w:r w:rsidRPr="009F61D6">
        <w:rPr>
          <w:sz w:val="24"/>
          <w:szCs w:val="24"/>
          <w:lang w:val="en-HK" w:eastAsia="zh-TW"/>
        </w:rPr>
        <w:t xml:space="preserve"> defendant did not seek to blame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  Although the 3</w:t>
      </w:r>
      <w:r w:rsidRPr="009F61D6">
        <w:rPr>
          <w:sz w:val="24"/>
          <w:szCs w:val="24"/>
          <w:vertAlign w:val="superscript"/>
          <w:lang w:val="en-HK" w:eastAsia="zh-TW"/>
        </w:rPr>
        <w:t>rd</w:t>
      </w:r>
      <w:r w:rsidRPr="009F61D6">
        <w:rPr>
          <w:sz w:val="24"/>
          <w:szCs w:val="24"/>
          <w:lang w:val="en-HK" w:eastAsia="zh-TW"/>
        </w:rPr>
        <w:t xml:space="preserve"> defendant filed a Notice of Contribution, the 3</w:t>
      </w:r>
      <w:r w:rsidRPr="009F61D6">
        <w:rPr>
          <w:sz w:val="24"/>
          <w:szCs w:val="24"/>
          <w:vertAlign w:val="superscript"/>
          <w:lang w:val="en-HK" w:eastAsia="zh-TW"/>
        </w:rPr>
        <w:t>rd</w:t>
      </w:r>
      <w:r w:rsidRPr="009F61D6">
        <w:rPr>
          <w:sz w:val="24"/>
          <w:szCs w:val="24"/>
          <w:lang w:val="en-HK" w:eastAsia="zh-TW"/>
        </w:rPr>
        <w:t xml:space="preserve"> defendant cannot possibly lead or induce the plaintiff to commence proceedings against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001C424C" w:rsidRPr="009F61D6">
        <w:rPr>
          <w:sz w:val="24"/>
          <w:szCs w:val="24"/>
          <w:lang w:val="en-HK" w:eastAsia="zh-TW"/>
        </w:rPr>
        <w:t xml:space="preserve"> defendants, because:</w:t>
      </w:r>
    </w:p>
    <w:p w:rsidR="00076AAA" w:rsidRPr="009F61D6" w:rsidRDefault="00076AAA" w:rsidP="00076AAA">
      <w:pPr>
        <w:pStyle w:val="ListParagraph"/>
        <w:tabs>
          <w:tab w:val="clear" w:pos="4320"/>
          <w:tab w:val="clear" w:pos="9072"/>
        </w:tabs>
        <w:spacing w:line="360" w:lineRule="auto"/>
        <w:ind w:left="1440" w:right="746"/>
        <w:jc w:val="both"/>
        <w:rPr>
          <w:sz w:val="24"/>
          <w:szCs w:val="24"/>
          <w:lang w:val="en-HK" w:eastAsia="zh-TW"/>
        </w:rPr>
      </w:pPr>
    </w:p>
    <w:p w:rsidR="00076AAA" w:rsidRPr="009F61D6" w:rsidRDefault="00076AAA" w:rsidP="00870DF6">
      <w:pPr>
        <w:pStyle w:val="ListParagraph"/>
        <w:numPr>
          <w:ilvl w:val="0"/>
          <w:numId w:val="4"/>
        </w:numPr>
        <w:tabs>
          <w:tab w:val="clear" w:pos="1440"/>
          <w:tab w:val="clear" w:pos="4320"/>
          <w:tab w:val="clear" w:pos="9072"/>
          <w:tab w:val="left" w:pos="2160"/>
          <w:tab w:val="left" w:pos="2880"/>
        </w:tabs>
        <w:ind w:left="2160" w:right="746" w:firstLine="0"/>
        <w:jc w:val="both"/>
        <w:rPr>
          <w:sz w:val="24"/>
          <w:szCs w:val="24"/>
          <w:lang w:val="en-HK" w:eastAsia="zh-TW"/>
        </w:rPr>
      </w:pPr>
      <w:r w:rsidRPr="009F61D6">
        <w:rPr>
          <w:sz w:val="24"/>
          <w:szCs w:val="24"/>
          <w:lang w:val="en-HK" w:eastAsia="zh-TW"/>
        </w:rPr>
        <w:t>The 3</w:t>
      </w:r>
      <w:r w:rsidRPr="009F61D6">
        <w:rPr>
          <w:sz w:val="24"/>
          <w:szCs w:val="24"/>
          <w:vertAlign w:val="superscript"/>
          <w:lang w:val="en-HK" w:eastAsia="zh-TW"/>
        </w:rPr>
        <w:t>rd</w:t>
      </w:r>
      <w:r w:rsidRPr="009F61D6">
        <w:rPr>
          <w:sz w:val="24"/>
          <w:szCs w:val="24"/>
          <w:lang w:val="en-HK" w:eastAsia="zh-TW"/>
        </w:rPr>
        <w:t xml:space="preserve"> defendant’s Notice of Contribution was issued 6 days before the trial, some 18 months after the plaintiff decided to claim against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w:t>
      </w:r>
    </w:p>
    <w:p w:rsidR="00076AAA" w:rsidRPr="009F61D6" w:rsidRDefault="00076AAA" w:rsidP="00076AAA">
      <w:pPr>
        <w:pStyle w:val="ListParagraph"/>
        <w:tabs>
          <w:tab w:val="clear" w:pos="1440"/>
          <w:tab w:val="clear" w:pos="4320"/>
          <w:tab w:val="clear" w:pos="9072"/>
          <w:tab w:val="left" w:pos="2160"/>
          <w:tab w:val="left" w:pos="2880"/>
        </w:tabs>
        <w:ind w:left="2160" w:right="746"/>
        <w:jc w:val="both"/>
        <w:rPr>
          <w:sz w:val="24"/>
          <w:szCs w:val="24"/>
          <w:lang w:val="en-HK" w:eastAsia="zh-TW"/>
        </w:rPr>
      </w:pPr>
    </w:p>
    <w:p w:rsidR="00076AAA" w:rsidRPr="009F61D6" w:rsidRDefault="00076AAA" w:rsidP="00870DF6">
      <w:pPr>
        <w:pStyle w:val="ListParagraph"/>
        <w:numPr>
          <w:ilvl w:val="0"/>
          <w:numId w:val="4"/>
        </w:numPr>
        <w:tabs>
          <w:tab w:val="clear" w:pos="1440"/>
          <w:tab w:val="clear" w:pos="4320"/>
          <w:tab w:val="clear" w:pos="9072"/>
          <w:tab w:val="left" w:pos="2160"/>
          <w:tab w:val="left" w:pos="2880"/>
        </w:tabs>
        <w:ind w:left="2160" w:right="746" w:firstLine="0"/>
        <w:jc w:val="both"/>
        <w:rPr>
          <w:sz w:val="24"/>
          <w:szCs w:val="24"/>
          <w:lang w:val="en-HK" w:eastAsia="zh-TW"/>
        </w:rPr>
      </w:pPr>
      <w:r w:rsidRPr="009F61D6">
        <w:rPr>
          <w:sz w:val="24"/>
          <w:szCs w:val="24"/>
          <w:lang w:val="en-HK" w:eastAsia="zh-TW"/>
        </w:rPr>
        <w:t>The 3</w:t>
      </w:r>
      <w:r w:rsidRPr="009F61D6">
        <w:rPr>
          <w:sz w:val="24"/>
          <w:szCs w:val="24"/>
          <w:vertAlign w:val="superscript"/>
          <w:lang w:val="en-HK" w:eastAsia="zh-TW"/>
        </w:rPr>
        <w:t>rd</w:t>
      </w:r>
      <w:r w:rsidRPr="009F61D6">
        <w:rPr>
          <w:sz w:val="24"/>
          <w:szCs w:val="24"/>
          <w:lang w:val="en-HK" w:eastAsia="zh-TW"/>
        </w:rPr>
        <w:t xml:space="preserve"> defendant simply relied on the plaintiff’s claim against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 as the basis of the Notice of Contribution.  No additional cause of action or evidence was adduced on the part of the 3</w:t>
      </w:r>
      <w:r w:rsidRPr="009F61D6">
        <w:rPr>
          <w:sz w:val="24"/>
          <w:szCs w:val="24"/>
          <w:vertAlign w:val="superscript"/>
          <w:lang w:val="en-HK" w:eastAsia="zh-TW"/>
        </w:rPr>
        <w:t>rd</w:t>
      </w:r>
      <w:r w:rsidRPr="009F61D6">
        <w:rPr>
          <w:sz w:val="24"/>
          <w:szCs w:val="24"/>
          <w:lang w:val="en-HK" w:eastAsia="zh-TW"/>
        </w:rPr>
        <w:t xml:space="preserve"> defendant against the 1</w:t>
      </w:r>
      <w:r w:rsidRPr="009F61D6">
        <w:rPr>
          <w:sz w:val="24"/>
          <w:szCs w:val="24"/>
          <w:vertAlign w:val="superscript"/>
          <w:lang w:val="en-HK" w:eastAsia="zh-TW"/>
        </w:rPr>
        <w:t>st</w:t>
      </w:r>
      <w:r w:rsidRPr="009F61D6">
        <w:rPr>
          <w:sz w:val="24"/>
          <w:szCs w:val="24"/>
          <w:lang w:val="en-HK" w:eastAsia="zh-TW"/>
        </w:rPr>
        <w:t xml:space="preserve"> and 2</w:t>
      </w:r>
      <w:r w:rsidRPr="009F61D6">
        <w:rPr>
          <w:sz w:val="24"/>
          <w:szCs w:val="24"/>
          <w:vertAlign w:val="superscript"/>
          <w:lang w:val="en-HK" w:eastAsia="zh-TW"/>
        </w:rPr>
        <w:t>nd</w:t>
      </w:r>
      <w:r w:rsidRPr="009F61D6">
        <w:rPr>
          <w:sz w:val="24"/>
          <w:szCs w:val="24"/>
          <w:lang w:val="en-HK" w:eastAsia="zh-TW"/>
        </w:rPr>
        <w:t xml:space="preserve"> defendants.”</w:t>
      </w:r>
    </w:p>
    <w:p w:rsidR="00076AAA" w:rsidRPr="009F61D6" w:rsidRDefault="00076AAA" w:rsidP="00076AAA">
      <w:pPr>
        <w:tabs>
          <w:tab w:val="clear" w:pos="4320"/>
          <w:tab w:val="clear" w:pos="9072"/>
        </w:tabs>
        <w:spacing w:line="360" w:lineRule="auto"/>
        <w:jc w:val="both"/>
        <w:rPr>
          <w:lang w:val="en-HK" w:eastAsia="zh-TW"/>
        </w:rPr>
      </w:pPr>
    </w:p>
    <w:p w:rsidR="00076AAA" w:rsidRPr="009F61D6" w:rsidRDefault="00076AAA" w:rsidP="00076AAA">
      <w:pPr>
        <w:pStyle w:val="ListParagraph"/>
        <w:tabs>
          <w:tab w:val="clear" w:pos="4320"/>
          <w:tab w:val="clear" w:pos="9072"/>
        </w:tabs>
        <w:spacing w:line="360" w:lineRule="auto"/>
        <w:ind w:left="0"/>
        <w:jc w:val="both"/>
        <w:rPr>
          <w:i/>
          <w:lang w:val="en-HK"/>
        </w:rPr>
      </w:pPr>
      <w:r w:rsidRPr="009F61D6">
        <w:rPr>
          <w:i/>
          <w:lang w:val="en-HK"/>
        </w:rPr>
        <w:t xml:space="preserve">Legal principles on </w:t>
      </w:r>
      <w:r w:rsidR="00CD6DFD" w:rsidRPr="009F61D6">
        <w:rPr>
          <w:i/>
          <w:lang w:val="en-HK"/>
        </w:rPr>
        <w:t>S</w:t>
      </w:r>
      <w:r w:rsidRPr="009F61D6">
        <w:rPr>
          <w:i/>
          <w:lang w:val="en-HK"/>
        </w:rPr>
        <w:t xml:space="preserve">anderson or </w:t>
      </w:r>
      <w:r w:rsidR="00CD6DFD" w:rsidRPr="009F61D6">
        <w:rPr>
          <w:i/>
          <w:lang w:val="en-HK"/>
        </w:rPr>
        <w:t>B</w:t>
      </w:r>
      <w:r w:rsidRPr="009F61D6">
        <w:rPr>
          <w:i/>
          <w:lang w:val="en-HK"/>
        </w:rPr>
        <w:t xml:space="preserve">ullock order </w:t>
      </w:r>
    </w:p>
    <w:p w:rsidR="00076AAA" w:rsidRPr="009F61D6" w:rsidRDefault="00076AAA" w:rsidP="00076AAA">
      <w:pPr>
        <w:pStyle w:val="ListParagraph"/>
        <w:tabs>
          <w:tab w:val="clear" w:pos="4320"/>
          <w:tab w:val="clear" w:pos="9072"/>
        </w:tabs>
        <w:spacing w:line="360" w:lineRule="auto"/>
        <w:ind w:left="0"/>
        <w:jc w:val="both"/>
      </w:pPr>
    </w:p>
    <w:p w:rsidR="00076AAA" w:rsidRPr="009F61D6" w:rsidRDefault="00791E9C" w:rsidP="00076AAA">
      <w:pPr>
        <w:pStyle w:val="ListParagraph"/>
        <w:numPr>
          <w:ilvl w:val="0"/>
          <w:numId w:val="2"/>
        </w:numPr>
        <w:tabs>
          <w:tab w:val="clear" w:pos="4320"/>
          <w:tab w:val="clear" w:pos="9072"/>
        </w:tabs>
        <w:spacing w:line="360" w:lineRule="auto"/>
        <w:ind w:left="0" w:firstLine="0"/>
        <w:jc w:val="both"/>
      </w:pPr>
      <w:r w:rsidRPr="009F61D6">
        <w:t xml:space="preserve">In </w:t>
      </w:r>
      <w:r w:rsidRPr="009F61D6">
        <w:rPr>
          <w:i/>
        </w:rPr>
        <w:t xml:space="preserve">Chong Ngan Seng v China Harbour Engineering Co Ltd and 3 ors </w:t>
      </w:r>
      <w:r w:rsidRPr="009F61D6">
        <w:t xml:space="preserve">CACV no 54 of 2012 (judgment on costs handed down on 25 September 2013) Fok JA, as he then was, stated at paragraphs </w:t>
      </w:r>
      <w:r w:rsidRPr="009F61D6">
        <w:rPr>
          <w:color w:val="000000"/>
        </w:rPr>
        <w:t>6</w:t>
      </w:r>
      <w:r w:rsidRPr="009F61D6">
        <w:t xml:space="preserve"> and 7 of the judgment</w:t>
      </w:r>
      <w:r w:rsidR="008E21F3" w:rsidRPr="009F61D6">
        <w:t xml:space="preserve"> as follows</w:t>
      </w:r>
      <w:r w:rsidRPr="009F61D6">
        <w:t xml:space="preserve">, </w:t>
      </w:r>
    </w:p>
    <w:p w:rsidR="004110C0" w:rsidRPr="009F61D6" w:rsidRDefault="004110C0" w:rsidP="004110C0">
      <w:pPr>
        <w:pStyle w:val="ListParagraph"/>
        <w:tabs>
          <w:tab w:val="clear" w:pos="4320"/>
          <w:tab w:val="clear" w:pos="9072"/>
        </w:tabs>
        <w:spacing w:line="360" w:lineRule="auto"/>
        <w:ind w:left="0"/>
        <w:jc w:val="both"/>
      </w:pPr>
    </w:p>
    <w:p w:rsidR="001C424C" w:rsidRPr="009F61D6" w:rsidRDefault="00076AAA" w:rsidP="00076AAA">
      <w:pPr>
        <w:pStyle w:val="ListParagraph"/>
        <w:tabs>
          <w:tab w:val="clear" w:pos="4320"/>
          <w:tab w:val="clear" w:pos="9072"/>
        </w:tabs>
        <w:ind w:left="1440" w:right="746"/>
        <w:jc w:val="both"/>
        <w:rPr>
          <w:sz w:val="24"/>
          <w:szCs w:val="24"/>
        </w:rPr>
      </w:pPr>
      <w:r w:rsidRPr="009F61D6">
        <w:rPr>
          <w:sz w:val="24"/>
          <w:szCs w:val="24"/>
        </w:rPr>
        <w:t>“</w:t>
      </w:r>
      <w:r w:rsidR="009F61D6">
        <w:rPr>
          <w:sz w:val="24"/>
          <w:szCs w:val="24"/>
        </w:rPr>
        <w:t>6.</w:t>
      </w:r>
      <w:r w:rsidR="009F61D6">
        <w:rPr>
          <w:sz w:val="24"/>
          <w:szCs w:val="24"/>
        </w:rPr>
        <w:tab/>
      </w:r>
      <w:r w:rsidR="009F61D6">
        <w:rPr>
          <w:sz w:val="24"/>
          <w:szCs w:val="24"/>
        </w:rPr>
        <w:tab/>
      </w:r>
      <w:r w:rsidRPr="009F61D6">
        <w:rPr>
          <w:color w:val="000000"/>
          <w:sz w:val="24"/>
          <w:szCs w:val="24"/>
        </w:rPr>
        <w:t>In deciding whether to make</w:t>
      </w:r>
      <w:r w:rsidR="009F61D6">
        <w:rPr>
          <w:color w:val="000000"/>
          <w:sz w:val="24"/>
          <w:szCs w:val="24"/>
        </w:rPr>
        <w:t xml:space="preserve"> a Sanderson or Bullock order </w:t>
      </w:r>
      <w:r w:rsidRPr="009F61D6">
        <w:rPr>
          <w:color w:val="000000"/>
          <w:sz w:val="24"/>
          <w:szCs w:val="24"/>
        </w:rPr>
        <w:t>and, if so, which of the two orders to make, the court is exercising its discretion.</w:t>
      </w:r>
    </w:p>
    <w:p w:rsidR="001C424C" w:rsidRPr="009F61D6" w:rsidRDefault="001C424C" w:rsidP="00076AAA">
      <w:pPr>
        <w:pStyle w:val="ListParagraph"/>
        <w:tabs>
          <w:tab w:val="clear" w:pos="4320"/>
          <w:tab w:val="clear" w:pos="9072"/>
        </w:tabs>
        <w:ind w:left="1440" w:right="746"/>
        <w:jc w:val="both"/>
        <w:rPr>
          <w:sz w:val="24"/>
          <w:szCs w:val="24"/>
        </w:rPr>
      </w:pPr>
    </w:p>
    <w:p w:rsidR="00076AAA" w:rsidRPr="009F61D6" w:rsidRDefault="009F61D6" w:rsidP="00076AAA">
      <w:pPr>
        <w:pStyle w:val="ListParagraph"/>
        <w:tabs>
          <w:tab w:val="clear" w:pos="4320"/>
          <w:tab w:val="clear" w:pos="9072"/>
        </w:tabs>
        <w:ind w:left="1440" w:right="746"/>
        <w:jc w:val="both"/>
        <w:rPr>
          <w:color w:val="000000"/>
          <w:sz w:val="24"/>
          <w:szCs w:val="24"/>
        </w:rPr>
      </w:pPr>
      <w:r>
        <w:rPr>
          <w:color w:val="000000"/>
          <w:sz w:val="24"/>
          <w:szCs w:val="24"/>
        </w:rPr>
        <w:t>7.</w:t>
      </w:r>
      <w:r>
        <w:rPr>
          <w:color w:val="000000"/>
          <w:sz w:val="24"/>
          <w:szCs w:val="24"/>
        </w:rPr>
        <w:tab/>
      </w:r>
      <w:r>
        <w:rPr>
          <w:color w:val="000000"/>
          <w:sz w:val="24"/>
          <w:szCs w:val="24"/>
        </w:rPr>
        <w:tab/>
      </w:r>
      <w:r w:rsidR="00076AAA" w:rsidRPr="009F61D6">
        <w:rPr>
          <w:color w:val="000000"/>
          <w:sz w:val="24"/>
          <w:szCs w:val="24"/>
        </w:rPr>
        <w:t>It was common ground that, in deciding whether to exercise that discretion, the court looks to see whether it was reasonable in all the circumstances of the case for the plaintiff to join the successful defendant in the action.”</w:t>
      </w:r>
    </w:p>
    <w:p w:rsidR="00076AAA" w:rsidRPr="009F61D6" w:rsidRDefault="00076AAA" w:rsidP="00076AAA">
      <w:pPr>
        <w:pStyle w:val="ListParagraph"/>
        <w:tabs>
          <w:tab w:val="clear" w:pos="4320"/>
          <w:tab w:val="clear" w:pos="9072"/>
        </w:tabs>
        <w:spacing w:line="360" w:lineRule="auto"/>
        <w:ind w:left="0"/>
        <w:jc w:val="both"/>
        <w:rPr>
          <w:lang w:val="en-HK"/>
        </w:rPr>
      </w:pPr>
    </w:p>
    <w:p w:rsidR="00076AAA" w:rsidRPr="009F61D6" w:rsidRDefault="00791E9C" w:rsidP="00870DF6">
      <w:pPr>
        <w:pStyle w:val="ListParagraph"/>
        <w:numPr>
          <w:ilvl w:val="0"/>
          <w:numId w:val="2"/>
        </w:numPr>
        <w:tabs>
          <w:tab w:val="clear" w:pos="4320"/>
          <w:tab w:val="clear" w:pos="9072"/>
        </w:tabs>
        <w:spacing w:line="360" w:lineRule="auto"/>
        <w:ind w:left="0" w:firstLine="0"/>
        <w:jc w:val="both"/>
      </w:pPr>
      <w:r w:rsidRPr="009F61D6">
        <w:rPr>
          <w:color w:val="000000"/>
        </w:rPr>
        <w:t>In</w:t>
      </w:r>
      <w:r w:rsidRPr="009F61D6">
        <w:rPr>
          <w:b/>
          <w:color w:val="000000"/>
        </w:rPr>
        <w:t xml:space="preserve"> </w:t>
      </w:r>
      <w:r w:rsidRPr="009F61D6">
        <w:rPr>
          <w:i/>
          <w:color w:val="000000"/>
        </w:rPr>
        <w:t>Fung Chun Man v Hospital Authority</w:t>
      </w:r>
      <w:r w:rsidRPr="009F61D6">
        <w:rPr>
          <w:color w:val="000000"/>
        </w:rPr>
        <w:t> [2012] 1 HKC 531 Bharwaney J stated at paragraphs 6 and 7 of the judgment</w:t>
      </w:r>
      <w:r w:rsidR="008E21F3" w:rsidRPr="009F61D6">
        <w:rPr>
          <w:color w:val="000000"/>
        </w:rPr>
        <w:t xml:space="preserve"> as follows</w:t>
      </w:r>
      <w:r w:rsidRPr="009F61D6">
        <w:rPr>
          <w:color w:val="000000"/>
        </w:rPr>
        <w:t xml:space="preserve">, </w:t>
      </w:r>
    </w:p>
    <w:p w:rsidR="004110C0" w:rsidRPr="009F61D6" w:rsidRDefault="004110C0" w:rsidP="004110C0">
      <w:pPr>
        <w:pStyle w:val="ListParagraph"/>
        <w:tabs>
          <w:tab w:val="clear" w:pos="4320"/>
          <w:tab w:val="clear" w:pos="9072"/>
        </w:tabs>
        <w:spacing w:line="360" w:lineRule="auto"/>
        <w:ind w:left="0"/>
        <w:jc w:val="both"/>
      </w:pPr>
    </w:p>
    <w:p w:rsidR="008E21F3" w:rsidRPr="009F61D6" w:rsidRDefault="00791E9C" w:rsidP="00076AAA">
      <w:pPr>
        <w:pStyle w:val="ListParagraph"/>
        <w:tabs>
          <w:tab w:val="clear" w:pos="4320"/>
          <w:tab w:val="clear" w:pos="9072"/>
        </w:tabs>
        <w:ind w:left="1440" w:right="746"/>
        <w:jc w:val="both"/>
        <w:rPr>
          <w:color w:val="000000"/>
          <w:sz w:val="24"/>
          <w:szCs w:val="24"/>
        </w:rPr>
      </w:pPr>
      <w:r w:rsidRPr="009F61D6">
        <w:rPr>
          <w:color w:val="000000"/>
          <w:sz w:val="24"/>
          <w:szCs w:val="24"/>
        </w:rPr>
        <w:t>“</w:t>
      </w:r>
      <w:r w:rsidR="009F61D6">
        <w:rPr>
          <w:color w:val="000000"/>
          <w:sz w:val="24"/>
          <w:szCs w:val="24"/>
        </w:rPr>
        <w:t>6.</w:t>
      </w:r>
      <w:r w:rsidR="009F61D6">
        <w:rPr>
          <w:color w:val="000000"/>
          <w:sz w:val="24"/>
          <w:szCs w:val="24"/>
        </w:rPr>
        <w:tab/>
      </w:r>
      <w:r w:rsidR="009F61D6">
        <w:rPr>
          <w:color w:val="000000"/>
          <w:sz w:val="24"/>
          <w:szCs w:val="24"/>
        </w:rPr>
        <w:tab/>
      </w:r>
      <w:r w:rsidRPr="009F61D6">
        <w:rPr>
          <w:color w:val="000000"/>
          <w:sz w:val="24"/>
          <w:szCs w:val="24"/>
        </w:rPr>
        <w:t>The classic case where a Sanderson or Bullock order is made is where the unsuccessful defendant blames the successful defendant and causes the plaintiff either to join the successful defendant or to continue the proceedings against the successful defendant.</w:t>
      </w:r>
      <w:r w:rsidR="00076AAA" w:rsidRPr="009F61D6">
        <w:rPr>
          <w:color w:val="000000"/>
          <w:sz w:val="24"/>
          <w:szCs w:val="24"/>
        </w:rPr>
        <w:t xml:space="preserve"> </w:t>
      </w:r>
      <w:r w:rsidRPr="009F61D6">
        <w:rPr>
          <w:color w:val="000000"/>
          <w:sz w:val="24"/>
          <w:szCs w:val="24"/>
        </w:rPr>
        <w:t xml:space="preserve"> However, even absent such circumstances, it may be reasonable for the </w:t>
      </w:r>
      <w:r w:rsidR="005B5075" w:rsidRPr="009F61D6">
        <w:rPr>
          <w:color w:val="000000"/>
          <w:sz w:val="24"/>
          <w:szCs w:val="24"/>
        </w:rPr>
        <w:t xml:space="preserve">plaintiff to join the </w:t>
      </w:r>
      <w:r w:rsidRPr="009F61D6">
        <w:rPr>
          <w:color w:val="000000"/>
          <w:sz w:val="24"/>
          <w:szCs w:val="24"/>
        </w:rPr>
        <w:t xml:space="preserve">successful defendant, in cases where the plaintiff is faced with a denial of liability by the unsuccessful defendant and the real risk that the unsuccessful defendant may either be absolved from liability or unable to satisfy any judgment that may be obtained against him. </w:t>
      </w:r>
      <w:r w:rsidR="00076AAA" w:rsidRPr="009F61D6">
        <w:rPr>
          <w:color w:val="000000"/>
          <w:sz w:val="24"/>
          <w:szCs w:val="24"/>
        </w:rPr>
        <w:t xml:space="preserve"> </w:t>
      </w:r>
      <w:r w:rsidRPr="009F61D6">
        <w:rPr>
          <w:color w:val="000000"/>
          <w:sz w:val="24"/>
          <w:szCs w:val="24"/>
        </w:rPr>
        <w:t xml:space="preserve">In such circumstances, if the plaintiff is in possession of evidence that can implicate the successful defendant, evidence that is neither tenuous nor speculative nor far-fetched, it would be reasonable for the plaintiff to join or to proceed against the successful defendant and the court, at the conclusion of such a case, may, in the exercise of its discretion over costs, make a Sanderson or Bullock order. </w:t>
      </w:r>
      <w:r w:rsidR="00076AAA" w:rsidRPr="009F61D6">
        <w:rPr>
          <w:color w:val="000000"/>
          <w:sz w:val="24"/>
          <w:szCs w:val="24"/>
        </w:rPr>
        <w:t xml:space="preserve"> </w:t>
      </w:r>
    </w:p>
    <w:p w:rsidR="008E21F3" w:rsidRPr="009F61D6" w:rsidRDefault="008E21F3" w:rsidP="00076AAA">
      <w:pPr>
        <w:pStyle w:val="ListParagraph"/>
        <w:tabs>
          <w:tab w:val="clear" w:pos="4320"/>
          <w:tab w:val="clear" w:pos="9072"/>
        </w:tabs>
        <w:ind w:left="1440" w:right="746"/>
        <w:jc w:val="both"/>
        <w:rPr>
          <w:color w:val="000000"/>
          <w:sz w:val="24"/>
          <w:szCs w:val="24"/>
        </w:rPr>
      </w:pPr>
    </w:p>
    <w:p w:rsidR="00076AAA" w:rsidRPr="009F61D6" w:rsidRDefault="009F61D6" w:rsidP="00076AAA">
      <w:pPr>
        <w:pStyle w:val="ListParagraph"/>
        <w:tabs>
          <w:tab w:val="clear" w:pos="4320"/>
          <w:tab w:val="clear" w:pos="9072"/>
        </w:tabs>
        <w:ind w:left="1440" w:right="746"/>
        <w:jc w:val="both"/>
        <w:rPr>
          <w:color w:val="000000"/>
          <w:sz w:val="24"/>
          <w:szCs w:val="24"/>
        </w:rPr>
      </w:pPr>
      <w:r>
        <w:rPr>
          <w:color w:val="000000"/>
          <w:sz w:val="24"/>
          <w:szCs w:val="24"/>
        </w:rPr>
        <w:t>7.</w:t>
      </w:r>
      <w:r>
        <w:rPr>
          <w:color w:val="000000"/>
          <w:sz w:val="24"/>
          <w:szCs w:val="24"/>
        </w:rPr>
        <w:tab/>
      </w:r>
      <w:r>
        <w:rPr>
          <w:color w:val="000000"/>
          <w:sz w:val="24"/>
          <w:szCs w:val="24"/>
        </w:rPr>
        <w:tab/>
      </w:r>
      <w:r w:rsidR="00791E9C" w:rsidRPr="009F61D6">
        <w:rPr>
          <w:color w:val="000000"/>
          <w:sz w:val="24"/>
          <w:szCs w:val="24"/>
        </w:rPr>
        <w:t>In the context of actions in tort, it does not matter that the claim against the successful defendant was not made in the alternative but was a separate and independent cause of action.</w:t>
      </w:r>
      <w:r w:rsidR="00076AAA" w:rsidRPr="009F61D6">
        <w:rPr>
          <w:color w:val="000000"/>
          <w:sz w:val="24"/>
          <w:szCs w:val="24"/>
        </w:rPr>
        <w:t xml:space="preserve"> </w:t>
      </w:r>
      <w:r w:rsidR="00791E9C" w:rsidRPr="009F61D6">
        <w:rPr>
          <w:color w:val="000000"/>
          <w:sz w:val="24"/>
          <w:szCs w:val="24"/>
        </w:rPr>
        <w:t xml:space="preserve"> Although a Sanderson or Bullock order is unlikely to be made in a case of successive and unrelated torts by different tortfeasors causing different damage, whether tortfeasors jointly caused the same damage or whether they separately caused different damage or only one of them caused the damage may only be known after a final determination by court. </w:t>
      </w:r>
      <w:r w:rsidR="00076AAA" w:rsidRPr="009F61D6">
        <w:rPr>
          <w:color w:val="000000"/>
          <w:sz w:val="24"/>
          <w:szCs w:val="24"/>
        </w:rPr>
        <w:t xml:space="preserve"> </w:t>
      </w:r>
      <w:r w:rsidR="00791E9C" w:rsidRPr="009F61D6">
        <w:rPr>
          <w:color w:val="000000"/>
          <w:sz w:val="24"/>
          <w:szCs w:val="24"/>
        </w:rPr>
        <w:t>In exercising its discretion whether or not to make a Sanderson or Bullock order, the court would have regard to all the circumstances of the case and the state of the evidence to determine whether or not it was reasonable for the plaintiff to pursue the successful defendant.</w:t>
      </w:r>
      <w:r w:rsidR="00076AAA" w:rsidRPr="009F61D6">
        <w:rPr>
          <w:color w:val="000000"/>
          <w:sz w:val="24"/>
          <w:szCs w:val="24"/>
        </w:rPr>
        <w:t xml:space="preserve"> </w:t>
      </w:r>
      <w:r w:rsidR="00791E9C" w:rsidRPr="009F61D6">
        <w:rPr>
          <w:color w:val="000000"/>
          <w:sz w:val="24"/>
          <w:szCs w:val="24"/>
        </w:rPr>
        <w:t xml:space="preserve"> In making its decision, the court must be careful not to lose sight of the uncertainties surrounding the case before its conclusion (per Bokhary J., as he then was, in </w:t>
      </w:r>
      <w:r w:rsidR="00791E9C" w:rsidRPr="009F61D6">
        <w:rPr>
          <w:i/>
          <w:color w:val="000000"/>
          <w:sz w:val="24"/>
          <w:szCs w:val="24"/>
        </w:rPr>
        <w:t>Lee Lai Ha &amp; Anor. v. Hong Sau Ling &amp; Anor.</w:t>
      </w:r>
      <w:r w:rsidR="00791E9C" w:rsidRPr="009F61D6">
        <w:rPr>
          <w:color w:val="000000"/>
          <w:sz w:val="24"/>
          <w:szCs w:val="24"/>
        </w:rPr>
        <w:t> [1993] 1 HKLR 86)”.</w:t>
      </w:r>
    </w:p>
    <w:p w:rsidR="00076AAA" w:rsidRPr="009F61D6" w:rsidRDefault="00076AAA" w:rsidP="00076AAA">
      <w:pPr>
        <w:tabs>
          <w:tab w:val="clear" w:pos="4320"/>
          <w:tab w:val="clear" w:pos="9072"/>
        </w:tabs>
        <w:ind w:right="746"/>
        <w:jc w:val="both"/>
      </w:pPr>
    </w:p>
    <w:p w:rsidR="00973DB1" w:rsidRPr="009F61D6" w:rsidRDefault="0003309A" w:rsidP="00870DF6">
      <w:pPr>
        <w:pStyle w:val="ListParagraph"/>
        <w:numPr>
          <w:ilvl w:val="0"/>
          <w:numId w:val="2"/>
        </w:numPr>
        <w:tabs>
          <w:tab w:val="clear" w:pos="4320"/>
          <w:tab w:val="clear" w:pos="9072"/>
        </w:tabs>
        <w:spacing w:line="360" w:lineRule="auto"/>
        <w:ind w:left="0" w:firstLine="0"/>
        <w:jc w:val="both"/>
      </w:pPr>
      <w:r>
        <w:rPr>
          <w:lang w:val="en-HK" w:eastAsia="zh-TW"/>
        </w:rPr>
        <w:t>In a nutshell</w:t>
      </w:r>
      <w:r w:rsidR="00791E9C" w:rsidRPr="009F61D6">
        <w:rPr>
          <w:lang w:val="en-HK" w:eastAsia="zh-TW"/>
        </w:rPr>
        <w:t>, the court should consider whether it is reasonable to join the successful defendants, and whether the unsuccessful defendant blames the successful defendant.</w:t>
      </w:r>
    </w:p>
    <w:p w:rsidR="00973DB1" w:rsidRPr="009F61D6" w:rsidRDefault="00973DB1" w:rsidP="00973DB1">
      <w:pPr>
        <w:tabs>
          <w:tab w:val="clear" w:pos="4320"/>
          <w:tab w:val="clear" w:pos="9072"/>
        </w:tabs>
        <w:spacing w:line="360" w:lineRule="auto"/>
        <w:jc w:val="both"/>
      </w:pPr>
    </w:p>
    <w:p w:rsidR="00973DB1" w:rsidRPr="009F61D6" w:rsidRDefault="00973DB1" w:rsidP="00973DB1">
      <w:pPr>
        <w:tabs>
          <w:tab w:val="clear" w:pos="4320"/>
          <w:tab w:val="clear" w:pos="9072"/>
        </w:tabs>
        <w:spacing w:line="360" w:lineRule="auto"/>
        <w:jc w:val="both"/>
        <w:rPr>
          <w:i/>
          <w:lang w:eastAsia="en-US"/>
        </w:rPr>
      </w:pPr>
      <w:r w:rsidRPr="009F61D6">
        <w:rPr>
          <w:i/>
          <w:lang w:eastAsia="en-US"/>
        </w:rPr>
        <w:t>Discussion and analysis</w:t>
      </w:r>
    </w:p>
    <w:p w:rsidR="00973DB1" w:rsidRPr="009F61D6" w:rsidRDefault="00973DB1" w:rsidP="00973DB1">
      <w:pPr>
        <w:tabs>
          <w:tab w:val="clear" w:pos="4320"/>
          <w:tab w:val="clear" w:pos="9072"/>
        </w:tabs>
        <w:spacing w:line="360" w:lineRule="auto"/>
        <w:jc w:val="both"/>
        <w:rPr>
          <w:i/>
          <w:lang w:eastAsia="en-US"/>
        </w:rPr>
      </w:pPr>
    </w:p>
    <w:p w:rsidR="00973DB1" w:rsidRPr="009F61D6" w:rsidRDefault="00791E9C" w:rsidP="00870DF6">
      <w:pPr>
        <w:pStyle w:val="ListParagraph"/>
        <w:numPr>
          <w:ilvl w:val="0"/>
          <w:numId w:val="2"/>
        </w:numPr>
        <w:tabs>
          <w:tab w:val="clear" w:pos="4320"/>
          <w:tab w:val="clear" w:pos="9072"/>
        </w:tabs>
        <w:spacing w:line="360" w:lineRule="auto"/>
        <w:ind w:left="0" w:firstLine="0"/>
        <w:jc w:val="both"/>
      </w:pPr>
      <w:r w:rsidRPr="009F61D6">
        <w:rPr>
          <w:lang w:eastAsia="en-US"/>
        </w:rPr>
        <w:t>I agree with Mr Lim’s submission that it is reasonable to join the 1</w:t>
      </w:r>
      <w:r w:rsidRPr="009F61D6">
        <w:rPr>
          <w:vertAlign w:val="superscript"/>
          <w:lang w:eastAsia="en-US"/>
        </w:rPr>
        <w:t>st</w:t>
      </w:r>
      <w:r w:rsidRPr="009F61D6">
        <w:rPr>
          <w:lang w:eastAsia="en-US"/>
        </w:rPr>
        <w:t xml:space="preserve"> and the 2</w:t>
      </w:r>
      <w:r w:rsidRPr="009F61D6">
        <w:rPr>
          <w:vertAlign w:val="superscript"/>
          <w:lang w:eastAsia="en-US"/>
        </w:rPr>
        <w:t>nd</w:t>
      </w:r>
      <w:r w:rsidRPr="009F61D6">
        <w:rPr>
          <w:lang w:eastAsia="en-US"/>
        </w:rPr>
        <w:t xml:space="preserve"> defendants. </w:t>
      </w:r>
      <w:r w:rsidR="00076AAA" w:rsidRPr="009F61D6">
        <w:rPr>
          <w:lang w:eastAsia="en-US"/>
        </w:rPr>
        <w:t xml:space="preserve"> </w:t>
      </w:r>
      <w:r w:rsidRPr="009F61D6">
        <w:rPr>
          <w:lang w:eastAsia="en-US"/>
        </w:rPr>
        <w:t xml:space="preserve">It is my finding that the plaintiff fell because he stepped on pork residues. </w:t>
      </w:r>
      <w:r w:rsidR="00076AAA" w:rsidRPr="009F61D6">
        <w:rPr>
          <w:lang w:eastAsia="en-US"/>
        </w:rPr>
        <w:t xml:space="preserve"> </w:t>
      </w:r>
      <w:r w:rsidRPr="009F61D6">
        <w:rPr>
          <w:lang w:eastAsia="en-US"/>
        </w:rPr>
        <w:t>The pork residues were left on the passageway by the staff of the 3</w:t>
      </w:r>
      <w:r w:rsidRPr="009F61D6">
        <w:rPr>
          <w:vertAlign w:val="superscript"/>
          <w:lang w:eastAsia="en-US"/>
        </w:rPr>
        <w:t>rd</w:t>
      </w:r>
      <w:r w:rsidRPr="009F61D6">
        <w:rPr>
          <w:lang w:eastAsia="en-US"/>
        </w:rPr>
        <w:t xml:space="preserve"> defendant. </w:t>
      </w:r>
      <w:r w:rsidR="00076AAA" w:rsidRPr="009F61D6">
        <w:rPr>
          <w:lang w:eastAsia="en-US"/>
        </w:rPr>
        <w:t xml:space="preserve"> </w:t>
      </w:r>
      <w:r w:rsidR="008E21F3" w:rsidRPr="009F61D6">
        <w:rPr>
          <w:lang w:eastAsia="en-US"/>
        </w:rPr>
        <w:t xml:space="preserve">The wet floor also contributed to the slippery floor and the fall of the plaintiff.  </w:t>
      </w:r>
      <w:r w:rsidRPr="009F61D6">
        <w:rPr>
          <w:lang w:eastAsia="en-US"/>
        </w:rPr>
        <w:t>For the purpose of this application, we shall proceed on the basis that it is the finding of the court that the plaintiff saw the pork residues bounced off from the pork and scattered on the floor of the Market while the worker of the 3</w:t>
      </w:r>
      <w:r w:rsidRPr="009F61D6">
        <w:rPr>
          <w:vertAlign w:val="superscript"/>
          <w:lang w:eastAsia="en-US"/>
        </w:rPr>
        <w:t>rd</w:t>
      </w:r>
      <w:r w:rsidRPr="009F61D6">
        <w:rPr>
          <w:lang w:eastAsia="en-US"/>
        </w:rPr>
        <w:t xml:space="preserve"> defendant was chopping the pork. </w:t>
      </w:r>
      <w:r w:rsidR="00076AAA" w:rsidRPr="009F61D6">
        <w:rPr>
          <w:lang w:eastAsia="en-US"/>
        </w:rPr>
        <w:t xml:space="preserve"> </w:t>
      </w:r>
      <w:r w:rsidRPr="009F61D6">
        <w:rPr>
          <w:lang w:eastAsia="en-US"/>
        </w:rPr>
        <w:t xml:space="preserve">In the present case, it was alleged that the floor of the Market was </w:t>
      </w:r>
      <w:r w:rsidR="008E21F3" w:rsidRPr="009F61D6">
        <w:rPr>
          <w:lang w:eastAsia="en-US"/>
        </w:rPr>
        <w:t xml:space="preserve">wet and </w:t>
      </w:r>
      <w:r w:rsidRPr="009F61D6">
        <w:rPr>
          <w:lang w:eastAsia="en-US"/>
        </w:rPr>
        <w:t xml:space="preserve">not clean. </w:t>
      </w:r>
      <w:r w:rsidR="00973DB1" w:rsidRPr="009F61D6">
        <w:rPr>
          <w:lang w:eastAsia="en-US"/>
        </w:rPr>
        <w:t xml:space="preserve"> </w:t>
      </w:r>
      <w:r w:rsidRPr="009F61D6">
        <w:rPr>
          <w:lang w:eastAsia="en-US"/>
        </w:rPr>
        <w:t>The negligence of the 3</w:t>
      </w:r>
      <w:r w:rsidRPr="009F61D6">
        <w:rPr>
          <w:vertAlign w:val="superscript"/>
          <w:lang w:eastAsia="en-US"/>
        </w:rPr>
        <w:t>rd</w:t>
      </w:r>
      <w:r w:rsidRPr="009F61D6">
        <w:rPr>
          <w:lang w:eastAsia="en-US"/>
        </w:rPr>
        <w:t xml:space="preserve"> defendant does not mean that the 1</w:t>
      </w:r>
      <w:r w:rsidRPr="009F61D6">
        <w:rPr>
          <w:vertAlign w:val="superscript"/>
          <w:lang w:eastAsia="en-US"/>
        </w:rPr>
        <w:t>st</w:t>
      </w:r>
      <w:r w:rsidRPr="009F61D6">
        <w:rPr>
          <w:lang w:eastAsia="en-US"/>
        </w:rPr>
        <w:t xml:space="preserve"> and the 2</w:t>
      </w:r>
      <w:r w:rsidRPr="009F61D6">
        <w:rPr>
          <w:vertAlign w:val="superscript"/>
          <w:lang w:eastAsia="en-US"/>
        </w:rPr>
        <w:t>nd</w:t>
      </w:r>
      <w:r w:rsidRPr="009F61D6">
        <w:rPr>
          <w:lang w:eastAsia="en-US"/>
        </w:rPr>
        <w:t xml:space="preserve"> defendants </w:t>
      </w:r>
      <w:r w:rsidR="008E21F3" w:rsidRPr="009F61D6">
        <w:rPr>
          <w:lang w:eastAsia="en-US"/>
        </w:rPr>
        <w:t>will</w:t>
      </w:r>
      <w:r w:rsidRPr="009F61D6">
        <w:rPr>
          <w:lang w:eastAsia="en-US"/>
        </w:rPr>
        <w:t xml:space="preserve"> not </w:t>
      </w:r>
      <w:r w:rsidR="008E21F3" w:rsidRPr="009F61D6">
        <w:rPr>
          <w:lang w:eastAsia="en-US"/>
        </w:rPr>
        <w:t xml:space="preserve">be </w:t>
      </w:r>
      <w:r w:rsidRPr="009F61D6">
        <w:rPr>
          <w:lang w:eastAsia="en-US"/>
        </w:rPr>
        <w:t xml:space="preserve">liable. </w:t>
      </w:r>
      <w:r w:rsidR="00973DB1" w:rsidRPr="009F61D6">
        <w:rPr>
          <w:lang w:eastAsia="en-US"/>
        </w:rPr>
        <w:t xml:space="preserve"> </w:t>
      </w:r>
      <w:r w:rsidRPr="009F61D6">
        <w:rPr>
          <w:lang w:eastAsia="en-US"/>
        </w:rPr>
        <w:t xml:space="preserve">The finding that the plaintiff saw the disposal of the pork residues is only one of the factors to be considered. </w:t>
      </w:r>
      <w:r w:rsidR="00973DB1" w:rsidRPr="009F61D6">
        <w:rPr>
          <w:lang w:eastAsia="en-US"/>
        </w:rPr>
        <w:t xml:space="preserve"> </w:t>
      </w:r>
      <w:r w:rsidRPr="009F61D6">
        <w:rPr>
          <w:lang w:eastAsia="en-US"/>
        </w:rPr>
        <w:t xml:space="preserve">The wet floor </w:t>
      </w:r>
      <w:r w:rsidR="008E21F3" w:rsidRPr="009F61D6">
        <w:rPr>
          <w:lang w:eastAsia="en-US"/>
        </w:rPr>
        <w:t xml:space="preserve">was also </w:t>
      </w:r>
      <w:r w:rsidRPr="009F61D6">
        <w:rPr>
          <w:lang w:eastAsia="en-US"/>
        </w:rPr>
        <w:t xml:space="preserve">one of the factors that contributed to the Accident of the plaintiff. </w:t>
      </w:r>
      <w:r w:rsidR="00973DB1" w:rsidRPr="009F61D6">
        <w:rPr>
          <w:lang w:eastAsia="en-US"/>
        </w:rPr>
        <w:t xml:space="preserve"> </w:t>
      </w:r>
      <w:r w:rsidRPr="009F61D6">
        <w:rPr>
          <w:lang w:eastAsia="en-US"/>
        </w:rPr>
        <w:t>It is reasonable in the circumstances to join the 1</w:t>
      </w:r>
      <w:r w:rsidRPr="009F61D6">
        <w:rPr>
          <w:vertAlign w:val="superscript"/>
          <w:lang w:eastAsia="en-US"/>
        </w:rPr>
        <w:t>st</w:t>
      </w:r>
      <w:r w:rsidRPr="009F61D6">
        <w:rPr>
          <w:lang w:eastAsia="en-US"/>
        </w:rPr>
        <w:t xml:space="preserve"> and the 2</w:t>
      </w:r>
      <w:r w:rsidRPr="009F61D6">
        <w:rPr>
          <w:vertAlign w:val="superscript"/>
          <w:lang w:eastAsia="en-US"/>
        </w:rPr>
        <w:t>nd</w:t>
      </w:r>
      <w:r w:rsidRPr="009F61D6">
        <w:rPr>
          <w:lang w:eastAsia="en-US"/>
        </w:rPr>
        <w:t xml:space="preserve"> defendants. </w:t>
      </w:r>
    </w:p>
    <w:p w:rsidR="00973DB1" w:rsidRPr="009F61D6" w:rsidRDefault="00973DB1" w:rsidP="00973DB1">
      <w:pPr>
        <w:pStyle w:val="ListParagraph"/>
        <w:tabs>
          <w:tab w:val="clear" w:pos="4320"/>
          <w:tab w:val="clear" w:pos="9072"/>
        </w:tabs>
        <w:spacing w:line="360" w:lineRule="auto"/>
        <w:ind w:left="0"/>
        <w:jc w:val="both"/>
      </w:pPr>
    </w:p>
    <w:p w:rsidR="00125A35" w:rsidRPr="00125A35" w:rsidRDefault="00791E9C" w:rsidP="00125A35">
      <w:pPr>
        <w:pStyle w:val="ListParagraph"/>
        <w:numPr>
          <w:ilvl w:val="0"/>
          <w:numId w:val="2"/>
        </w:numPr>
        <w:tabs>
          <w:tab w:val="clear" w:pos="4320"/>
          <w:tab w:val="clear" w:pos="9072"/>
        </w:tabs>
        <w:spacing w:line="360" w:lineRule="auto"/>
        <w:ind w:left="0" w:firstLine="0"/>
        <w:jc w:val="both"/>
      </w:pPr>
      <w:r w:rsidRPr="009F61D6">
        <w:rPr>
          <w:lang w:eastAsia="en-US"/>
        </w:rPr>
        <w:t>The 3</w:t>
      </w:r>
      <w:r w:rsidRPr="009F61D6">
        <w:rPr>
          <w:vertAlign w:val="superscript"/>
          <w:lang w:eastAsia="en-US"/>
        </w:rPr>
        <w:t>rd</w:t>
      </w:r>
      <w:r w:rsidRPr="009F61D6">
        <w:rPr>
          <w:lang w:eastAsia="en-US"/>
        </w:rPr>
        <w:t xml:space="preserve"> defendant did try to shift the blame to the 1</w:t>
      </w:r>
      <w:r w:rsidRPr="009F61D6">
        <w:rPr>
          <w:vertAlign w:val="superscript"/>
          <w:lang w:eastAsia="en-US"/>
        </w:rPr>
        <w:t>st</w:t>
      </w:r>
      <w:r w:rsidRPr="009F61D6">
        <w:rPr>
          <w:lang w:eastAsia="en-US"/>
        </w:rPr>
        <w:t xml:space="preserve"> and the 2</w:t>
      </w:r>
      <w:r w:rsidRPr="009F61D6">
        <w:rPr>
          <w:vertAlign w:val="superscript"/>
          <w:lang w:eastAsia="en-US"/>
        </w:rPr>
        <w:t>nd</w:t>
      </w:r>
      <w:r w:rsidRPr="009F61D6">
        <w:rPr>
          <w:lang w:eastAsia="en-US"/>
        </w:rPr>
        <w:t xml:space="preserve"> defendants in the trial. </w:t>
      </w:r>
      <w:r w:rsidR="00973DB1" w:rsidRPr="009F61D6">
        <w:rPr>
          <w:lang w:eastAsia="en-US"/>
        </w:rPr>
        <w:t xml:space="preserve"> </w:t>
      </w:r>
      <w:r w:rsidRPr="009F61D6">
        <w:rPr>
          <w:lang w:eastAsia="en-US"/>
        </w:rPr>
        <w:t>Mr Ch</w:t>
      </w:r>
      <w:r w:rsidR="002877C7" w:rsidRPr="009F61D6">
        <w:rPr>
          <w:lang w:eastAsia="en-US"/>
        </w:rPr>
        <w:t>an, counsel for the 3</w:t>
      </w:r>
      <w:r w:rsidR="002877C7" w:rsidRPr="009F61D6">
        <w:rPr>
          <w:vertAlign w:val="superscript"/>
          <w:lang w:eastAsia="en-US"/>
        </w:rPr>
        <w:t>rd</w:t>
      </w:r>
      <w:r w:rsidR="002877C7" w:rsidRPr="009F61D6">
        <w:rPr>
          <w:lang w:eastAsia="en-US"/>
        </w:rPr>
        <w:t xml:space="preserve"> </w:t>
      </w:r>
      <w:r w:rsidRPr="009F61D6">
        <w:rPr>
          <w:lang w:eastAsia="en-US"/>
        </w:rPr>
        <w:t>defendant at the trial, suggested that the design of the Stall was at fault and the pork residue</w:t>
      </w:r>
      <w:r w:rsidR="005B5075" w:rsidRPr="009F61D6">
        <w:rPr>
          <w:lang w:eastAsia="en-US"/>
        </w:rPr>
        <w:t>s</w:t>
      </w:r>
      <w:r w:rsidRPr="009F61D6">
        <w:rPr>
          <w:lang w:eastAsia="en-US"/>
        </w:rPr>
        <w:t xml:space="preserve"> might have been left there by other stalls.</w:t>
      </w:r>
      <w:r w:rsidRPr="009F61D6">
        <w:rPr>
          <w:lang w:val="en-HK" w:eastAsia="zh-TW"/>
        </w:rPr>
        <w:t xml:space="preserve"> </w:t>
      </w:r>
      <w:r w:rsidR="00973DB1" w:rsidRPr="009F61D6">
        <w:rPr>
          <w:lang w:val="en-HK" w:eastAsia="zh-TW"/>
        </w:rPr>
        <w:t xml:space="preserve"> </w:t>
      </w:r>
      <w:r w:rsidRPr="009F61D6">
        <w:rPr>
          <w:lang w:val="en-HK" w:eastAsia="zh-TW"/>
        </w:rPr>
        <w:t xml:space="preserve">In paragraph 27(4) of the </w:t>
      </w:r>
      <w:r w:rsidR="00973DB1" w:rsidRPr="009F61D6">
        <w:rPr>
          <w:lang w:val="en-HK" w:eastAsia="zh-TW"/>
        </w:rPr>
        <w:t>c</w:t>
      </w:r>
      <w:r w:rsidRPr="009F61D6">
        <w:rPr>
          <w:lang w:val="en-HK" w:eastAsia="zh-TW"/>
        </w:rPr>
        <w:t xml:space="preserve">losing </w:t>
      </w:r>
      <w:r w:rsidR="00973DB1" w:rsidRPr="009F61D6">
        <w:rPr>
          <w:lang w:val="en-HK" w:eastAsia="zh-TW"/>
        </w:rPr>
        <w:t>s</w:t>
      </w:r>
      <w:r w:rsidRPr="009F61D6">
        <w:rPr>
          <w:lang w:val="en-HK" w:eastAsia="zh-TW"/>
        </w:rPr>
        <w:t xml:space="preserve">ubmissions, Mr Chan submitted that “the </w:t>
      </w:r>
      <w:r w:rsidR="008E21F3" w:rsidRPr="009F61D6">
        <w:rPr>
          <w:lang w:val="en-HK" w:eastAsia="zh-TW"/>
        </w:rPr>
        <w:t>p</w:t>
      </w:r>
      <w:r w:rsidRPr="009F61D6">
        <w:rPr>
          <w:lang w:val="en-HK" w:eastAsia="zh-TW"/>
        </w:rPr>
        <w:t xml:space="preserve">ork </w:t>
      </w:r>
      <w:r w:rsidR="008E21F3" w:rsidRPr="009F61D6">
        <w:rPr>
          <w:lang w:val="en-HK" w:eastAsia="zh-TW"/>
        </w:rPr>
        <w:t>s</w:t>
      </w:r>
      <w:r w:rsidRPr="009F61D6">
        <w:rPr>
          <w:lang w:val="en-HK" w:eastAsia="zh-TW"/>
        </w:rPr>
        <w:t>ubstances could have been discarded by other parties:</w:t>
      </w:r>
      <w:r w:rsidR="00E97D01" w:rsidRPr="009F61D6">
        <w:rPr>
          <w:lang w:val="en-HK" w:eastAsia="zh-TW"/>
        </w:rPr>
        <w:t>-</w:t>
      </w:r>
    </w:p>
    <w:p w:rsidR="00125A35" w:rsidRPr="00125A35" w:rsidRDefault="00125A35" w:rsidP="00125A35">
      <w:pPr>
        <w:pStyle w:val="ListParagraph"/>
        <w:tabs>
          <w:tab w:val="clear" w:pos="4320"/>
          <w:tab w:val="clear" w:pos="9072"/>
        </w:tabs>
        <w:spacing w:line="360" w:lineRule="auto"/>
        <w:ind w:left="0"/>
        <w:jc w:val="both"/>
      </w:pPr>
    </w:p>
    <w:tbl>
      <w:tblPr>
        <w:tblW w:w="0" w:type="auto"/>
        <w:tblLook w:val="04A0" w:firstRow="1" w:lastRow="0" w:firstColumn="1" w:lastColumn="0" w:noHBand="0" w:noVBand="1"/>
      </w:tblPr>
      <w:tblGrid>
        <w:gridCol w:w="1458"/>
        <w:gridCol w:w="720"/>
        <w:gridCol w:w="5580"/>
      </w:tblGrid>
      <w:tr w:rsidR="00125A35" w:rsidRPr="00AD0F54" w:rsidTr="00BE6155">
        <w:tc>
          <w:tcPr>
            <w:tcW w:w="1458" w:type="dxa"/>
            <w:shd w:val="clear" w:color="auto" w:fill="auto"/>
          </w:tcPr>
          <w:p w:rsidR="00125A35" w:rsidRPr="00AD0F54" w:rsidRDefault="00125A35" w:rsidP="00BE6155">
            <w:pPr>
              <w:tabs>
                <w:tab w:val="clear" w:pos="4320"/>
                <w:tab w:val="clear" w:pos="9072"/>
              </w:tabs>
              <w:jc w:val="both"/>
              <w:rPr>
                <w:sz w:val="24"/>
                <w:szCs w:val="24"/>
                <w:lang w:val="en-HK"/>
              </w:rPr>
            </w:pPr>
          </w:p>
        </w:tc>
        <w:tc>
          <w:tcPr>
            <w:tcW w:w="720" w:type="dxa"/>
            <w:shd w:val="clear" w:color="auto" w:fill="auto"/>
          </w:tcPr>
          <w:p w:rsidR="00125A35" w:rsidRPr="00AD0F54" w:rsidRDefault="00125A35" w:rsidP="00BE6155">
            <w:pPr>
              <w:tabs>
                <w:tab w:val="clear" w:pos="4320"/>
                <w:tab w:val="clear" w:pos="9072"/>
              </w:tabs>
              <w:jc w:val="both"/>
              <w:rPr>
                <w:sz w:val="24"/>
                <w:szCs w:val="24"/>
                <w:lang w:val="en-HK"/>
              </w:rPr>
            </w:pPr>
            <w:r w:rsidRPr="00AD0F54">
              <w:rPr>
                <w:sz w:val="24"/>
                <w:szCs w:val="24"/>
                <w:lang w:val="en-HK"/>
              </w:rPr>
              <w:t>“(i)</w:t>
            </w:r>
          </w:p>
        </w:tc>
        <w:tc>
          <w:tcPr>
            <w:tcW w:w="5580" w:type="dxa"/>
            <w:shd w:val="clear" w:color="auto" w:fill="auto"/>
          </w:tcPr>
          <w:p w:rsidR="00125A35" w:rsidRPr="00AD0F54" w:rsidRDefault="00125A35" w:rsidP="00BE6155">
            <w:pPr>
              <w:tabs>
                <w:tab w:val="clear" w:pos="4320"/>
                <w:tab w:val="clear" w:pos="9072"/>
              </w:tabs>
              <w:jc w:val="both"/>
              <w:rPr>
                <w:sz w:val="24"/>
                <w:szCs w:val="24"/>
                <w:lang w:val="en-HK"/>
              </w:rPr>
            </w:pPr>
            <w:r w:rsidRPr="00AD0F54">
              <w:rPr>
                <w:sz w:val="24"/>
                <w:szCs w:val="24"/>
                <w:lang w:val="en-HK" w:eastAsia="zh-TW"/>
              </w:rPr>
              <w:t>The plaintiff admitted that the neighbouring stall 54A was a cooked food stall selling, inter alia, chicken feet and spare ribs rice (</w:t>
            </w:r>
            <w:r w:rsidRPr="00AD0F54">
              <w:rPr>
                <w:sz w:val="24"/>
                <w:szCs w:val="24"/>
                <w:lang w:val="en-HK" w:eastAsia="zh-TW"/>
              </w:rPr>
              <w:t>鳳爪排骨飯</w:t>
            </w:r>
            <w:r w:rsidRPr="00AD0F54">
              <w:rPr>
                <w:sz w:val="24"/>
                <w:szCs w:val="24"/>
                <w:lang w:val="en-HK" w:eastAsia="zh-TW"/>
              </w:rPr>
              <w:t>) and beef rice.  Mr Cheung added that minced lean meat would be sold to stall 54A, but the 3</w:t>
            </w:r>
            <w:r w:rsidRPr="00AD0F54">
              <w:rPr>
                <w:sz w:val="24"/>
                <w:szCs w:val="24"/>
                <w:vertAlign w:val="superscript"/>
                <w:lang w:val="en-HK" w:eastAsia="zh-TW"/>
              </w:rPr>
              <w:t>rd</w:t>
            </w:r>
            <w:r w:rsidRPr="00AD0F54">
              <w:rPr>
                <w:sz w:val="24"/>
                <w:szCs w:val="24"/>
                <w:lang w:val="en-HK" w:eastAsia="zh-TW"/>
              </w:rPr>
              <w:t xml:space="preserve"> defendant was not responsible for transferring the minced lean meat.</w:t>
            </w:r>
          </w:p>
        </w:tc>
      </w:tr>
      <w:tr w:rsidR="00125A35" w:rsidRPr="00AD0F54" w:rsidTr="00BE6155">
        <w:tc>
          <w:tcPr>
            <w:tcW w:w="1458" w:type="dxa"/>
            <w:shd w:val="clear" w:color="auto" w:fill="auto"/>
          </w:tcPr>
          <w:p w:rsidR="00125A35" w:rsidRPr="00AD0F54" w:rsidRDefault="00125A35" w:rsidP="00BE6155">
            <w:pPr>
              <w:tabs>
                <w:tab w:val="clear" w:pos="4320"/>
                <w:tab w:val="clear" w:pos="9072"/>
              </w:tabs>
              <w:jc w:val="both"/>
              <w:rPr>
                <w:sz w:val="24"/>
                <w:szCs w:val="24"/>
                <w:lang w:val="en-HK"/>
              </w:rPr>
            </w:pPr>
          </w:p>
        </w:tc>
        <w:tc>
          <w:tcPr>
            <w:tcW w:w="720" w:type="dxa"/>
            <w:shd w:val="clear" w:color="auto" w:fill="auto"/>
          </w:tcPr>
          <w:p w:rsidR="00125A35" w:rsidRPr="00AD0F54" w:rsidRDefault="00125A35" w:rsidP="00BE6155">
            <w:pPr>
              <w:tabs>
                <w:tab w:val="clear" w:pos="4320"/>
                <w:tab w:val="clear" w:pos="9072"/>
              </w:tabs>
              <w:jc w:val="both"/>
              <w:rPr>
                <w:sz w:val="24"/>
                <w:szCs w:val="24"/>
                <w:lang w:val="en-HK"/>
              </w:rPr>
            </w:pPr>
          </w:p>
        </w:tc>
        <w:tc>
          <w:tcPr>
            <w:tcW w:w="5580" w:type="dxa"/>
            <w:shd w:val="clear" w:color="auto" w:fill="auto"/>
          </w:tcPr>
          <w:p w:rsidR="00125A35" w:rsidRPr="00AD0F54" w:rsidRDefault="00125A35" w:rsidP="00BE6155">
            <w:pPr>
              <w:tabs>
                <w:tab w:val="clear" w:pos="4320"/>
                <w:tab w:val="clear" w:pos="9072"/>
              </w:tabs>
              <w:jc w:val="both"/>
              <w:rPr>
                <w:sz w:val="24"/>
                <w:szCs w:val="24"/>
                <w:lang w:val="en-HK"/>
              </w:rPr>
            </w:pPr>
          </w:p>
        </w:tc>
      </w:tr>
      <w:tr w:rsidR="00125A35" w:rsidRPr="00AD0F54" w:rsidTr="00BE6155">
        <w:tc>
          <w:tcPr>
            <w:tcW w:w="1458" w:type="dxa"/>
            <w:shd w:val="clear" w:color="auto" w:fill="auto"/>
          </w:tcPr>
          <w:p w:rsidR="00125A35" w:rsidRPr="00AD0F54" w:rsidRDefault="00125A35" w:rsidP="00BE6155">
            <w:pPr>
              <w:tabs>
                <w:tab w:val="clear" w:pos="4320"/>
                <w:tab w:val="clear" w:pos="9072"/>
              </w:tabs>
              <w:jc w:val="both"/>
              <w:rPr>
                <w:sz w:val="24"/>
                <w:szCs w:val="24"/>
                <w:lang w:val="en-HK"/>
              </w:rPr>
            </w:pPr>
          </w:p>
        </w:tc>
        <w:tc>
          <w:tcPr>
            <w:tcW w:w="720" w:type="dxa"/>
            <w:shd w:val="clear" w:color="auto" w:fill="auto"/>
          </w:tcPr>
          <w:p w:rsidR="00125A35" w:rsidRPr="00AD0F54" w:rsidRDefault="00125A35" w:rsidP="00BE6155">
            <w:pPr>
              <w:tabs>
                <w:tab w:val="clear" w:pos="4320"/>
                <w:tab w:val="clear" w:pos="9072"/>
              </w:tabs>
              <w:jc w:val="both"/>
              <w:rPr>
                <w:sz w:val="24"/>
                <w:szCs w:val="24"/>
                <w:lang w:val="en-HK"/>
              </w:rPr>
            </w:pPr>
            <w:r w:rsidRPr="00AD0F54">
              <w:rPr>
                <w:sz w:val="24"/>
                <w:szCs w:val="24"/>
                <w:lang w:val="en-HK"/>
              </w:rPr>
              <w:t>(ii)</w:t>
            </w:r>
          </w:p>
        </w:tc>
        <w:tc>
          <w:tcPr>
            <w:tcW w:w="5580" w:type="dxa"/>
            <w:shd w:val="clear" w:color="auto" w:fill="auto"/>
          </w:tcPr>
          <w:p w:rsidR="00125A35" w:rsidRPr="00AD0F54" w:rsidRDefault="00125A35" w:rsidP="00BE6155">
            <w:pPr>
              <w:tabs>
                <w:tab w:val="clear" w:pos="4320"/>
                <w:tab w:val="clear" w:pos="9072"/>
              </w:tabs>
              <w:jc w:val="both"/>
              <w:rPr>
                <w:sz w:val="24"/>
                <w:szCs w:val="24"/>
                <w:lang w:val="en-HK"/>
              </w:rPr>
            </w:pPr>
            <w:r w:rsidRPr="00AD0F54">
              <w:rPr>
                <w:sz w:val="24"/>
                <w:szCs w:val="24"/>
                <w:lang w:val="en-HK" w:eastAsia="zh-TW"/>
              </w:rPr>
              <w:t>Mr Cheung gave evidence the lard company would pick up pork waste from the Stall with a trolley from time to time.”</w:t>
            </w:r>
          </w:p>
        </w:tc>
      </w:tr>
    </w:tbl>
    <w:p w:rsidR="00125A35" w:rsidRDefault="00125A35" w:rsidP="00D82412">
      <w:pPr>
        <w:pStyle w:val="ListParagraph"/>
        <w:spacing w:line="360" w:lineRule="auto"/>
      </w:pPr>
    </w:p>
    <w:p w:rsidR="00791E9C" w:rsidRPr="00125A35" w:rsidRDefault="00791E9C" w:rsidP="00D82412">
      <w:pPr>
        <w:pStyle w:val="ListParagraph"/>
        <w:numPr>
          <w:ilvl w:val="0"/>
          <w:numId w:val="2"/>
        </w:numPr>
        <w:tabs>
          <w:tab w:val="clear" w:pos="4320"/>
          <w:tab w:val="clear" w:pos="9072"/>
        </w:tabs>
        <w:spacing w:line="360" w:lineRule="auto"/>
        <w:ind w:left="0" w:firstLine="0"/>
        <w:jc w:val="both"/>
      </w:pPr>
      <w:r w:rsidRPr="00125A35">
        <w:rPr>
          <w:lang w:val="en-HK" w:eastAsia="zh-TW"/>
        </w:rPr>
        <w:t>The 3</w:t>
      </w:r>
      <w:r w:rsidRPr="00125A35">
        <w:rPr>
          <w:vertAlign w:val="superscript"/>
          <w:lang w:val="en-HK" w:eastAsia="zh-TW"/>
        </w:rPr>
        <w:t>rd</w:t>
      </w:r>
      <w:r w:rsidRPr="00125A35">
        <w:rPr>
          <w:lang w:val="en-HK" w:eastAsia="zh-TW"/>
        </w:rPr>
        <w:t xml:space="preserve"> defendant tried to shift the blame to the 2</w:t>
      </w:r>
      <w:r w:rsidRPr="00125A35">
        <w:rPr>
          <w:vertAlign w:val="superscript"/>
          <w:lang w:val="en-HK" w:eastAsia="zh-TW"/>
        </w:rPr>
        <w:t>nd</w:t>
      </w:r>
      <w:r w:rsidRPr="00125A35">
        <w:rPr>
          <w:lang w:val="en-HK" w:eastAsia="zh-TW"/>
        </w:rPr>
        <w:t xml:space="preserve"> defendant, the cleaning contractor. </w:t>
      </w:r>
    </w:p>
    <w:p w:rsidR="00125A35" w:rsidRPr="00125A35" w:rsidRDefault="00125A35" w:rsidP="00125A35">
      <w:pPr>
        <w:pStyle w:val="ListParagraph"/>
        <w:tabs>
          <w:tab w:val="clear" w:pos="4320"/>
          <w:tab w:val="clear" w:pos="9072"/>
        </w:tabs>
        <w:spacing w:line="360" w:lineRule="auto"/>
        <w:ind w:left="0"/>
        <w:jc w:val="both"/>
      </w:pPr>
    </w:p>
    <w:p w:rsidR="00791E9C" w:rsidRPr="00125A35" w:rsidRDefault="00791E9C" w:rsidP="00125A35">
      <w:pPr>
        <w:pStyle w:val="ListParagraph"/>
        <w:numPr>
          <w:ilvl w:val="0"/>
          <w:numId w:val="2"/>
        </w:numPr>
        <w:tabs>
          <w:tab w:val="clear" w:pos="4320"/>
          <w:tab w:val="clear" w:pos="9072"/>
        </w:tabs>
        <w:spacing w:line="360" w:lineRule="auto"/>
        <w:ind w:left="0" w:firstLine="0"/>
        <w:jc w:val="both"/>
      </w:pPr>
      <w:r w:rsidRPr="00125A35">
        <w:rPr>
          <w:lang w:val="en-HK" w:eastAsia="zh-TW"/>
        </w:rPr>
        <w:t>It is also noted that in the letter from Falcon Insurance Company (Hong Kong) Limited</w:t>
      </w:r>
      <w:r w:rsidR="00E97D01" w:rsidRPr="00125A35">
        <w:rPr>
          <w:lang w:val="en-HK" w:eastAsia="zh-TW"/>
        </w:rPr>
        <w:t xml:space="preserve"> </w:t>
      </w:r>
      <w:r w:rsidRPr="00125A35">
        <w:rPr>
          <w:lang w:val="en-HK" w:eastAsia="zh-TW"/>
        </w:rPr>
        <w:t>(“Falcon”), the insurer of the 3</w:t>
      </w:r>
      <w:r w:rsidRPr="00125A35">
        <w:rPr>
          <w:vertAlign w:val="superscript"/>
          <w:lang w:val="en-HK" w:eastAsia="zh-TW"/>
        </w:rPr>
        <w:t>rd</w:t>
      </w:r>
      <w:r w:rsidRPr="00125A35">
        <w:rPr>
          <w:lang w:val="en-HK" w:eastAsia="zh-TW"/>
        </w:rPr>
        <w:t xml:space="preserve"> defendant, to the plaintiff’s solicitors dated 17</w:t>
      </w:r>
      <w:r w:rsidR="00E97D01" w:rsidRPr="00125A35">
        <w:rPr>
          <w:lang w:val="en-HK" w:eastAsia="zh-TW"/>
        </w:rPr>
        <w:t xml:space="preserve"> January </w:t>
      </w:r>
      <w:r w:rsidRPr="00125A35">
        <w:rPr>
          <w:lang w:val="en-HK" w:eastAsia="zh-TW"/>
        </w:rPr>
        <w:t>2013, Falcon asked the plaintiff’s solicitors to provide documentary proof that the alleged place of accident was under the</w:t>
      </w:r>
      <w:r w:rsidR="008E21F3" w:rsidRPr="00125A35">
        <w:rPr>
          <w:lang w:val="en-HK" w:eastAsia="zh-TW"/>
        </w:rPr>
        <w:t xml:space="preserve"> control and management of the 3</w:t>
      </w:r>
      <w:r w:rsidR="008E21F3" w:rsidRPr="00125A35">
        <w:rPr>
          <w:vertAlign w:val="superscript"/>
          <w:lang w:val="en-HK" w:eastAsia="zh-TW"/>
        </w:rPr>
        <w:t>rd</w:t>
      </w:r>
      <w:r w:rsidR="008E21F3" w:rsidRPr="00125A35">
        <w:rPr>
          <w:lang w:val="en-HK" w:eastAsia="zh-TW"/>
        </w:rPr>
        <w:t xml:space="preserve"> </w:t>
      </w:r>
      <w:r w:rsidRPr="00125A35">
        <w:rPr>
          <w:lang w:val="en-HK" w:eastAsia="zh-TW"/>
        </w:rPr>
        <w:t xml:space="preserve">defendant. </w:t>
      </w:r>
      <w:r w:rsidR="00E97D01" w:rsidRPr="00125A35">
        <w:rPr>
          <w:lang w:val="en-HK" w:eastAsia="zh-TW"/>
        </w:rPr>
        <w:t xml:space="preserve"> </w:t>
      </w:r>
      <w:r w:rsidRPr="00125A35">
        <w:rPr>
          <w:lang w:val="en-HK" w:eastAsia="zh-TW"/>
        </w:rPr>
        <w:t>It implied that the person in control and management of the place, that is, the 1</w:t>
      </w:r>
      <w:r w:rsidRPr="00125A35">
        <w:rPr>
          <w:vertAlign w:val="superscript"/>
          <w:lang w:val="en-HK" w:eastAsia="zh-TW"/>
        </w:rPr>
        <w:t>st</w:t>
      </w:r>
      <w:r w:rsidRPr="00125A35">
        <w:rPr>
          <w:lang w:val="en-HK" w:eastAsia="zh-TW"/>
        </w:rPr>
        <w:t xml:space="preserve"> defendant, should be liable. </w:t>
      </w:r>
    </w:p>
    <w:p w:rsidR="00125A35" w:rsidRDefault="00125A35" w:rsidP="00125A35">
      <w:pPr>
        <w:pStyle w:val="ListParagraph"/>
      </w:pPr>
    </w:p>
    <w:p w:rsidR="00791E9C" w:rsidRDefault="00791E9C" w:rsidP="00125A35">
      <w:pPr>
        <w:pStyle w:val="ListParagraph"/>
        <w:numPr>
          <w:ilvl w:val="0"/>
          <w:numId w:val="2"/>
        </w:numPr>
        <w:tabs>
          <w:tab w:val="clear" w:pos="4320"/>
          <w:tab w:val="clear" w:pos="9072"/>
        </w:tabs>
        <w:spacing w:line="360" w:lineRule="auto"/>
        <w:ind w:left="0" w:firstLine="0"/>
        <w:jc w:val="both"/>
      </w:pPr>
      <w:r w:rsidRPr="009F61D6">
        <w:rPr>
          <w:lang w:eastAsia="en-US"/>
        </w:rPr>
        <w:t>I agree with Mr Lim that the plaintiff</w:t>
      </w:r>
      <w:r w:rsidR="00CD6DFD" w:rsidRPr="009F61D6">
        <w:rPr>
          <w:lang w:eastAsia="en-US"/>
        </w:rPr>
        <w:t>’</w:t>
      </w:r>
      <w:r w:rsidRPr="009F61D6">
        <w:rPr>
          <w:lang w:eastAsia="en-US"/>
        </w:rPr>
        <w:t xml:space="preserve">s claim against the defendants was for the same damages arising out of the same incident. </w:t>
      </w:r>
      <w:r w:rsidR="00E97D01" w:rsidRPr="009F61D6">
        <w:rPr>
          <w:lang w:eastAsia="en-US"/>
        </w:rPr>
        <w:t xml:space="preserve"> </w:t>
      </w:r>
      <w:r w:rsidRPr="009F61D6">
        <w:rPr>
          <w:lang w:eastAsia="en-US"/>
        </w:rPr>
        <w:t>The argument of different causes of action is not accepted.</w:t>
      </w:r>
    </w:p>
    <w:p w:rsidR="00125A35" w:rsidRDefault="00125A35" w:rsidP="00125A35">
      <w:pPr>
        <w:pStyle w:val="ListParagraph"/>
      </w:pPr>
    </w:p>
    <w:p w:rsidR="00791E9C" w:rsidRDefault="00791E9C" w:rsidP="00125A35">
      <w:pPr>
        <w:pStyle w:val="ListParagraph"/>
        <w:numPr>
          <w:ilvl w:val="0"/>
          <w:numId w:val="2"/>
        </w:numPr>
        <w:tabs>
          <w:tab w:val="clear" w:pos="4320"/>
          <w:tab w:val="clear" w:pos="9072"/>
        </w:tabs>
        <w:spacing w:line="360" w:lineRule="auto"/>
        <w:ind w:left="0" w:firstLine="0"/>
        <w:jc w:val="both"/>
      </w:pPr>
      <w:r w:rsidRPr="009F61D6">
        <w:rPr>
          <w:lang w:eastAsia="en-US"/>
        </w:rPr>
        <w:t>In addition, the 3</w:t>
      </w:r>
      <w:r w:rsidRPr="00125A35">
        <w:rPr>
          <w:vertAlign w:val="superscript"/>
          <w:lang w:eastAsia="en-US"/>
        </w:rPr>
        <w:t>rd</w:t>
      </w:r>
      <w:r w:rsidRPr="009F61D6">
        <w:rPr>
          <w:lang w:eastAsia="en-US"/>
        </w:rPr>
        <w:t xml:space="preserve"> defendant served the Notice of Contribution against the 1</w:t>
      </w:r>
      <w:r w:rsidRPr="00125A35">
        <w:rPr>
          <w:vertAlign w:val="superscript"/>
          <w:lang w:eastAsia="en-US"/>
        </w:rPr>
        <w:t>st</w:t>
      </w:r>
      <w:r w:rsidR="00631127" w:rsidRPr="009F61D6">
        <w:rPr>
          <w:lang w:eastAsia="en-US"/>
        </w:rPr>
        <w:t xml:space="preserve"> </w:t>
      </w:r>
      <w:r w:rsidRPr="009F61D6">
        <w:rPr>
          <w:lang w:eastAsia="en-US"/>
        </w:rPr>
        <w:t>and the 2</w:t>
      </w:r>
      <w:r w:rsidRPr="00125A35">
        <w:rPr>
          <w:vertAlign w:val="superscript"/>
          <w:lang w:eastAsia="en-US"/>
        </w:rPr>
        <w:t>nd</w:t>
      </w:r>
      <w:r w:rsidR="00E97D01" w:rsidRPr="009F61D6">
        <w:rPr>
          <w:lang w:eastAsia="en-US"/>
        </w:rPr>
        <w:t xml:space="preserve"> </w:t>
      </w:r>
      <w:r w:rsidRPr="009F61D6">
        <w:rPr>
          <w:lang w:eastAsia="en-US"/>
        </w:rPr>
        <w:t>defendant</w:t>
      </w:r>
      <w:r w:rsidR="005B5075" w:rsidRPr="009F61D6">
        <w:rPr>
          <w:lang w:eastAsia="en-US"/>
        </w:rPr>
        <w:t>s</w:t>
      </w:r>
      <w:r w:rsidRPr="009F61D6">
        <w:rPr>
          <w:lang w:eastAsia="en-US"/>
        </w:rPr>
        <w:t xml:space="preserve"> on 2</w:t>
      </w:r>
      <w:r w:rsidR="00E97D01" w:rsidRPr="009F61D6">
        <w:rPr>
          <w:lang w:eastAsia="en-US"/>
        </w:rPr>
        <w:t xml:space="preserve"> February </w:t>
      </w:r>
      <w:r w:rsidRPr="009F61D6">
        <w:rPr>
          <w:lang w:eastAsia="en-US"/>
        </w:rPr>
        <w:t xml:space="preserve">2016. </w:t>
      </w:r>
      <w:r w:rsidR="00E97D01" w:rsidRPr="009F61D6">
        <w:rPr>
          <w:lang w:eastAsia="en-US"/>
        </w:rPr>
        <w:t xml:space="preserve"> </w:t>
      </w:r>
      <w:r w:rsidRPr="009F61D6">
        <w:rPr>
          <w:lang w:eastAsia="en-US"/>
        </w:rPr>
        <w:t xml:space="preserve">It strongly indicated that the other defendants should be a party to these proceedings. </w:t>
      </w:r>
      <w:r w:rsidR="00E97D01" w:rsidRPr="009F61D6">
        <w:rPr>
          <w:lang w:eastAsia="en-US"/>
        </w:rPr>
        <w:t xml:space="preserve"> </w:t>
      </w:r>
      <w:r w:rsidR="008E21F3" w:rsidRPr="009F61D6">
        <w:rPr>
          <w:lang w:eastAsia="en-US"/>
        </w:rPr>
        <w:t>T</w:t>
      </w:r>
      <w:r w:rsidRPr="009F61D6">
        <w:rPr>
          <w:lang w:eastAsia="en-US"/>
        </w:rPr>
        <w:t>he fact that it was served 6 days before the trial does not matter much.</w:t>
      </w:r>
      <w:r w:rsidR="00E97D01" w:rsidRPr="009F61D6">
        <w:rPr>
          <w:lang w:eastAsia="en-US"/>
        </w:rPr>
        <w:t xml:space="preserve"> </w:t>
      </w:r>
      <w:r w:rsidRPr="009F61D6">
        <w:rPr>
          <w:lang w:eastAsia="en-US"/>
        </w:rPr>
        <w:t xml:space="preserve"> Mr Ho sought to rely on </w:t>
      </w:r>
      <w:r w:rsidRPr="00125A35">
        <w:rPr>
          <w:i/>
          <w:lang w:eastAsia="en-US"/>
        </w:rPr>
        <w:t>Tam Kam Fai v Michael J Design Limited and others</w:t>
      </w:r>
      <w:r w:rsidRPr="009F61D6">
        <w:rPr>
          <w:lang w:eastAsia="en-US"/>
        </w:rPr>
        <w:t>, HCPI 347/2005.</w:t>
      </w:r>
      <w:r w:rsidR="00E97D01" w:rsidRPr="009F61D6">
        <w:rPr>
          <w:lang w:eastAsia="en-US"/>
        </w:rPr>
        <w:t xml:space="preserve"> </w:t>
      </w:r>
      <w:r w:rsidRPr="009F61D6">
        <w:rPr>
          <w:lang w:eastAsia="en-US"/>
        </w:rPr>
        <w:t xml:space="preserve"> I do not agree. </w:t>
      </w:r>
      <w:r w:rsidR="00E97D01" w:rsidRPr="009F61D6">
        <w:rPr>
          <w:lang w:eastAsia="en-US"/>
        </w:rPr>
        <w:t xml:space="preserve"> </w:t>
      </w:r>
      <w:r w:rsidRPr="009F61D6">
        <w:rPr>
          <w:lang w:eastAsia="en-US"/>
        </w:rPr>
        <w:t xml:space="preserve">The facts of the case are completely different. </w:t>
      </w:r>
      <w:r w:rsidR="00E97D01" w:rsidRPr="009F61D6">
        <w:rPr>
          <w:lang w:eastAsia="en-US"/>
        </w:rPr>
        <w:t xml:space="preserve"> </w:t>
      </w:r>
      <w:r w:rsidRPr="009F61D6">
        <w:rPr>
          <w:lang w:eastAsia="en-US"/>
        </w:rPr>
        <w:t>The indemnity and contribution notices served amongst the defendants in this case are evidence that they blamed each other.  To say the least, I agree with the submission of Mr Chung, counsel for the 1</w:t>
      </w:r>
      <w:r w:rsidRPr="00125A35">
        <w:rPr>
          <w:vertAlign w:val="superscript"/>
          <w:lang w:eastAsia="en-US"/>
        </w:rPr>
        <w:t>st</w:t>
      </w:r>
      <w:r w:rsidRPr="009F61D6">
        <w:rPr>
          <w:lang w:eastAsia="en-US"/>
        </w:rPr>
        <w:t xml:space="preserve"> defendant, that</w:t>
      </w:r>
      <w:r w:rsidR="008E21F3" w:rsidRPr="009F61D6">
        <w:rPr>
          <w:lang w:eastAsia="en-US"/>
        </w:rPr>
        <w:t xml:space="preserve"> the 1</w:t>
      </w:r>
      <w:r w:rsidR="008E21F3" w:rsidRPr="00125A35">
        <w:rPr>
          <w:vertAlign w:val="superscript"/>
          <w:lang w:eastAsia="en-US"/>
        </w:rPr>
        <w:t>st</w:t>
      </w:r>
      <w:r w:rsidR="008E21F3" w:rsidRPr="009F61D6">
        <w:rPr>
          <w:lang w:eastAsia="en-US"/>
        </w:rPr>
        <w:t xml:space="preserve"> and the 2</w:t>
      </w:r>
      <w:r w:rsidR="008E21F3" w:rsidRPr="00125A35">
        <w:rPr>
          <w:vertAlign w:val="superscript"/>
          <w:lang w:eastAsia="en-US"/>
        </w:rPr>
        <w:t>nd</w:t>
      </w:r>
      <w:r w:rsidR="008E21F3" w:rsidRPr="009F61D6">
        <w:rPr>
          <w:lang w:eastAsia="en-US"/>
        </w:rPr>
        <w:t xml:space="preserve"> defendants are the successful parties in defending the contribution proceedings,</w:t>
      </w:r>
      <w:r w:rsidRPr="009F61D6">
        <w:rPr>
          <w:lang w:eastAsia="en-US"/>
        </w:rPr>
        <w:t xml:space="preserve"> the 3</w:t>
      </w:r>
      <w:r w:rsidRPr="00125A35">
        <w:rPr>
          <w:vertAlign w:val="superscript"/>
          <w:lang w:eastAsia="en-US"/>
        </w:rPr>
        <w:t>rd</w:t>
      </w:r>
      <w:r w:rsidRPr="009F61D6">
        <w:rPr>
          <w:lang w:eastAsia="en-US"/>
        </w:rPr>
        <w:t xml:space="preserve"> defendant should bear the costs of the 1</w:t>
      </w:r>
      <w:r w:rsidRPr="00125A35">
        <w:rPr>
          <w:vertAlign w:val="superscript"/>
          <w:lang w:eastAsia="en-US"/>
        </w:rPr>
        <w:t>st</w:t>
      </w:r>
      <w:r w:rsidRPr="009F61D6">
        <w:rPr>
          <w:lang w:eastAsia="en-US"/>
        </w:rPr>
        <w:t xml:space="preserve"> and the 2</w:t>
      </w:r>
      <w:r w:rsidRPr="00125A35">
        <w:rPr>
          <w:vertAlign w:val="superscript"/>
          <w:lang w:eastAsia="en-US"/>
        </w:rPr>
        <w:t>nd</w:t>
      </w:r>
      <w:r w:rsidRPr="009F61D6">
        <w:rPr>
          <w:lang w:eastAsia="en-US"/>
        </w:rPr>
        <w:t xml:space="preserve"> defendants in defending the Notice of Contribution. </w:t>
      </w:r>
    </w:p>
    <w:p w:rsidR="00125A35" w:rsidRDefault="00125A35" w:rsidP="00125A35">
      <w:pPr>
        <w:pStyle w:val="ListParagraph"/>
      </w:pPr>
    </w:p>
    <w:p w:rsidR="00791E9C" w:rsidRDefault="00791E9C" w:rsidP="00125A35">
      <w:pPr>
        <w:pStyle w:val="ListParagraph"/>
        <w:numPr>
          <w:ilvl w:val="0"/>
          <w:numId w:val="2"/>
        </w:numPr>
        <w:tabs>
          <w:tab w:val="clear" w:pos="4320"/>
          <w:tab w:val="clear" w:pos="9072"/>
        </w:tabs>
        <w:spacing w:line="360" w:lineRule="auto"/>
        <w:ind w:left="0" w:firstLine="0"/>
        <w:jc w:val="both"/>
      </w:pPr>
      <w:r w:rsidRPr="009F61D6">
        <w:rPr>
          <w:lang w:eastAsia="en-US"/>
        </w:rPr>
        <w:t>The 3</w:t>
      </w:r>
      <w:r w:rsidRPr="00125A35">
        <w:rPr>
          <w:vertAlign w:val="superscript"/>
          <w:lang w:eastAsia="en-US"/>
        </w:rPr>
        <w:t>rd</w:t>
      </w:r>
      <w:r w:rsidR="00415197" w:rsidRPr="009F61D6">
        <w:rPr>
          <w:lang w:eastAsia="en-US"/>
        </w:rPr>
        <w:t xml:space="preserve"> </w:t>
      </w:r>
      <w:r w:rsidRPr="009F61D6">
        <w:rPr>
          <w:lang w:eastAsia="en-US"/>
        </w:rPr>
        <w:t>defendant was held liable and is the only person at fault.</w:t>
      </w:r>
      <w:r w:rsidR="00E97D01" w:rsidRPr="009F61D6">
        <w:rPr>
          <w:lang w:eastAsia="en-US"/>
        </w:rPr>
        <w:t xml:space="preserve"> </w:t>
      </w:r>
      <w:r w:rsidRPr="009F61D6">
        <w:rPr>
          <w:lang w:eastAsia="en-US"/>
        </w:rPr>
        <w:t xml:space="preserve"> It was reasonable for the plaintiff to join other defendants. </w:t>
      </w:r>
      <w:r w:rsidR="00E97D01" w:rsidRPr="009F61D6">
        <w:rPr>
          <w:lang w:eastAsia="en-US"/>
        </w:rPr>
        <w:t xml:space="preserve"> </w:t>
      </w:r>
      <w:r w:rsidRPr="009F61D6">
        <w:rPr>
          <w:lang w:eastAsia="en-US"/>
        </w:rPr>
        <w:t>The 3</w:t>
      </w:r>
      <w:r w:rsidRPr="00125A35">
        <w:rPr>
          <w:vertAlign w:val="superscript"/>
          <w:lang w:eastAsia="en-US"/>
        </w:rPr>
        <w:t>rd</w:t>
      </w:r>
      <w:r w:rsidRPr="009F61D6">
        <w:rPr>
          <w:lang w:eastAsia="en-US"/>
        </w:rPr>
        <w:t xml:space="preserve"> defendant failed to claim contribution from other defendants. </w:t>
      </w:r>
    </w:p>
    <w:p w:rsidR="00125A35" w:rsidRDefault="00125A35" w:rsidP="00125A35">
      <w:pPr>
        <w:pStyle w:val="ListParagraph"/>
      </w:pPr>
    </w:p>
    <w:p w:rsidR="00791E9C" w:rsidRDefault="00791E9C" w:rsidP="00125A35">
      <w:pPr>
        <w:pStyle w:val="ListParagraph"/>
        <w:numPr>
          <w:ilvl w:val="0"/>
          <w:numId w:val="2"/>
        </w:numPr>
        <w:tabs>
          <w:tab w:val="clear" w:pos="4320"/>
          <w:tab w:val="clear" w:pos="9072"/>
        </w:tabs>
        <w:spacing w:line="360" w:lineRule="auto"/>
        <w:ind w:left="0" w:firstLine="0"/>
        <w:jc w:val="both"/>
      </w:pPr>
      <w:r w:rsidRPr="009F61D6">
        <w:rPr>
          <w:lang w:eastAsia="zh-TW"/>
        </w:rPr>
        <w:t>Besides, on 20</w:t>
      </w:r>
      <w:r w:rsidR="00E97D01" w:rsidRPr="009F61D6">
        <w:rPr>
          <w:lang w:eastAsia="zh-TW"/>
        </w:rPr>
        <w:t xml:space="preserve"> January </w:t>
      </w:r>
      <w:r w:rsidRPr="009F61D6">
        <w:rPr>
          <w:lang w:eastAsia="zh-TW"/>
        </w:rPr>
        <w:t>2016 (which at that time, the 3</w:t>
      </w:r>
      <w:r w:rsidRPr="00125A35">
        <w:rPr>
          <w:vertAlign w:val="superscript"/>
          <w:lang w:eastAsia="zh-TW"/>
        </w:rPr>
        <w:t>rd</w:t>
      </w:r>
      <w:r w:rsidRPr="009F61D6">
        <w:rPr>
          <w:lang w:eastAsia="zh-TW"/>
        </w:rPr>
        <w:t xml:space="preserve"> defendant is yet to issue any Notice of Contribution), the 1</w:t>
      </w:r>
      <w:r w:rsidRPr="00125A35">
        <w:rPr>
          <w:vertAlign w:val="superscript"/>
          <w:lang w:eastAsia="zh-TW"/>
        </w:rPr>
        <w:t>st</w:t>
      </w:r>
      <w:r w:rsidRPr="009F61D6">
        <w:rPr>
          <w:lang w:eastAsia="zh-TW"/>
        </w:rPr>
        <w:t xml:space="preserve"> and the 2</w:t>
      </w:r>
      <w:r w:rsidRPr="00125A35">
        <w:rPr>
          <w:vertAlign w:val="superscript"/>
          <w:lang w:eastAsia="zh-TW"/>
        </w:rPr>
        <w:t>nd</w:t>
      </w:r>
      <w:r w:rsidRPr="009F61D6">
        <w:rPr>
          <w:lang w:eastAsia="zh-TW"/>
        </w:rPr>
        <w:t xml:space="preserve"> defendant jointly issued a Calderbank Offer in relation to the Contribution and Indemnity proceedings to</w:t>
      </w:r>
      <w:r w:rsidR="00040298" w:rsidRPr="009F61D6">
        <w:rPr>
          <w:lang w:eastAsia="zh-TW"/>
        </w:rPr>
        <w:t xml:space="preserve"> the</w:t>
      </w:r>
      <w:r w:rsidRPr="009F61D6">
        <w:rPr>
          <w:lang w:eastAsia="zh-TW"/>
        </w:rPr>
        <w:t xml:space="preserve"> 3</w:t>
      </w:r>
      <w:r w:rsidRPr="00125A35">
        <w:rPr>
          <w:vertAlign w:val="superscript"/>
          <w:lang w:eastAsia="zh-TW"/>
        </w:rPr>
        <w:t>rd</w:t>
      </w:r>
      <w:r w:rsidRPr="009F61D6">
        <w:rPr>
          <w:lang w:eastAsia="zh-TW"/>
        </w:rPr>
        <w:t xml:space="preserve"> defendant, consisting, inter alia, the following terms:</w:t>
      </w:r>
      <w:r w:rsidR="00E97D01" w:rsidRPr="009F61D6">
        <w:rPr>
          <w:lang w:eastAsia="zh-TW"/>
        </w:rPr>
        <w:t>-</w:t>
      </w:r>
    </w:p>
    <w:p w:rsidR="00125A35" w:rsidRDefault="00125A35" w:rsidP="00125A35">
      <w:pPr>
        <w:pStyle w:val="ListParagraph"/>
        <w:tabs>
          <w:tab w:val="clear" w:pos="4320"/>
          <w:tab w:val="clear" w:pos="9072"/>
        </w:tabs>
        <w:spacing w:line="360" w:lineRule="auto"/>
        <w:ind w:left="0"/>
        <w:jc w:val="both"/>
      </w:pPr>
    </w:p>
    <w:tbl>
      <w:tblPr>
        <w:tblW w:w="0" w:type="auto"/>
        <w:tblLook w:val="04A0" w:firstRow="1" w:lastRow="0" w:firstColumn="1" w:lastColumn="0" w:noHBand="0" w:noVBand="1"/>
      </w:tblPr>
      <w:tblGrid>
        <w:gridCol w:w="1458"/>
        <w:gridCol w:w="720"/>
        <w:gridCol w:w="5580"/>
      </w:tblGrid>
      <w:tr w:rsidR="00125A35" w:rsidRPr="00AD0F54" w:rsidTr="00BE6155">
        <w:tc>
          <w:tcPr>
            <w:tcW w:w="1458" w:type="dxa"/>
            <w:shd w:val="clear" w:color="auto" w:fill="auto"/>
          </w:tcPr>
          <w:p w:rsidR="00125A35" w:rsidRPr="00AD0F54" w:rsidRDefault="00125A35" w:rsidP="00BE6155">
            <w:pPr>
              <w:tabs>
                <w:tab w:val="clear" w:pos="4320"/>
                <w:tab w:val="clear" w:pos="9072"/>
              </w:tabs>
              <w:jc w:val="both"/>
              <w:rPr>
                <w:sz w:val="24"/>
                <w:szCs w:val="24"/>
                <w:lang w:val="en-HK"/>
              </w:rPr>
            </w:pPr>
          </w:p>
        </w:tc>
        <w:tc>
          <w:tcPr>
            <w:tcW w:w="720" w:type="dxa"/>
            <w:shd w:val="clear" w:color="auto" w:fill="auto"/>
          </w:tcPr>
          <w:p w:rsidR="00125A35" w:rsidRPr="00AD0F54" w:rsidRDefault="00125A35" w:rsidP="00BE6155">
            <w:pPr>
              <w:tabs>
                <w:tab w:val="clear" w:pos="4320"/>
                <w:tab w:val="clear" w:pos="9072"/>
              </w:tabs>
              <w:jc w:val="both"/>
              <w:rPr>
                <w:sz w:val="24"/>
                <w:szCs w:val="24"/>
                <w:lang w:val="en-HK"/>
              </w:rPr>
            </w:pPr>
            <w:r w:rsidRPr="00AD0F54">
              <w:rPr>
                <w:sz w:val="24"/>
                <w:szCs w:val="24"/>
                <w:lang w:val="en-HK"/>
              </w:rPr>
              <w:t>“(1)</w:t>
            </w:r>
          </w:p>
        </w:tc>
        <w:tc>
          <w:tcPr>
            <w:tcW w:w="5580" w:type="dxa"/>
            <w:shd w:val="clear" w:color="auto" w:fill="auto"/>
          </w:tcPr>
          <w:p w:rsidR="00125A35" w:rsidRPr="00AD0F54" w:rsidRDefault="00125A35" w:rsidP="00BE6155">
            <w:pPr>
              <w:tabs>
                <w:tab w:val="clear" w:pos="4320"/>
                <w:tab w:val="clear" w:pos="9072"/>
              </w:tabs>
              <w:jc w:val="both"/>
              <w:rPr>
                <w:sz w:val="24"/>
                <w:szCs w:val="24"/>
                <w:lang w:val="en-HK"/>
              </w:rPr>
            </w:pPr>
            <w:r w:rsidRPr="00AD0F54">
              <w:rPr>
                <w:sz w:val="24"/>
                <w:szCs w:val="24"/>
                <w:lang w:eastAsia="zh-TW"/>
              </w:rPr>
              <w:t>Subject to the plaintiff’s contributory negligence, the 1</w:t>
            </w:r>
            <w:r w:rsidRPr="00AD0F54">
              <w:rPr>
                <w:sz w:val="24"/>
                <w:szCs w:val="24"/>
                <w:vertAlign w:val="superscript"/>
                <w:lang w:eastAsia="zh-TW"/>
              </w:rPr>
              <w:t>st</w:t>
            </w:r>
            <w:r w:rsidRPr="00AD0F54">
              <w:rPr>
                <w:sz w:val="24"/>
                <w:szCs w:val="24"/>
                <w:lang w:eastAsia="zh-TW"/>
              </w:rPr>
              <w:t xml:space="preserve"> defendant do bear 25%, the 2</w:t>
            </w:r>
            <w:r w:rsidRPr="00AD0F54">
              <w:rPr>
                <w:sz w:val="24"/>
                <w:szCs w:val="24"/>
                <w:vertAlign w:val="superscript"/>
                <w:lang w:eastAsia="zh-TW"/>
              </w:rPr>
              <w:t>nd</w:t>
            </w:r>
            <w:r w:rsidRPr="00AD0F54">
              <w:rPr>
                <w:sz w:val="24"/>
                <w:szCs w:val="24"/>
                <w:lang w:eastAsia="zh-TW"/>
              </w:rPr>
              <w:t xml:space="preserve"> defendant to bear 25%, and the 3</w:t>
            </w:r>
            <w:r w:rsidRPr="00AD0F54">
              <w:rPr>
                <w:sz w:val="24"/>
                <w:szCs w:val="24"/>
                <w:vertAlign w:val="superscript"/>
                <w:lang w:eastAsia="zh-TW"/>
              </w:rPr>
              <w:t>rd</w:t>
            </w:r>
            <w:r w:rsidRPr="00AD0F54">
              <w:rPr>
                <w:sz w:val="24"/>
                <w:szCs w:val="24"/>
                <w:lang w:eastAsia="zh-TW"/>
              </w:rPr>
              <w:t xml:space="preserve"> defendant do bear 50% of liability; and</w:t>
            </w:r>
          </w:p>
        </w:tc>
      </w:tr>
      <w:tr w:rsidR="00125A35" w:rsidRPr="00AD0F54" w:rsidTr="00BE6155">
        <w:tc>
          <w:tcPr>
            <w:tcW w:w="1458" w:type="dxa"/>
            <w:shd w:val="clear" w:color="auto" w:fill="auto"/>
          </w:tcPr>
          <w:p w:rsidR="00125A35" w:rsidRPr="00AD0F54" w:rsidRDefault="00125A35" w:rsidP="00BE6155">
            <w:pPr>
              <w:tabs>
                <w:tab w:val="clear" w:pos="4320"/>
                <w:tab w:val="clear" w:pos="9072"/>
              </w:tabs>
              <w:jc w:val="both"/>
              <w:rPr>
                <w:sz w:val="24"/>
                <w:szCs w:val="24"/>
                <w:lang w:val="en-HK"/>
              </w:rPr>
            </w:pPr>
          </w:p>
        </w:tc>
        <w:tc>
          <w:tcPr>
            <w:tcW w:w="720" w:type="dxa"/>
            <w:shd w:val="clear" w:color="auto" w:fill="auto"/>
          </w:tcPr>
          <w:p w:rsidR="00125A35" w:rsidRPr="00AD0F54" w:rsidRDefault="00125A35" w:rsidP="00BE6155">
            <w:pPr>
              <w:tabs>
                <w:tab w:val="clear" w:pos="4320"/>
                <w:tab w:val="clear" w:pos="9072"/>
              </w:tabs>
              <w:jc w:val="both"/>
              <w:rPr>
                <w:sz w:val="24"/>
                <w:szCs w:val="24"/>
                <w:lang w:val="en-HK"/>
              </w:rPr>
            </w:pPr>
          </w:p>
        </w:tc>
        <w:tc>
          <w:tcPr>
            <w:tcW w:w="5580" w:type="dxa"/>
            <w:shd w:val="clear" w:color="auto" w:fill="auto"/>
          </w:tcPr>
          <w:p w:rsidR="00125A35" w:rsidRPr="00AD0F54" w:rsidRDefault="00125A35" w:rsidP="00BE6155">
            <w:pPr>
              <w:tabs>
                <w:tab w:val="clear" w:pos="4320"/>
                <w:tab w:val="clear" w:pos="9072"/>
              </w:tabs>
              <w:jc w:val="both"/>
              <w:rPr>
                <w:sz w:val="24"/>
                <w:szCs w:val="24"/>
                <w:lang w:val="en-HK"/>
              </w:rPr>
            </w:pPr>
          </w:p>
        </w:tc>
      </w:tr>
      <w:tr w:rsidR="00125A35" w:rsidRPr="00AD0F54" w:rsidTr="00BE6155">
        <w:tc>
          <w:tcPr>
            <w:tcW w:w="1458" w:type="dxa"/>
            <w:shd w:val="clear" w:color="auto" w:fill="auto"/>
          </w:tcPr>
          <w:p w:rsidR="00125A35" w:rsidRPr="00AD0F54" w:rsidRDefault="00125A35" w:rsidP="00BE6155">
            <w:pPr>
              <w:tabs>
                <w:tab w:val="clear" w:pos="4320"/>
                <w:tab w:val="clear" w:pos="9072"/>
              </w:tabs>
              <w:jc w:val="both"/>
              <w:rPr>
                <w:sz w:val="24"/>
                <w:szCs w:val="24"/>
                <w:lang w:val="en-HK"/>
              </w:rPr>
            </w:pPr>
          </w:p>
        </w:tc>
        <w:tc>
          <w:tcPr>
            <w:tcW w:w="720" w:type="dxa"/>
            <w:shd w:val="clear" w:color="auto" w:fill="auto"/>
          </w:tcPr>
          <w:p w:rsidR="00125A35" w:rsidRPr="00AD0F54" w:rsidRDefault="00125A35" w:rsidP="00BE6155">
            <w:pPr>
              <w:tabs>
                <w:tab w:val="clear" w:pos="4320"/>
                <w:tab w:val="clear" w:pos="9072"/>
              </w:tabs>
              <w:jc w:val="both"/>
              <w:rPr>
                <w:sz w:val="24"/>
                <w:szCs w:val="24"/>
                <w:lang w:val="en-HK"/>
              </w:rPr>
            </w:pPr>
            <w:r w:rsidRPr="00AD0F54">
              <w:rPr>
                <w:sz w:val="24"/>
                <w:szCs w:val="24"/>
                <w:lang w:val="en-HK"/>
              </w:rPr>
              <w:t>(2)</w:t>
            </w:r>
          </w:p>
        </w:tc>
        <w:tc>
          <w:tcPr>
            <w:tcW w:w="5580" w:type="dxa"/>
            <w:shd w:val="clear" w:color="auto" w:fill="auto"/>
          </w:tcPr>
          <w:p w:rsidR="00125A35" w:rsidRPr="00AD0F54" w:rsidRDefault="00125A35" w:rsidP="00BE6155">
            <w:pPr>
              <w:tabs>
                <w:tab w:val="clear" w:pos="4320"/>
                <w:tab w:val="clear" w:pos="9072"/>
              </w:tabs>
              <w:jc w:val="both"/>
              <w:rPr>
                <w:sz w:val="24"/>
                <w:szCs w:val="24"/>
                <w:lang w:val="en-HK"/>
              </w:rPr>
            </w:pPr>
            <w:r w:rsidRPr="00AD0F54">
              <w:rPr>
                <w:sz w:val="24"/>
                <w:szCs w:val="24"/>
                <w:lang w:eastAsia="zh-TW"/>
              </w:rPr>
              <w:t>There be no order as to costs amongst the defendants in the main proceedings and the contribution proceedings.</w:t>
            </w:r>
          </w:p>
        </w:tc>
      </w:tr>
      <w:tr w:rsidR="00125A35" w:rsidRPr="00AD0F54" w:rsidTr="00BE6155">
        <w:tc>
          <w:tcPr>
            <w:tcW w:w="1458" w:type="dxa"/>
            <w:shd w:val="clear" w:color="auto" w:fill="auto"/>
          </w:tcPr>
          <w:p w:rsidR="00125A35" w:rsidRPr="00AD0F54" w:rsidRDefault="00125A35" w:rsidP="00BE6155">
            <w:pPr>
              <w:tabs>
                <w:tab w:val="clear" w:pos="4320"/>
                <w:tab w:val="clear" w:pos="9072"/>
              </w:tabs>
              <w:jc w:val="both"/>
              <w:rPr>
                <w:sz w:val="24"/>
                <w:szCs w:val="24"/>
                <w:lang w:val="en-HK"/>
              </w:rPr>
            </w:pPr>
          </w:p>
        </w:tc>
        <w:tc>
          <w:tcPr>
            <w:tcW w:w="720" w:type="dxa"/>
            <w:shd w:val="clear" w:color="auto" w:fill="auto"/>
          </w:tcPr>
          <w:p w:rsidR="00125A35" w:rsidRPr="00AD0F54" w:rsidRDefault="00125A35" w:rsidP="00BE6155">
            <w:pPr>
              <w:tabs>
                <w:tab w:val="clear" w:pos="4320"/>
                <w:tab w:val="clear" w:pos="9072"/>
              </w:tabs>
              <w:jc w:val="both"/>
              <w:rPr>
                <w:sz w:val="24"/>
                <w:szCs w:val="24"/>
                <w:lang w:val="en-HK"/>
              </w:rPr>
            </w:pPr>
          </w:p>
        </w:tc>
        <w:tc>
          <w:tcPr>
            <w:tcW w:w="5580" w:type="dxa"/>
            <w:shd w:val="clear" w:color="auto" w:fill="auto"/>
          </w:tcPr>
          <w:p w:rsidR="00125A35" w:rsidRPr="00AD0F54" w:rsidRDefault="00125A35" w:rsidP="00BE6155">
            <w:pPr>
              <w:tabs>
                <w:tab w:val="clear" w:pos="4320"/>
                <w:tab w:val="clear" w:pos="9072"/>
              </w:tabs>
              <w:jc w:val="both"/>
              <w:rPr>
                <w:sz w:val="24"/>
                <w:szCs w:val="24"/>
                <w:lang w:val="en-HK" w:eastAsia="zh-TW"/>
              </w:rPr>
            </w:pPr>
          </w:p>
        </w:tc>
      </w:tr>
      <w:tr w:rsidR="00125A35" w:rsidRPr="00AD0F54" w:rsidTr="00BE6155">
        <w:tc>
          <w:tcPr>
            <w:tcW w:w="1458" w:type="dxa"/>
            <w:shd w:val="clear" w:color="auto" w:fill="auto"/>
          </w:tcPr>
          <w:p w:rsidR="00125A35" w:rsidRPr="00AD0F54" w:rsidRDefault="00125A35" w:rsidP="00BE6155">
            <w:pPr>
              <w:tabs>
                <w:tab w:val="clear" w:pos="4320"/>
                <w:tab w:val="clear" w:pos="9072"/>
              </w:tabs>
              <w:jc w:val="both"/>
              <w:rPr>
                <w:sz w:val="24"/>
                <w:szCs w:val="24"/>
                <w:lang w:val="en-HK"/>
              </w:rPr>
            </w:pPr>
          </w:p>
        </w:tc>
        <w:tc>
          <w:tcPr>
            <w:tcW w:w="720" w:type="dxa"/>
            <w:shd w:val="clear" w:color="auto" w:fill="auto"/>
          </w:tcPr>
          <w:p w:rsidR="00125A35" w:rsidRPr="00AD0F54" w:rsidRDefault="00125A35" w:rsidP="00BE6155">
            <w:pPr>
              <w:tabs>
                <w:tab w:val="clear" w:pos="4320"/>
                <w:tab w:val="clear" w:pos="9072"/>
              </w:tabs>
              <w:jc w:val="both"/>
              <w:rPr>
                <w:sz w:val="24"/>
                <w:szCs w:val="24"/>
                <w:lang w:val="en-HK"/>
              </w:rPr>
            </w:pPr>
            <w:r w:rsidRPr="00AD0F54">
              <w:rPr>
                <w:sz w:val="24"/>
                <w:szCs w:val="24"/>
                <w:lang w:val="en-HK"/>
              </w:rPr>
              <w:t>(3)</w:t>
            </w:r>
          </w:p>
        </w:tc>
        <w:tc>
          <w:tcPr>
            <w:tcW w:w="5580" w:type="dxa"/>
            <w:shd w:val="clear" w:color="auto" w:fill="auto"/>
          </w:tcPr>
          <w:p w:rsidR="00125A35" w:rsidRPr="00AD0F54" w:rsidRDefault="00125A35" w:rsidP="00BE6155">
            <w:pPr>
              <w:tabs>
                <w:tab w:val="clear" w:pos="4320"/>
                <w:tab w:val="clear" w:pos="9072"/>
              </w:tabs>
              <w:jc w:val="both"/>
              <w:rPr>
                <w:sz w:val="24"/>
                <w:szCs w:val="24"/>
                <w:lang w:val="en-HK" w:eastAsia="zh-TW"/>
              </w:rPr>
            </w:pPr>
            <w:r w:rsidRPr="00AD0F54">
              <w:rPr>
                <w:sz w:val="24"/>
                <w:szCs w:val="24"/>
                <w:lang w:eastAsia="zh-TW"/>
              </w:rPr>
              <w:t>The 3</w:t>
            </w:r>
            <w:r w:rsidRPr="00AD0F54">
              <w:rPr>
                <w:sz w:val="24"/>
                <w:szCs w:val="24"/>
                <w:vertAlign w:val="superscript"/>
                <w:lang w:eastAsia="zh-TW"/>
              </w:rPr>
              <w:t>rd</w:t>
            </w:r>
            <w:r w:rsidRPr="00AD0F54">
              <w:rPr>
                <w:sz w:val="24"/>
                <w:szCs w:val="24"/>
                <w:lang w:eastAsia="zh-TW"/>
              </w:rPr>
              <w:t xml:space="preserve"> defendant may accept the offer in 14 days.”</w:t>
            </w:r>
          </w:p>
        </w:tc>
      </w:tr>
    </w:tbl>
    <w:p w:rsidR="00125A35" w:rsidRDefault="00125A35" w:rsidP="00D82412">
      <w:pPr>
        <w:pStyle w:val="ListParagraph"/>
        <w:spacing w:line="360" w:lineRule="auto"/>
      </w:pPr>
    </w:p>
    <w:p w:rsidR="00791E9C" w:rsidRDefault="00791E9C" w:rsidP="00125A35">
      <w:pPr>
        <w:pStyle w:val="ListParagraph"/>
        <w:numPr>
          <w:ilvl w:val="0"/>
          <w:numId w:val="2"/>
        </w:numPr>
        <w:tabs>
          <w:tab w:val="clear" w:pos="4320"/>
          <w:tab w:val="clear" w:pos="9072"/>
        </w:tabs>
        <w:spacing w:line="360" w:lineRule="auto"/>
        <w:ind w:left="0" w:firstLine="0"/>
        <w:jc w:val="both"/>
      </w:pPr>
      <w:r w:rsidRPr="009F61D6">
        <w:t>The 3</w:t>
      </w:r>
      <w:r w:rsidRPr="00125A35">
        <w:rPr>
          <w:vertAlign w:val="superscript"/>
        </w:rPr>
        <w:t>rd</w:t>
      </w:r>
      <w:r w:rsidRPr="009F61D6">
        <w:t xml:space="preserve"> defendant never reverted to the joint offer.</w:t>
      </w:r>
      <w:r w:rsidR="00E97D01" w:rsidRPr="009F61D6">
        <w:t xml:space="preserve"> </w:t>
      </w:r>
      <w:r w:rsidRPr="009F61D6">
        <w:rPr>
          <w:lang w:eastAsia="en-US"/>
        </w:rPr>
        <w:t xml:space="preserve"> It is appropriate that the 3</w:t>
      </w:r>
      <w:r w:rsidRPr="00125A35">
        <w:rPr>
          <w:vertAlign w:val="superscript"/>
          <w:lang w:eastAsia="en-US"/>
        </w:rPr>
        <w:t>rd</w:t>
      </w:r>
      <w:r w:rsidRPr="009F61D6">
        <w:rPr>
          <w:lang w:eastAsia="en-US"/>
        </w:rPr>
        <w:t xml:space="preserve"> defendant should be liable for the costs of the contribution and indemnity proceedings. </w:t>
      </w:r>
    </w:p>
    <w:p w:rsidR="00125A35" w:rsidRDefault="00125A35" w:rsidP="00125A35">
      <w:pPr>
        <w:pStyle w:val="ListParagraph"/>
        <w:tabs>
          <w:tab w:val="clear" w:pos="4320"/>
          <w:tab w:val="clear" w:pos="9072"/>
        </w:tabs>
        <w:spacing w:line="360" w:lineRule="auto"/>
        <w:ind w:left="0"/>
        <w:jc w:val="both"/>
      </w:pPr>
    </w:p>
    <w:p w:rsidR="00125A35" w:rsidRDefault="00791E9C" w:rsidP="00125A35">
      <w:pPr>
        <w:pStyle w:val="ListParagraph"/>
        <w:numPr>
          <w:ilvl w:val="0"/>
          <w:numId w:val="2"/>
        </w:numPr>
        <w:tabs>
          <w:tab w:val="clear" w:pos="4320"/>
          <w:tab w:val="clear" w:pos="9072"/>
        </w:tabs>
        <w:spacing w:line="360" w:lineRule="auto"/>
        <w:ind w:left="0" w:firstLine="0"/>
        <w:jc w:val="both"/>
      </w:pPr>
      <w:r w:rsidRPr="009F61D6">
        <w:rPr>
          <w:lang w:eastAsia="en-US"/>
        </w:rPr>
        <w:t xml:space="preserve">In the circumstances, the application for variation be dismissed. </w:t>
      </w:r>
      <w:r w:rsidR="00E97D01" w:rsidRPr="009F61D6">
        <w:rPr>
          <w:lang w:eastAsia="en-US"/>
        </w:rPr>
        <w:t xml:space="preserve"> </w:t>
      </w:r>
      <w:r w:rsidRPr="009F61D6">
        <w:rPr>
          <w:lang w:eastAsia="en-US"/>
        </w:rPr>
        <w:t>I order that all the nisi costs orders be made absolute.</w:t>
      </w:r>
    </w:p>
    <w:p w:rsidR="00125A35" w:rsidRDefault="00125A35" w:rsidP="00125A35">
      <w:pPr>
        <w:pStyle w:val="ListParagraph"/>
        <w:rPr>
          <w:lang w:eastAsia="en-US"/>
        </w:rPr>
      </w:pPr>
    </w:p>
    <w:p w:rsidR="00791E9C" w:rsidRPr="00125A35" w:rsidRDefault="00791E9C" w:rsidP="00125A35">
      <w:pPr>
        <w:pStyle w:val="ListParagraph"/>
        <w:numPr>
          <w:ilvl w:val="0"/>
          <w:numId w:val="2"/>
        </w:numPr>
        <w:tabs>
          <w:tab w:val="clear" w:pos="4320"/>
          <w:tab w:val="clear" w:pos="9072"/>
        </w:tabs>
        <w:spacing w:line="360" w:lineRule="auto"/>
        <w:ind w:left="0" w:firstLine="0"/>
        <w:jc w:val="both"/>
      </w:pPr>
      <w:r w:rsidRPr="009F61D6">
        <w:rPr>
          <w:lang w:eastAsia="en-US"/>
        </w:rPr>
        <w:t xml:space="preserve"> There be costs order nisi that costs of this application be paid by the 3</w:t>
      </w:r>
      <w:r w:rsidRPr="00125A35">
        <w:rPr>
          <w:vertAlign w:val="superscript"/>
          <w:lang w:eastAsia="en-US"/>
        </w:rPr>
        <w:t>rd</w:t>
      </w:r>
      <w:r w:rsidRPr="009F61D6">
        <w:rPr>
          <w:lang w:eastAsia="en-US"/>
        </w:rPr>
        <w:t xml:space="preserve"> defendant to the plaintiff, the 1</w:t>
      </w:r>
      <w:r w:rsidRPr="00125A35">
        <w:rPr>
          <w:vertAlign w:val="superscript"/>
          <w:lang w:eastAsia="en-US"/>
        </w:rPr>
        <w:t>st</w:t>
      </w:r>
      <w:r w:rsidRPr="009F61D6">
        <w:rPr>
          <w:lang w:eastAsia="en-US"/>
        </w:rPr>
        <w:t xml:space="preserve"> defendant and the 2</w:t>
      </w:r>
      <w:r w:rsidRPr="00125A35">
        <w:rPr>
          <w:vertAlign w:val="superscript"/>
          <w:lang w:eastAsia="en-US"/>
        </w:rPr>
        <w:t>nd</w:t>
      </w:r>
      <w:r w:rsidRPr="009F61D6">
        <w:rPr>
          <w:lang w:eastAsia="en-US"/>
        </w:rPr>
        <w:t xml:space="preserve"> defendant, with certificate for counsel, to be taxed if not agreed. </w:t>
      </w:r>
      <w:r w:rsidR="00E97D01" w:rsidRPr="009F61D6">
        <w:rPr>
          <w:lang w:eastAsia="en-US"/>
        </w:rPr>
        <w:t xml:space="preserve"> </w:t>
      </w:r>
      <w:r w:rsidRPr="009F61D6">
        <w:rPr>
          <w:lang w:eastAsia="en-US"/>
        </w:rPr>
        <w:t xml:space="preserve">The plaintiff’s own costs to be taxed in accordance with </w:t>
      </w:r>
      <w:r w:rsidR="00A42CB8" w:rsidRPr="009F61D6">
        <w:rPr>
          <w:lang w:eastAsia="en-US"/>
        </w:rPr>
        <w:t>the L</w:t>
      </w:r>
      <w:r w:rsidRPr="009F61D6">
        <w:rPr>
          <w:lang w:eastAsia="en-US"/>
        </w:rPr>
        <w:t xml:space="preserve">egal </w:t>
      </w:r>
      <w:r w:rsidR="00A42CB8" w:rsidRPr="009F61D6">
        <w:rPr>
          <w:lang w:eastAsia="en-US"/>
        </w:rPr>
        <w:t>A</w:t>
      </w:r>
      <w:r w:rsidRPr="009F61D6">
        <w:rPr>
          <w:lang w:eastAsia="en-US"/>
        </w:rPr>
        <w:t xml:space="preserve">id </w:t>
      </w:r>
      <w:r w:rsidR="00A42CB8" w:rsidRPr="009F61D6">
        <w:rPr>
          <w:lang w:eastAsia="en-US"/>
        </w:rPr>
        <w:t>R</w:t>
      </w:r>
      <w:r w:rsidRPr="009F61D6">
        <w:rPr>
          <w:lang w:eastAsia="en-US"/>
        </w:rPr>
        <w:t xml:space="preserve">egulations. </w:t>
      </w:r>
      <w:r w:rsidR="00E97D01" w:rsidRPr="009F61D6">
        <w:rPr>
          <w:lang w:eastAsia="en-US"/>
        </w:rPr>
        <w:t xml:space="preserve"> </w:t>
      </w:r>
      <w:r w:rsidRPr="009F61D6">
        <w:rPr>
          <w:lang w:eastAsia="en-US"/>
        </w:rPr>
        <w:t xml:space="preserve">Unless application for variation is made within 14 days from the date hereof, such order shall become absolute 14 days thereafter. </w:t>
      </w:r>
    </w:p>
    <w:p w:rsidR="00791E9C" w:rsidRPr="009F61D6" w:rsidRDefault="00791E9C" w:rsidP="004B3C9D">
      <w:pPr>
        <w:tabs>
          <w:tab w:val="clear" w:pos="4320"/>
          <w:tab w:val="clear" w:pos="9072"/>
        </w:tabs>
        <w:spacing w:line="360" w:lineRule="auto"/>
        <w:jc w:val="both"/>
        <w:rPr>
          <w:lang w:eastAsia="en-US"/>
        </w:rPr>
      </w:pPr>
    </w:p>
    <w:p w:rsidR="00E97D01" w:rsidRPr="009F61D6" w:rsidRDefault="00E97D01" w:rsidP="004B3C9D">
      <w:pPr>
        <w:tabs>
          <w:tab w:val="clear" w:pos="4320"/>
          <w:tab w:val="clear" w:pos="9072"/>
        </w:tabs>
        <w:spacing w:line="360" w:lineRule="auto"/>
        <w:jc w:val="both"/>
        <w:rPr>
          <w:lang w:eastAsia="en-US"/>
        </w:rPr>
      </w:pPr>
    </w:p>
    <w:p w:rsidR="00E97D01" w:rsidRPr="009F61D6" w:rsidRDefault="00E97D01" w:rsidP="004B3C9D">
      <w:pPr>
        <w:tabs>
          <w:tab w:val="clear" w:pos="4320"/>
          <w:tab w:val="clear" w:pos="9072"/>
        </w:tabs>
        <w:spacing w:line="360" w:lineRule="auto"/>
        <w:jc w:val="both"/>
        <w:rPr>
          <w:lang w:eastAsia="en-US"/>
        </w:rPr>
      </w:pPr>
    </w:p>
    <w:p w:rsidR="00791E9C" w:rsidRPr="009F61D6" w:rsidRDefault="00E97D01" w:rsidP="00E97D01">
      <w:pPr>
        <w:pStyle w:val="ListParagraph"/>
        <w:tabs>
          <w:tab w:val="clear" w:pos="4320"/>
          <w:tab w:val="clear" w:pos="9072"/>
          <w:tab w:val="center" w:pos="6480"/>
        </w:tabs>
        <w:ind w:left="0"/>
        <w:jc w:val="both"/>
        <w:rPr>
          <w:lang w:eastAsia="en-US"/>
        </w:rPr>
      </w:pPr>
      <w:r w:rsidRPr="009F61D6">
        <w:rPr>
          <w:lang w:eastAsia="en-US"/>
        </w:rPr>
        <w:tab/>
      </w:r>
      <w:r w:rsidRPr="009F61D6">
        <w:rPr>
          <w:lang w:eastAsia="en-US"/>
        </w:rPr>
        <w:tab/>
      </w:r>
      <w:r w:rsidR="00791E9C" w:rsidRPr="009F61D6">
        <w:rPr>
          <w:lang w:eastAsia="en-US"/>
        </w:rPr>
        <w:t>(</w:t>
      </w:r>
      <w:r w:rsidR="007223B7" w:rsidRPr="009F61D6">
        <w:rPr>
          <w:lang w:eastAsia="en-US"/>
        </w:rPr>
        <w:t xml:space="preserve"> </w:t>
      </w:r>
      <w:r w:rsidR="00791E9C" w:rsidRPr="009F61D6">
        <w:rPr>
          <w:lang w:eastAsia="en-US"/>
        </w:rPr>
        <w:t>Eric Tam</w:t>
      </w:r>
      <w:r w:rsidR="007223B7" w:rsidRPr="009F61D6">
        <w:rPr>
          <w:lang w:eastAsia="en-US"/>
        </w:rPr>
        <w:t xml:space="preserve"> </w:t>
      </w:r>
      <w:r w:rsidR="00791E9C" w:rsidRPr="009F61D6">
        <w:rPr>
          <w:lang w:eastAsia="en-US"/>
        </w:rPr>
        <w:t>)</w:t>
      </w:r>
    </w:p>
    <w:p w:rsidR="00791E9C" w:rsidRPr="009F61D6" w:rsidRDefault="00E97D01" w:rsidP="00E97D01">
      <w:pPr>
        <w:pStyle w:val="ListParagraph"/>
        <w:tabs>
          <w:tab w:val="clear" w:pos="4320"/>
          <w:tab w:val="clear" w:pos="9072"/>
          <w:tab w:val="center" w:pos="6480"/>
        </w:tabs>
        <w:ind w:left="0"/>
        <w:jc w:val="both"/>
        <w:rPr>
          <w:lang w:eastAsia="en-US"/>
        </w:rPr>
      </w:pPr>
      <w:r w:rsidRPr="009F61D6">
        <w:rPr>
          <w:lang w:eastAsia="en-US"/>
        </w:rPr>
        <w:tab/>
      </w:r>
      <w:r w:rsidRPr="009F61D6">
        <w:rPr>
          <w:lang w:eastAsia="en-US"/>
        </w:rPr>
        <w:tab/>
      </w:r>
      <w:r w:rsidR="00791E9C" w:rsidRPr="009F61D6">
        <w:rPr>
          <w:lang w:eastAsia="en-US"/>
        </w:rPr>
        <w:t>Deputy District Judge</w:t>
      </w:r>
    </w:p>
    <w:p w:rsidR="00791E9C" w:rsidRPr="009F61D6" w:rsidRDefault="00791E9C" w:rsidP="004B3C9D">
      <w:pPr>
        <w:tabs>
          <w:tab w:val="clear" w:pos="4320"/>
          <w:tab w:val="clear" w:pos="9072"/>
        </w:tabs>
        <w:spacing w:line="360" w:lineRule="auto"/>
        <w:jc w:val="both"/>
      </w:pPr>
    </w:p>
    <w:p w:rsidR="004110C0" w:rsidRPr="009F61D6" w:rsidRDefault="004110C0" w:rsidP="00E97D01">
      <w:pPr>
        <w:pStyle w:val="ListParagraph"/>
        <w:tabs>
          <w:tab w:val="clear" w:pos="4320"/>
          <w:tab w:val="clear" w:pos="9072"/>
        </w:tabs>
        <w:ind w:left="0"/>
        <w:jc w:val="both"/>
      </w:pPr>
    </w:p>
    <w:p w:rsidR="00791E9C" w:rsidRPr="009F61D6" w:rsidRDefault="00791E9C" w:rsidP="00E97D01">
      <w:pPr>
        <w:pStyle w:val="ListParagraph"/>
        <w:tabs>
          <w:tab w:val="clear" w:pos="4320"/>
          <w:tab w:val="clear" w:pos="9072"/>
        </w:tabs>
        <w:ind w:left="0"/>
        <w:jc w:val="both"/>
      </w:pPr>
      <w:r w:rsidRPr="009F61D6">
        <w:t>Mr Patrick D Lim, instructed by Szwina Pang, Edward Li &amp; Co</w:t>
      </w:r>
      <w:r w:rsidR="00300767" w:rsidRPr="009F61D6">
        <w:t>.</w:t>
      </w:r>
      <w:r w:rsidRPr="009F61D6">
        <w:t>, for the plaintiff</w:t>
      </w:r>
    </w:p>
    <w:p w:rsidR="00E97D01" w:rsidRPr="009F61D6" w:rsidRDefault="00E97D01" w:rsidP="00E97D01">
      <w:pPr>
        <w:pStyle w:val="ListParagraph"/>
        <w:tabs>
          <w:tab w:val="clear" w:pos="4320"/>
          <w:tab w:val="clear" w:pos="9072"/>
        </w:tabs>
        <w:ind w:left="0"/>
        <w:jc w:val="both"/>
      </w:pPr>
    </w:p>
    <w:p w:rsidR="00791E9C" w:rsidRPr="009F61D6" w:rsidRDefault="00791E9C" w:rsidP="00E97D01">
      <w:pPr>
        <w:pStyle w:val="ListParagraph"/>
        <w:tabs>
          <w:tab w:val="clear" w:pos="4320"/>
          <w:tab w:val="clear" w:pos="9072"/>
        </w:tabs>
        <w:ind w:left="0"/>
        <w:jc w:val="both"/>
      </w:pPr>
      <w:r w:rsidRPr="009F61D6">
        <w:t>Mr Gary K H Chung</w:t>
      </w:r>
      <w:r w:rsidR="00E97D01" w:rsidRPr="009F61D6">
        <w:t>, i</w:t>
      </w:r>
      <w:r w:rsidRPr="009F61D6">
        <w:t>nstructed by Cheng, Yeung &amp; Co</w:t>
      </w:r>
      <w:r w:rsidR="00300767" w:rsidRPr="009F61D6">
        <w:t>.</w:t>
      </w:r>
      <w:r w:rsidRPr="009F61D6">
        <w:t>, for the 1</w:t>
      </w:r>
      <w:r w:rsidRPr="009F61D6">
        <w:rPr>
          <w:vertAlign w:val="superscript"/>
        </w:rPr>
        <w:t>st</w:t>
      </w:r>
      <w:r w:rsidRPr="009F61D6">
        <w:t xml:space="preserve"> defendant</w:t>
      </w:r>
    </w:p>
    <w:p w:rsidR="00E97D01" w:rsidRPr="009F61D6" w:rsidRDefault="00E97D01" w:rsidP="00CD6DFD">
      <w:pPr>
        <w:pStyle w:val="ListParagraph"/>
        <w:tabs>
          <w:tab w:val="clear" w:pos="4320"/>
          <w:tab w:val="clear" w:pos="9072"/>
        </w:tabs>
        <w:ind w:left="0"/>
        <w:jc w:val="both"/>
      </w:pPr>
    </w:p>
    <w:p w:rsidR="00CD6DFD" w:rsidRPr="009F61D6" w:rsidRDefault="008E21F3" w:rsidP="00CD6DFD">
      <w:pPr>
        <w:pStyle w:val="ListParagraph"/>
        <w:tabs>
          <w:tab w:val="clear" w:pos="4320"/>
          <w:tab w:val="clear" w:pos="9072"/>
        </w:tabs>
        <w:ind w:left="0"/>
        <w:jc w:val="both"/>
      </w:pPr>
      <w:r w:rsidRPr="009F61D6">
        <w:t>Au Yeung, Cheng, Ho &amp; Tin for t</w:t>
      </w:r>
      <w:r w:rsidR="000E338F" w:rsidRPr="009F61D6">
        <w:t>he</w:t>
      </w:r>
      <w:r w:rsidR="00A0426C" w:rsidRPr="009F61D6">
        <w:t xml:space="preserve"> </w:t>
      </w:r>
      <w:r w:rsidR="00791E9C" w:rsidRPr="009F61D6">
        <w:t>2</w:t>
      </w:r>
      <w:r w:rsidR="00791E9C" w:rsidRPr="009F61D6">
        <w:rPr>
          <w:vertAlign w:val="superscript"/>
        </w:rPr>
        <w:t>nd</w:t>
      </w:r>
      <w:r w:rsidR="00791E9C" w:rsidRPr="009F61D6">
        <w:t xml:space="preserve"> defendant</w:t>
      </w:r>
      <w:r w:rsidRPr="009F61D6">
        <w:t>, who attendance</w:t>
      </w:r>
      <w:r w:rsidR="00791E9C" w:rsidRPr="009F61D6">
        <w:t xml:space="preserve"> </w:t>
      </w:r>
      <w:r w:rsidR="00A0426C" w:rsidRPr="009F61D6">
        <w:t>was excused</w:t>
      </w:r>
      <w:r w:rsidR="000E338F" w:rsidRPr="009F61D6">
        <w:t xml:space="preserve"> </w:t>
      </w:r>
    </w:p>
    <w:p w:rsidR="000E338F" w:rsidRPr="009F61D6" w:rsidRDefault="000E338F" w:rsidP="00CD6DFD">
      <w:pPr>
        <w:pStyle w:val="ListParagraph"/>
        <w:tabs>
          <w:tab w:val="clear" w:pos="4320"/>
          <w:tab w:val="clear" w:pos="9072"/>
        </w:tabs>
        <w:ind w:left="0"/>
        <w:jc w:val="both"/>
      </w:pPr>
    </w:p>
    <w:p w:rsidR="00791E9C" w:rsidRPr="009F61D6" w:rsidRDefault="00791E9C" w:rsidP="00CD6DFD">
      <w:pPr>
        <w:pStyle w:val="ListParagraph"/>
        <w:tabs>
          <w:tab w:val="clear" w:pos="4320"/>
          <w:tab w:val="clear" w:pos="9072"/>
        </w:tabs>
        <w:ind w:left="0"/>
        <w:jc w:val="both"/>
      </w:pPr>
      <w:r w:rsidRPr="009F61D6">
        <w:t>Mr Leon Ho, instructed by Au &amp; Associates, for the 3</w:t>
      </w:r>
      <w:r w:rsidRPr="009F61D6">
        <w:rPr>
          <w:vertAlign w:val="superscript"/>
        </w:rPr>
        <w:t>rd</w:t>
      </w:r>
      <w:r w:rsidRPr="009F61D6">
        <w:t xml:space="preserve"> defendant </w:t>
      </w:r>
    </w:p>
    <w:p w:rsidR="00791E9C" w:rsidRPr="009F61D6" w:rsidRDefault="00791E9C" w:rsidP="00791E9C">
      <w:pPr>
        <w:tabs>
          <w:tab w:val="clear" w:pos="1440"/>
          <w:tab w:val="clear" w:pos="4320"/>
          <w:tab w:val="clear" w:pos="9072"/>
        </w:tabs>
        <w:snapToGrid/>
        <w:spacing w:line="360" w:lineRule="auto"/>
        <w:contextualSpacing/>
        <w:jc w:val="both"/>
        <w:rPr>
          <w:sz w:val="26"/>
          <w:szCs w:val="26"/>
          <w:lang w:eastAsia="zh-TW"/>
        </w:rPr>
      </w:pPr>
    </w:p>
    <w:p w:rsidR="00791E9C" w:rsidRPr="009F61D6" w:rsidRDefault="00791E9C" w:rsidP="00791E9C">
      <w:pPr>
        <w:tabs>
          <w:tab w:val="clear" w:pos="1440"/>
          <w:tab w:val="clear" w:pos="4320"/>
          <w:tab w:val="clear" w:pos="9072"/>
        </w:tabs>
        <w:snapToGrid/>
        <w:spacing w:line="360" w:lineRule="auto"/>
        <w:jc w:val="both"/>
        <w:rPr>
          <w:sz w:val="26"/>
          <w:szCs w:val="26"/>
          <w:lang w:val="en-HK" w:eastAsia="zh-TW"/>
        </w:rPr>
      </w:pPr>
    </w:p>
    <w:p w:rsidR="00791E9C" w:rsidRPr="009F61D6" w:rsidRDefault="00791E9C" w:rsidP="008E21F3">
      <w:pPr>
        <w:tabs>
          <w:tab w:val="clear" w:pos="1440"/>
          <w:tab w:val="clear" w:pos="4320"/>
          <w:tab w:val="clear" w:pos="9072"/>
        </w:tabs>
        <w:snapToGrid/>
        <w:spacing w:before="100" w:beforeAutospacing="1" w:after="100" w:afterAutospacing="1"/>
        <w:ind w:left="720"/>
        <w:rPr>
          <w:sz w:val="24"/>
          <w:szCs w:val="24"/>
          <w:lang w:val="en-HK"/>
        </w:rPr>
      </w:pPr>
      <w:r w:rsidRPr="009F61D6">
        <w:rPr>
          <w:sz w:val="24"/>
          <w:szCs w:val="24"/>
          <w:lang w:val="en-HK"/>
        </w:rPr>
        <w:t xml:space="preserve"> </w:t>
      </w:r>
    </w:p>
    <w:sectPr w:rsidR="00791E9C" w:rsidRPr="009F61D6"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2E4A" w:rsidRDefault="00FE2E4A">
      <w:r>
        <w:separator/>
      </w:r>
    </w:p>
  </w:endnote>
  <w:endnote w:type="continuationSeparator" w:id="0">
    <w:p w:rsidR="00FE2E4A" w:rsidRDefault="00FE2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B47" w:rsidRDefault="00BF7B47">
    <w:pPr>
      <w:pStyle w:val="Footer"/>
      <w:framePr w:wrap="auto" w:vAnchor="text" w:hAnchor="margin" w:xAlign="right" w:y="1"/>
      <w:rPr>
        <w:rStyle w:val="PageNumber"/>
      </w:rPr>
    </w:pPr>
  </w:p>
  <w:p w:rsidR="00BF7B47" w:rsidRDefault="00BF7B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2E4A" w:rsidRDefault="00FE2E4A">
      <w:r>
        <w:separator/>
      </w:r>
    </w:p>
  </w:footnote>
  <w:footnote w:type="continuationSeparator" w:id="0">
    <w:p w:rsidR="00FE2E4A" w:rsidRDefault="00FE2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B47" w:rsidRDefault="00547B29">
    <w:pPr>
      <w:pStyle w:val="Header"/>
    </w:pPr>
    <w:r>
      <w:rPr>
        <w:noProof/>
      </w:rPr>
    </w:r>
    <w:r w:rsidR="00547B29">
      <w:rPr>
        <w:noProof/>
      </w:rPr>
      <w:pict w14:anchorId="5A5E5233">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" o:allowincell="f" stroked="f">
          <o:lock v:ext="edit" aspectratio="t" verticies="t" text="t" shapetype="t"/>
          <v:textbo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v:textbox>
        </v:shape>
      </w:pict>
    </w:r>
    <w:r>
      <w:rPr>
        <w:noProof/>
      </w:rPr>
    </w:r>
    <w:r w:rsidR="00547B29">
      <w:rPr>
        <w:noProof/>
      </w:rPr>
      <w:pict w14:anchorId="42F297A3">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w:r>
    <w:r>
      <w:rPr>
        <w:noProof/>
      </w:rPr>
    </w:r>
    <w:r w:rsidR="00547B29">
      <w:rPr>
        <w:noProof/>
      </w:rPr>
      <w:pict w14:anchorId="52878B39">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BF7B47" w:rsidRDefault="00BF7B47">
                <w:pPr>
                  <w:rPr>
                    <w:rFonts w:eastAsia="SimHei"/>
                    <w:b/>
                    <w:bCs/>
                    <w:sz w:val="18"/>
                    <w:szCs w:val="18"/>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B47" w:rsidRDefault="00547B29">
    <w:pPr>
      <w:pStyle w:val="Header"/>
      <w:rPr>
        <w:sz w:val="28"/>
        <w:szCs w:val="28"/>
      </w:rPr>
    </w:pPr>
    <w:r>
      <w:rPr>
        <w:noProof/>
      </w:rPr>
    </w:r>
    <w:r w:rsidR="00547B29">
      <w:rPr>
        <w:noProof/>
      </w:rPr>
      <w:pict w14:anchorId="33DB2BBC">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" o:allowincell="f" stroked="f">
          <o:lock v:ext="edit" aspectratio="t" verticies="t" text="t" shapetype="t"/>
          <v:textbo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v:textbox>
        </v:shape>
      </w:pict>
    </w:r>
    <w:r w:rsidR="00BF7B47">
      <w:rPr>
        <w:sz w:val="28"/>
        <w:szCs w:val="28"/>
      </w:rPr>
      <w:t xml:space="preserve">- </w:t>
    </w:r>
    <w:r w:rsidR="00BF7B47">
      <w:rPr>
        <w:rStyle w:val="PageNumber"/>
        <w:sz w:val="28"/>
        <w:szCs w:val="28"/>
      </w:rPr>
      <w:fldChar w:fldCharType="begin"/>
    </w:r>
    <w:r w:rsidR="00BF7B47">
      <w:rPr>
        <w:rStyle w:val="PageNumber"/>
        <w:sz w:val="28"/>
        <w:szCs w:val="28"/>
      </w:rPr>
      <w:instrText xml:space="preserve"> PAGE </w:instrText>
    </w:r>
    <w:r w:rsidR="00BF7B47">
      <w:rPr>
        <w:rStyle w:val="PageNumber"/>
        <w:sz w:val="28"/>
        <w:szCs w:val="28"/>
      </w:rPr>
      <w:fldChar w:fldCharType="separate"/>
    </w:r>
    <w:r w:rsidR="00B54727">
      <w:rPr>
        <w:rStyle w:val="PageNumber"/>
        <w:noProof/>
        <w:sz w:val="28"/>
        <w:szCs w:val="28"/>
      </w:rPr>
      <w:t>2</w:t>
    </w:r>
    <w:r w:rsidR="00BF7B47">
      <w:rPr>
        <w:rStyle w:val="PageNumber"/>
        <w:sz w:val="28"/>
        <w:szCs w:val="28"/>
      </w:rPr>
      <w:fldChar w:fldCharType="end"/>
    </w:r>
    <w:r w:rsidR="00BF7B47">
      <w:rPr>
        <w:rStyle w:val="PageNumber"/>
        <w:sz w:val="28"/>
        <w:szCs w:val="28"/>
      </w:rPr>
      <w:t xml:space="preserve"> -</w:t>
    </w:r>
    <w:r>
      <w:rPr>
        <w:noProof/>
      </w:rPr>
    </w:r>
    <w:r w:rsidR="00547B29">
      <w:rPr>
        <w:noProof/>
      </w:rPr>
      <w:pict w14:anchorId="2BF8B2A5">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w:r>
    <w:r>
      <w:rPr>
        <w:noProof/>
      </w:rPr>
    </w:r>
    <w:r w:rsidR="00547B29">
      <w:rPr>
        <w:noProof/>
      </w:rPr>
      <w:pict w14:anchorId="79D58465">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BF7B47" w:rsidRDefault="00BF7B47">
                <w:pPr>
                  <w:rPr>
                    <w:rFonts w:eastAsia="SimHei"/>
                    <w:b/>
                    <w:bCs/>
                    <w:sz w:val="18"/>
                    <w:szCs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52E"/>
    <w:multiLevelType w:val="hybridMultilevel"/>
    <w:tmpl w:val="65BE98C8"/>
    <w:lvl w:ilvl="0" w:tplc="840E7ED6">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323785"/>
    <w:multiLevelType w:val="hybridMultilevel"/>
    <w:tmpl w:val="FE9C6AAC"/>
    <w:lvl w:ilvl="0" w:tplc="B144103E">
      <w:start w:val="1"/>
      <w:numFmt w:val="lowerLetter"/>
      <w:lvlText w:val="(%1)"/>
      <w:lvlJc w:val="left"/>
      <w:pPr>
        <w:ind w:left="720" w:hanging="360"/>
      </w:pPr>
      <w:rPr>
        <w:rFonts w:hint="eastAsia"/>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3B0F76B7"/>
    <w:multiLevelType w:val="hybridMultilevel"/>
    <w:tmpl w:val="4C7EDE7C"/>
    <w:lvl w:ilvl="0" w:tplc="53B6BD2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112458C"/>
    <w:multiLevelType w:val="hybridMultilevel"/>
    <w:tmpl w:val="8D0A614C"/>
    <w:lvl w:ilvl="0" w:tplc="771ABD56">
      <w:start w:val="1"/>
      <w:numFmt w:val="lowerRoman"/>
      <w:lvlText w:val="(%1)"/>
      <w:lvlJc w:val="left"/>
      <w:pPr>
        <w:ind w:left="720" w:hanging="360"/>
      </w:pPr>
      <w:rPr>
        <w:rFonts w:ascii="Times New Roman" w:eastAsia="PMingLiU" w:hAnsi="Times New Roman" w:cs="PMingLiU"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64024"/>
    <w:multiLevelType w:val="hybridMultilevel"/>
    <w:tmpl w:val="798426B2"/>
    <w:lvl w:ilvl="0" w:tplc="7A32429A">
      <w:start w:val="1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1017117"/>
    <w:multiLevelType w:val="hybridMultilevel"/>
    <w:tmpl w:val="8EA6EF26"/>
    <w:lvl w:ilvl="0" w:tplc="95A69CB8">
      <w:start w:val="1"/>
      <w:numFmt w:val="lowerLetter"/>
      <w:lvlText w:val="(%1)"/>
      <w:lvlJc w:val="left"/>
      <w:pPr>
        <w:ind w:left="720" w:hanging="360"/>
      </w:pPr>
      <w:rPr>
        <w:rFonts w:hint="eastAsia"/>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FA54182"/>
    <w:multiLevelType w:val="hybridMultilevel"/>
    <w:tmpl w:val="AE4C3A8C"/>
    <w:lvl w:ilvl="0" w:tplc="B82AD8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24507427">
    <w:abstractNumId w:val="2"/>
  </w:num>
  <w:num w:numId="2" w16cid:durableId="298805142">
    <w:abstractNumId w:val="0"/>
  </w:num>
  <w:num w:numId="3" w16cid:durableId="787506335">
    <w:abstractNumId w:val="3"/>
  </w:num>
  <w:num w:numId="4" w16cid:durableId="60713129">
    <w:abstractNumId w:val="1"/>
  </w:num>
  <w:num w:numId="5" w16cid:durableId="1998455362">
    <w:abstractNumId w:val="6"/>
  </w:num>
  <w:num w:numId="6" w16cid:durableId="1275866153">
    <w:abstractNumId w:val="5"/>
  </w:num>
  <w:num w:numId="7" w16cid:durableId="1751074242">
    <w:abstractNumId w:val="4"/>
  </w:num>
  <w:num w:numId="8" w16cid:durableId="154752484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2BFC"/>
    <w:rsid w:val="00013FCC"/>
    <w:rsid w:val="0003309A"/>
    <w:rsid w:val="00040298"/>
    <w:rsid w:val="0004260A"/>
    <w:rsid w:val="000474C1"/>
    <w:rsid w:val="00071C4B"/>
    <w:rsid w:val="00076AAA"/>
    <w:rsid w:val="00094E71"/>
    <w:rsid w:val="000E338F"/>
    <w:rsid w:val="000E3567"/>
    <w:rsid w:val="00101D06"/>
    <w:rsid w:val="00125A35"/>
    <w:rsid w:val="00142289"/>
    <w:rsid w:val="00150C06"/>
    <w:rsid w:val="00182F95"/>
    <w:rsid w:val="00192985"/>
    <w:rsid w:val="001C424C"/>
    <w:rsid w:val="001C5A67"/>
    <w:rsid w:val="001D0B73"/>
    <w:rsid w:val="00236427"/>
    <w:rsid w:val="002877C7"/>
    <w:rsid w:val="00297721"/>
    <w:rsid w:val="002B25E1"/>
    <w:rsid w:val="002B6676"/>
    <w:rsid w:val="002C0B1D"/>
    <w:rsid w:val="002C2792"/>
    <w:rsid w:val="002D03D9"/>
    <w:rsid w:val="002D0D6D"/>
    <w:rsid w:val="00300767"/>
    <w:rsid w:val="00303523"/>
    <w:rsid w:val="00311921"/>
    <w:rsid w:val="00320D2F"/>
    <w:rsid w:val="00363B85"/>
    <w:rsid w:val="00386DFB"/>
    <w:rsid w:val="003E659F"/>
    <w:rsid w:val="004110C0"/>
    <w:rsid w:val="00415197"/>
    <w:rsid w:val="00416FF7"/>
    <w:rsid w:val="00425A69"/>
    <w:rsid w:val="00454A93"/>
    <w:rsid w:val="00455F1E"/>
    <w:rsid w:val="004770C8"/>
    <w:rsid w:val="004850F6"/>
    <w:rsid w:val="004A4024"/>
    <w:rsid w:val="004B3C9D"/>
    <w:rsid w:val="004B5BC0"/>
    <w:rsid w:val="004F5B91"/>
    <w:rsid w:val="004F7678"/>
    <w:rsid w:val="00547B29"/>
    <w:rsid w:val="0056426F"/>
    <w:rsid w:val="005973FA"/>
    <w:rsid w:val="005A5EB7"/>
    <w:rsid w:val="005B2D79"/>
    <w:rsid w:val="005B5075"/>
    <w:rsid w:val="005E4F81"/>
    <w:rsid w:val="005F0579"/>
    <w:rsid w:val="00610826"/>
    <w:rsid w:val="006154D1"/>
    <w:rsid w:val="00631127"/>
    <w:rsid w:val="00687961"/>
    <w:rsid w:val="006A6B46"/>
    <w:rsid w:val="006C426E"/>
    <w:rsid w:val="006C6DEC"/>
    <w:rsid w:val="007001B5"/>
    <w:rsid w:val="00713003"/>
    <w:rsid w:val="007133DF"/>
    <w:rsid w:val="007223B7"/>
    <w:rsid w:val="0072411A"/>
    <w:rsid w:val="00745850"/>
    <w:rsid w:val="00753CAF"/>
    <w:rsid w:val="00757DFF"/>
    <w:rsid w:val="00791E9C"/>
    <w:rsid w:val="007F0F94"/>
    <w:rsid w:val="007F4740"/>
    <w:rsid w:val="00824EC6"/>
    <w:rsid w:val="00827FFC"/>
    <w:rsid w:val="00853FBB"/>
    <w:rsid w:val="00870DF6"/>
    <w:rsid w:val="008E21F3"/>
    <w:rsid w:val="008E6121"/>
    <w:rsid w:val="00927A3A"/>
    <w:rsid w:val="009306E6"/>
    <w:rsid w:val="00973DB1"/>
    <w:rsid w:val="00985BFF"/>
    <w:rsid w:val="00991973"/>
    <w:rsid w:val="00992161"/>
    <w:rsid w:val="00992FB5"/>
    <w:rsid w:val="009A1B52"/>
    <w:rsid w:val="009B71FF"/>
    <w:rsid w:val="009E1F5A"/>
    <w:rsid w:val="009F5C5F"/>
    <w:rsid w:val="009F61D6"/>
    <w:rsid w:val="00A01A35"/>
    <w:rsid w:val="00A0426C"/>
    <w:rsid w:val="00A17C0A"/>
    <w:rsid w:val="00A20216"/>
    <w:rsid w:val="00A42CB8"/>
    <w:rsid w:val="00A8299F"/>
    <w:rsid w:val="00AA733C"/>
    <w:rsid w:val="00AC19E9"/>
    <w:rsid w:val="00AD0F54"/>
    <w:rsid w:val="00B13D4E"/>
    <w:rsid w:val="00B41A5F"/>
    <w:rsid w:val="00B54727"/>
    <w:rsid w:val="00B55F95"/>
    <w:rsid w:val="00B74D98"/>
    <w:rsid w:val="00B8421F"/>
    <w:rsid w:val="00BB781A"/>
    <w:rsid w:val="00BD61C5"/>
    <w:rsid w:val="00BE4D4E"/>
    <w:rsid w:val="00BE6155"/>
    <w:rsid w:val="00BF7B47"/>
    <w:rsid w:val="00C1584C"/>
    <w:rsid w:val="00C40EAD"/>
    <w:rsid w:val="00C5759E"/>
    <w:rsid w:val="00C77CD9"/>
    <w:rsid w:val="00C83C06"/>
    <w:rsid w:val="00CA1C8B"/>
    <w:rsid w:val="00CC09AE"/>
    <w:rsid w:val="00CD22C7"/>
    <w:rsid w:val="00CD6DFD"/>
    <w:rsid w:val="00CF406C"/>
    <w:rsid w:val="00D30860"/>
    <w:rsid w:val="00D55A9F"/>
    <w:rsid w:val="00D715A5"/>
    <w:rsid w:val="00D82412"/>
    <w:rsid w:val="00DA1549"/>
    <w:rsid w:val="00DA4E44"/>
    <w:rsid w:val="00DA7AB6"/>
    <w:rsid w:val="00DC6A7E"/>
    <w:rsid w:val="00DE386F"/>
    <w:rsid w:val="00E32EF3"/>
    <w:rsid w:val="00E35009"/>
    <w:rsid w:val="00E97D01"/>
    <w:rsid w:val="00EB4E6E"/>
    <w:rsid w:val="00EE1EDB"/>
    <w:rsid w:val="00EE29EE"/>
    <w:rsid w:val="00F002C9"/>
    <w:rsid w:val="00F26B60"/>
    <w:rsid w:val="00F87079"/>
    <w:rsid w:val="00F95346"/>
    <w:rsid w:val="00FB413A"/>
    <w:rsid w:val="00FD581A"/>
    <w:rsid w:val="00FE2E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382CA91-9A6F-1546-88B0-CDC6767E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91E9C"/>
    <w:rPr>
      <w:sz w:val="24"/>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1ABC-9DFA-4B65-A910-F66088F49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2017-05-29T04:29:00Z</cp:lastPrinted>
  <dcterms:created xsi:type="dcterms:W3CDTF">2023-10-14T01:10:00Z</dcterms:created>
  <dcterms:modified xsi:type="dcterms:W3CDTF">2023-10-14T01:10:00Z</dcterms:modified>
</cp:coreProperties>
</file>