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1576" w:rsidRDefault="00E71E46" w:rsidP="008B6C2F">
      <w:pPr>
        <w:pStyle w:val="Heading2"/>
        <w:tabs>
          <w:tab w:val="clear" w:pos="4320"/>
          <w:tab w:val="clear" w:pos="9072"/>
        </w:tabs>
        <w:snapToGrid w:val="0"/>
        <w:jc w:val="right"/>
        <w:rPr>
          <w:b w:val="0"/>
          <w:sz w:val="28"/>
          <w:szCs w:val="28"/>
        </w:rPr>
      </w:pPr>
      <w:r w:rsidRPr="004B3773">
        <w:rPr>
          <w:rFonts w:eastAsia="PMingLiU"/>
          <w:b w:val="0"/>
          <w:sz w:val="28"/>
          <w:szCs w:val="28"/>
        </w:rPr>
        <w:t>DC</w:t>
      </w:r>
      <w:r w:rsidR="00AF63D5" w:rsidRPr="004B3773">
        <w:rPr>
          <w:rFonts w:eastAsia="PMingLiU"/>
          <w:b w:val="0"/>
          <w:sz w:val="28"/>
          <w:szCs w:val="28"/>
        </w:rPr>
        <w:t>PI</w:t>
      </w:r>
      <w:r w:rsidR="00481CCA" w:rsidRPr="004B3773">
        <w:rPr>
          <w:rFonts w:eastAsia="PMingLiU"/>
          <w:b w:val="0"/>
          <w:sz w:val="28"/>
          <w:szCs w:val="28"/>
          <w:lang w:eastAsia="zh-TW"/>
        </w:rPr>
        <w:t xml:space="preserve"> </w:t>
      </w:r>
      <w:r w:rsidR="006E1576">
        <w:rPr>
          <w:b w:val="0"/>
          <w:sz w:val="28"/>
          <w:szCs w:val="28"/>
        </w:rPr>
        <w:t>96</w:t>
      </w:r>
      <w:r w:rsidR="00E36D65" w:rsidRPr="004B3773">
        <w:rPr>
          <w:b w:val="0"/>
          <w:sz w:val="28"/>
          <w:szCs w:val="28"/>
        </w:rPr>
        <w:t>/201</w:t>
      </w:r>
      <w:r w:rsidR="006E1576">
        <w:rPr>
          <w:b w:val="0"/>
          <w:sz w:val="28"/>
          <w:szCs w:val="28"/>
        </w:rPr>
        <w:t>5</w:t>
      </w:r>
    </w:p>
    <w:p w:rsidR="00E71E46" w:rsidRDefault="006E1576" w:rsidP="008B6C2F">
      <w:pPr>
        <w:pStyle w:val="Heading2"/>
        <w:tabs>
          <w:tab w:val="clear" w:pos="4320"/>
          <w:tab w:val="clear" w:pos="9072"/>
        </w:tabs>
        <w:snapToGrid w:val="0"/>
        <w:jc w:val="right"/>
        <w:rPr>
          <w:b w:val="0"/>
          <w:sz w:val="28"/>
          <w:szCs w:val="28"/>
        </w:rPr>
      </w:pPr>
      <w:r w:rsidRPr="006E1576">
        <w:rPr>
          <w:b w:val="0"/>
          <w:sz w:val="28"/>
          <w:szCs w:val="28"/>
        </w:rPr>
        <w:t>DCPI 439/2015</w:t>
      </w:r>
    </w:p>
    <w:p w:rsidR="006E1576" w:rsidRPr="006E1576" w:rsidRDefault="006E1576" w:rsidP="008B6C2F">
      <w:pPr>
        <w:jc w:val="right"/>
      </w:pPr>
      <w:r>
        <w:rPr>
          <w:szCs w:val="28"/>
        </w:rPr>
        <w:t>DCPI 476/2015</w:t>
      </w:r>
    </w:p>
    <w:p w:rsidR="006E1576" w:rsidRPr="006E1576" w:rsidRDefault="006E1576" w:rsidP="008B6C2F">
      <w:pPr>
        <w:jc w:val="right"/>
      </w:pPr>
      <w:r>
        <w:t>(Heard Together)</w:t>
      </w:r>
    </w:p>
    <w:p w:rsidR="00481CCA" w:rsidRPr="004B3773" w:rsidRDefault="00481CCA" w:rsidP="008B6C2F">
      <w:pPr>
        <w:spacing w:line="360" w:lineRule="auto"/>
        <w:rPr>
          <w:rFonts w:eastAsia="PMingLiU"/>
          <w:szCs w:val="28"/>
        </w:rPr>
      </w:pPr>
    </w:p>
    <w:p w:rsidR="00E71E46" w:rsidRPr="004B3773" w:rsidRDefault="00E71E46" w:rsidP="008B6C2F">
      <w:pPr>
        <w:pStyle w:val="normal3"/>
        <w:tabs>
          <w:tab w:val="clear" w:pos="4320"/>
          <w:tab w:val="clear" w:pos="4500"/>
          <w:tab w:val="clear" w:pos="9000"/>
          <w:tab w:val="clear" w:pos="9072"/>
        </w:tabs>
        <w:overflowPunct/>
        <w:autoSpaceDE/>
        <w:autoSpaceDN/>
        <w:rPr>
          <w:rFonts w:eastAsia="PMingLiU"/>
          <w:szCs w:val="28"/>
          <w:lang w:val="en-US"/>
        </w:rPr>
        <w:sectPr w:rsidR="00E71E46" w:rsidRPr="004B3773" w:rsidSect="000048E7">
          <w:headerReference w:type="default" r:id="rId8"/>
          <w:footerReference w:type="even" r:id="rId9"/>
          <w:footerReference w:type="default" r:id="rId10"/>
          <w:pgSz w:w="11906" w:h="16838" w:code="9"/>
          <w:pgMar w:top="1800" w:right="1800" w:bottom="1440" w:left="1800" w:header="720" w:footer="720" w:gutter="0"/>
          <w:cols w:space="708"/>
          <w:docGrid w:linePitch="380"/>
        </w:sectPr>
      </w:pPr>
    </w:p>
    <w:p w:rsidR="00E71E46" w:rsidRPr="004B3773" w:rsidRDefault="00E71E46" w:rsidP="008B6C2F">
      <w:pPr>
        <w:tabs>
          <w:tab w:val="clear" w:pos="4320"/>
          <w:tab w:val="clear" w:pos="9072"/>
        </w:tabs>
        <w:adjustRightInd w:val="0"/>
        <w:spacing w:line="360" w:lineRule="auto"/>
        <w:jc w:val="center"/>
        <w:rPr>
          <w:rFonts w:eastAsia="PMingLiU"/>
          <w:b/>
          <w:bCs/>
          <w:szCs w:val="28"/>
        </w:rPr>
      </w:pPr>
      <w:r w:rsidRPr="004B3773">
        <w:rPr>
          <w:rFonts w:eastAsia="PMingLiU"/>
          <w:b/>
          <w:bCs/>
          <w:szCs w:val="28"/>
        </w:rPr>
        <w:t>IN THE DISTRICT COURT OF THE</w:t>
      </w:r>
    </w:p>
    <w:p w:rsidR="00E71E46" w:rsidRPr="004B3773" w:rsidRDefault="00E71E46" w:rsidP="008B6C2F">
      <w:pPr>
        <w:tabs>
          <w:tab w:val="clear" w:pos="4320"/>
          <w:tab w:val="clear" w:pos="9072"/>
        </w:tabs>
        <w:adjustRightInd w:val="0"/>
        <w:spacing w:line="360" w:lineRule="auto"/>
        <w:jc w:val="center"/>
        <w:rPr>
          <w:rFonts w:eastAsia="PMingLiU"/>
          <w:szCs w:val="28"/>
        </w:rPr>
      </w:pPr>
      <w:r w:rsidRPr="004B3773">
        <w:rPr>
          <w:rFonts w:eastAsia="PMingLiU"/>
          <w:b/>
          <w:bCs/>
          <w:szCs w:val="28"/>
        </w:rPr>
        <w:t>HONG KONG SPECIAL ADMINISTRATIVE REGION</w:t>
      </w:r>
    </w:p>
    <w:p w:rsidR="00E71E46" w:rsidRPr="004B3773" w:rsidRDefault="00AF63D5" w:rsidP="008B6C2F">
      <w:pPr>
        <w:tabs>
          <w:tab w:val="clear" w:pos="4320"/>
          <w:tab w:val="clear" w:pos="9072"/>
        </w:tabs>
        <w:adjustRightInd w:val="0"/>
        <w:spacing w:line="360" w:lineRule="auto"/>
        <w:jc w:val="center"/>
        <w:rPr>
          <w:szCs w:val="28"/>
        </w:rPr>
      </w:pPr>
      <w:r w:rsidRPr="004B3773">
        <w:rPr>
          <w:rFonts w:eastAsia="PMingLiU"/>
          <w:szCs w:val="28"/>
        </w:rPr>
        <w:t>PERSONAL INJURIES ACTION</w:t>
      </w:r>
      <w:r w:rsidR="00E71E46" w:rsidRPr="004B3773">
        <w:rPr>
          <w:rFonts w:eastAsia="PMingLiU"/>
          <w:szCs w:val="28"/>
        </w:rPr>
        <w:t xml:space="preserve"> NO </w:t>
      </w:r>
      <w:r w:rsidR="006E1576">
        <w:rPr>
          <w:szCs w:val="28"/>
        </w:rPr>
        <w:t>96</w:t>
      </w:r>
      <w:r w:rsidR="00E71E46" w:rsidRPr="004B3773">
        <w:rPr>
          <w:rFonts w:eastAsia="PMingLiU"/>
          <w:szCs w:val="28"/>
        </w:rPr>
        <w:t xml:space="preserve"> OF 20</w:t>
      </w:r>
      <w:r w:rsidR="004F5E0D" w:rsidRPr="004B3773">
        <w:rPr>
          <w:rFonts w:eastAsia="PMingLiU"/>
          <w:szCs w:val="28"/>
        </w:rPr>
        <w:t>1</w:t>
      </w:r>
      <w:r w:rsidR="006E1576">
        <w:rPr>
          <w:szCs w:val="28"/>
        </w:rPr>
        <w:t>5</w:t>
      </w:r>
    </w:p>
    <w:p w:rsidR="00B22085" w:rsidRPr="004B3773" w:rsidRDefault="00B22085" w:rsidP="008B6C2F">
      <w:pPr>
        <w:tabs>
          <w:tab w:val="clear" w:pos="4320"/>
          <w:tab w:val="clear" w:pos="9072"/>
        </w:tabs>
        <w:adjustRightInd w:val="0"/>
        <w:spacing w:line="360" w:lineRule="auto"/>
        <w:jc w:val="center"/>
        <w:rPr>
          <w:szCs w:val="28"/>
        </w:rPr>
      </w:pPr>
    </w:p>
    <w:p w:rsidR="00E71E46" w:rsidRPr="004B3773" w:rsidRDefault="00E71E46" w:rsidP="008B6C2F">
      <w:pPr>
        <w:tabs>
          <w:tab w:val="clear" w:pos="4320"/>
          <w:tab w:val="clear" w:pos="9072"/>
        </w:tabs>
        <w:adjustRightInd w:val="0"/>
        <w:spacing w:line="360" w:lineRule="auto"/>
        <w:jc w:val="center"/>
        <w:rPr>
          <w:rFonts w:eastAsia="PMingLiU"/>
          <w:szCs w:val="28"/>
        </w:rPr>
      </w:pPr>
      <w:r w:rsidRPr="004B3773">
        <w:rPr>
          <w:rFonts w:eastAsia="PMingLiU"/>
          <w:szCs w:val="28"/>
        </w:rPr>
        <w:t>----------</w:t>
      </w:r>
      <w:r w:rsidR="00753BE4" w:rsidRPr="004B3773">
        <w:rPr>
          <w:rFonts w:eastAsia="PMingLiU"/>
          <w:szCs w:val="28"/>
        </w:rPr>
        <w:t>-----------------</w:t>
      </w:r>
      <w:r w:rsidRPr="004B3773">
        <w:rPr>
          <w:rFonts w:eastAsia="PMingLiU"/>
          <w:szCs w:val="28"/>
        </w:rPr>
        <w:t>----------</w:t>
      </w:r>
    </w:p>
    <w:p w:rsidR="00E71E46" w:rsidRDefault="00E71E46" w:rsidP="008B6C2F">
      <w:pPr>
        <w:pStyle w:val="Heading5"/>
        <w:snapToGrid w:val="0"/>
        <w:spacing w:line="360" w:lineRule="auto"/>
        <w:jc w:val="both"/>
        <w:rPr>
          <w:rFonts w:ascii="Times New Roman" w:eastAsia="PMingLiU" w:hAnsi="Times New Roman"/>
          <w:b w:val="0"/>
          <w:sz w:val="28"/>
          <w:szCs w:val="28"/>
        </w:rPr>
      </w:pPr>
      <w:r w:rsidRPr="004B3773">
        <w:rPr>
          <w:rFonts w:ascii="Times New Roman" w:eastAsia="PMingLiU" w:hAnsi="Times New Roman"/>
          <w:b w:val="0"/>
          <w:sz w:val="28"/>
          <w:szCs w:val="28"/>
        </w:rPr>
        <w:t>BETWEEN</w:t>
      </w:r>
    </w:p>
    <w:p w:rsidR="004B3773" w:rsidRPr="004B3773" w:rsidRDefault="004B3773" w:rsidP="008B6C2F">
      <w:pPr>
        <w:spacing w:line="360" w:lineRule="auto"/>
        <w:rPr>
          <w:lang w:val="en-GB"/>
        </w:rPr>
      </w:pPr>
    </w:p>
    <w:p w:rsidR="00706441" w:rsidRPr="004B3773" w:rsidRDefault="00220554" w:rsidP="008B6C2F">
      <w:pPr>
        <w:tabs>
          <w:tab w:val="clear" w:pos="1440"/>
          <w:tab w:val="clear" w:pos="4320"/>
          <w:tab w:val="clear" w:pos="9072"/>
          <w:tab w:val="center" w:pos="4230"/>
          <w:tab w:val="right" w:pos="8280"/>
        </w:tabs>
        <w:spacing w:line="360" w:lineRule="auto"/>
        <w:ind w:left="1080"/>
        <w:rPr>
          <w:bCs/>
          <w:szCs w:val="28"/>
        </w:rPr>
      </w:pPr>
      <w:r w:rsidRPr="004B3773">
        <w:rPr>
          <w:bCs/>
          <w:szCs w:val="28"/>
        </w:rPr>
        <w:tab/>
      </w:r>
      <w:r w:rsidR="006E1576">
        <w:rPr>
          <w:rFonts w:eastAsia="PMingLiU"/>
          <w:bCs/>
          <w:szCs w:val="28"/>
        </w:rPr>
        <w:t>HOU TSUN TAT</w:t>
      </w:r>
      <w:r w:rsidR="00706441" w:rsidRPr="004B3773">
        <w:rPr>
          <w:rFonts w:eastAsia="PMingLiU"/>
          <w:bCs/>
          <w:szCs w:val="28"/>
        </w:rPr>
        <w:tab/>
      </w:r>
      <w:r w:rsidR="00AE4F80" w:rsidRPr="004B3773">
        <w:rPr>
          <w:bCs/>
          <w:szCs w:val="28"/>
        </w:rPr>
        <w:t>Plaintiff</w:t>
      </w:r>
    </w:p>
    <w:p w:rsidR="00706441" w:rsidRPr="004B3773" w:rsidRDefault="00706441" w:rsidP="008B6C2F">
      <w:pPr>
        <w:tabs>
          <w:tab w:val="clear" w:pos="1440"/>
          <w:tab w:val="clear" w:pos="4320"/>
          <w:tab w:val="clear" w:pos="9072"/>
        </w:tabs>
        <w:spacing w:line="360" w:lineRule="auto"/>
        <w:jc w:val="center"/>
        <w:rPr>
          <w:rFonts w:eastAsia="PMingLiU"/>
          <w:bCs/>
          <w:szCs w:val="28"/>
          <w:lang w:val="en-GB"/>
        </w:rPr>
      </w:pPr>
      <w:r w:rsidRPr="004B3773">
        <w:rPr>
          <w:rFonts w:eastAsia="PMingLiU"/>
          <w:bCs/>
          <w:szCs w:val="28"/>
          <w:lang w:val="en-GB"/>
        </w:rPr>
        <w:t>and</w:t>
      </w:r>
    </w:p>
    <w:p w:rsidR="00706441" w:rsidRPr="004B3773" w:rsidRDefault="006E1576" w:rsidP="008B6C2F">
      <w:pPr>
        <w:tabs>
          <w:tab w:val="clear" w:pos="1440"/>
          <w:tab w:val="clear" w:pos="4320"/>
          <w:tab w:val="clear" w:pos="9072"/>
          <w:tab w:val="center" w:pos="4230"/>
          <w:tab w:val="right" w:pos="8280"/>
        </w:tabs>
        <w:spacing w:line="360" w:lineRule="auto"/>
        <w:ind w:left="360"/>
        <w:rPr>
          <w:bCs/>
          <w:szCs w:val="28"/>
        </w:rPr>
      </w:pPr>
      <w:r>
        <w:rPr>
          <w:bCs/>
          <w:szCs w:val="28"/>
        </w:rPr>
        <w:tab/>
        <w:t>WONG WAI CHUNG</w:t>
      </w:r>
      <w:r w:rsidR="00706441" w:rsidRPr="004B3773">
        <w:rPr>
          <w:bCs/>
          <w:szCs w:val="28"/>
        </w:rPr>
        <w:tab/>
        <w:t>Defendant</w:t>
      </w:r>
    </w:p>
    <w:p w:rsidR="00706441" w:rsidRPr="004B3773" w:rsidRDefault="00706441" w:rsidP="008B6C2F">
      <w:pPr>
        <w:pStyle w:val="normal2"/>
        <w:tabs>
          <w:tab w:val="clear" w:pos="1411"/>
          <w:tab w:val="clear" w:pos="9072"/>
        </w:tabs>
        <w:overflowPunct/>
        <w:autoSpaceDE/>
        <w:autoSpaceDN/>
        <w:adjustRightInd w:val="0"/>
        <w:rPr>
          <w:rFonts w:eastAsia="PMingLiU"/>
          <w:caps w:val="0"/>
          <w:snapToGrid w:val="0"/>
          <w:szCs w:val="28"/>
          <w:lang w:val="en-US"/>
        </w:rPr>
      </w:pPr>
      <w:r w:rsidRPr="004B3773">
        <w:rPr>
          <w:rFonts w:eastAsia="PMingLiU"/>
          <w:caps w:val="0"/>
          <w:snapToGrid w:val="0"/>
          <w:szCs w:val="28"/>
          <w:lang w:val="en-US"/>
        </w:rPr>
        <w:t>-------------------------------------</w:t>
      </w:r>
    </w:p>
    <w:p w:rsidR="00242C65" w:rsidRDefault="00242C65" w:rsidP="008B6C2F">
      <w:pPr>
        <w:spacing w:line="360" w:lineRule="auto"/>
        <w:ind w:left="990" w:hanging="990"/>
        <w:rPr>
          <w:szCs w:val="28"/>
        </w:rPr>
      </w:pPr>
    </w:p>
    <w:p w:rsidR="006E1576" w:rsidRPr="004B3773" w:rsidRDefault="006E1576" w:rsidP="008B6C2F">
      <w:pPr>
        <w:tabs>
          <w:tab w:val="clear" w:pos="4320"/>
          <w:tab w:val="clear" w:pos="9072"/>
        </w:tabs>
        <w:adjustRightInd w:val="0"/>
        <w:spacing w:line="360" w:lineRule="auto"/>
        <w:jc w:val="center"/>
        <w:rPr>
          <w:rFonts w:eastAsia="PMingLiU"/>
          <w:b/>
          <w:bCs/>
          <w:szCs w:val="28"/>
        </w:rPr>
      </w:pPr>
      <w:r w:rsidRPr="004B3773">
        <w:rPr>
          <w:rFonts w:eastAsia="PMingLiU"/>
          <w:b/>
          <w:bCs/>
          <w:szCs w:val="28"/>
        </w:rPr>
        <w:t>IN THE DISTRICT COURT OF THE</w:t>
      </w:r>
    </w:p>
    <w:p w:rsidR="006E1576" w:rsidRPr="004B3773" w:rsidRDefault="006E1576" w:rsidP="008B6C2F">
      <w:pPr>
        <w:tabs>
          <w:tab w:val="clear" w:pos="4320"/>
          <w:tab w:val="clear" w:pos="9072"/>
        </w:tabs>
        <w:adjustRightInd w:val="0"/>
        <w:spacing w:line="360" w:lineRule="auto"/>
        <w:jc w:val="center"/>
        <w:rPr>
          <w:rFonts w:eastAsia="PMingLiU"/>
          <w:szCs w:val="28"/>
        </w:rPr>
      </w:pPr>
      <w:r w:rsidRPr="004B3773">
        <w:rPr>
          <w:rFonts w:eastAsia="PMingLiU"/>
          <w:b/>
          <w:bCs/>
          <w:szCs w:val="28"/>
        </w:rPr>
        <w:t>HONG KONG SPECIAL ADMINISTRATIVE REGION</w:t>
      </w:r>
    </w:p>
    <w:p w:rsidR="006E1576" w:rsidRPr="004B3773" w:rsidRDefault="006E1576" w:rsidP="008B6C2F">
      <w:pPr>
        <w:tabs>
          <w:tab w:val="clear" w:pos="4320"/>
          <w:tab w:val="clear" w:pos="9072"/>
        </w:tabs>
        <w:adjustRightInd w:val="0"/>
        <w:spacing w:line="360" w:lineRule="auto"/>
        <w:jc w:val="center"/>
        <w:rPr>
          <w:szCs w:val="28"/>
        </w:rPr>
      </w:pPr>
      <w:r w:rsidRPr="004B3773">
        <w:rPr>
          <w:rFonts w:eastAsia="PMingLiU"/>
          <w:szCs w:val="28"/>
        </w:rPr>
        <w:t xml:space="preserve">PERSONAL INJURIES ACTION NO </w:t>
      </w:r>
      <w:r>
        <w:rPr>
          <w:szCs w:val="28"/>
        </w:rPr>
        <w:t>439</w:t>
      </w:r>
      <w:r w:rsidRPr="004B3773">
        <w:rPr>
          <w:rFonts w:eastAsia="PMingLiU"/>
          <w:szCs w:val="28"/>
        </w:rPr>
        <w:t xml:space="preserve"> OF 201</w:t>
      </w:r>
      <w:r>
        <w:rPr>
          <w:szCs w:val="28"/>
        </w:rPr>
        <w:t>5</w:t>
      </w:r>
    </w:p>
    <w:p w:rsidR="006E1576" w:rsidRPr="004B3773" w:rsidRDefault="006E1576" w:rsidP="008B6C2F">
      <w:pPr>
        <w:tabs>
          <w:tab w:val="clear" w:pos="4320"/>
          <w:tab w:val="clear" w:pos="9072"/>
        </w:tabs>
        <w:adjustRightInd w:val="0"/>
        <w:spacing w:line="360" w:lineRule="auto"/>
        <w:jc w:val="center"/>
        <w:rPr>
          <w:szCs w:val="28"/>
        </w:rPr>
      </w:pPr>
    </w:p>
    <w:p w:rsidR="006E1576" w:rsidRPr="004B3773" w:rsidRDefault="006E1576" w:rsidP="008B6C2F">
      <w:pPr>
        <w:tabs>
          <w:tab w:val="clear" w:pos="4320"/>
          <w:tab w:val="clear" w:pos="9072"/>
        </w:tabs>
        <w:adjustRightInd w:val="0"/>
        <w:spacing w:line="360" w:lineRule="auto"/>
        <w:jc w:val="center"/>
        <w:rPr>
          <w:rFonts w:eastAsia="PMingLiU"/>
          <w:szCs w:val="28"/>
        </w:rPr>
      </w:pPr>
      <w:r w:rsidRPr="004B3773">
        <w:rPr>
          <w:rFonts w:eastAsia="PMingLiU"/>
          <w:szCs w:val="28"/>
        </w:rPr>
        <w:t>-------------------------------------</w:t>
      </w:r>
    </w:p>
    <w:p w:rsidR="006E1576" w:rsidRDefault="006E1576" w:rsidP="008B6C2F">
      <w:pPr>
        <w:pStyle w:val="Heading5"/>
        <w:snapToGrid w:val="0"/>
        <w:spacing w:line="360" w:lineRule="auto"/>
        <w:jc w:val="both"/>
        <w:rPr>
          <w:rFonts w:ascii="Times New Roman" w:eastAsia="PMingLiU" w:hAnsi="Times New Roman"/>
          <w:b w:val="0"/>
          <w:sz w:val="28"/>
          <w:szCs w:val="28"/>
        </w:rPr>
      </w:pPr>
      <w:r w:rsidRPr="004B3773">
        <w:rPr>
          <w:rFonts w:ascii="Times New Roman" w:eastAsia="PMingLiU" w:hAnsi="Times New Roman"/>
          <w:b w:val="0"/>
          <w:sz w:val="28"/>
          <w:szCs w:val="28"/>
        </w:rPr>
        <w:t>BETWEEN</w:t>
      </w:r>
    </w:p>
    <w:p w:rsidR="006E1576" w:rsidRPr="004B3773" w:rsidRDefault="006E1576" w:rsidP="008B6C2F">
      <w:pPr>
        <w:spacing w:line="360" w:lineRule="auto"/>
        <w:rPr>
          <w:lang w:val="en-GB"/>
        </w:rPr>
      </w:pPr>
    </w:p>
    <w:p w:rsidR="006E1576" w:rsidRPr="004B3773" w:rsidRDefault="006E1576" w:rsidP="008B6C2F">
      <w:pPr>
        <w:tabs>
          <w:tab w:val="clear" w:pos="1440"/>
          <w:tab w:val="clear" w:pos="4320"/>
          <w:tab w:val="clear" w:pos="9072"/>
          <w:tab w:val="center" w:pos="4230"/>
          <w:tab w:val="right" w:pos="8280"/>
        </w:tabs>
        <w:spacing w:line="360" w:lineRule="auto"/>
        <w:ind w:left="1080"/>
        <w:rPr>
          <w:bCs/>
          <w:szCs w:val="28"/>
        </w:rPr>
      </w:pPr>
      <w:r w:rsidRPr="004B3773">
        <w:rPr>
          <w:bCs/>
          <w:szCs w:val="28"/>
        </w:rPr>
        <w:tab/>
      </w:r>
      <w:r>
        <w:rPr>
          <w:rFonts w:eastAsia="PMingLiU"/>
          <w:bCs/>
          <w:szCs w:val="28"/>
        </w:rPr>
        <w:t>CHENG SHING CHI DESMOND</w:t>
      </w:r>
      <w:r w:rsidRPr="004B3773">
        <w:rPr>
          <w:rFonts w:eastAsia="PMingLiU"/>
          <w:bCs/>
          <w:szCs w:val="28"/>
        </w:rPr>
        <w:tab/>
      </w:r>
      <w:r w:rsidRPr="004B3773">
        <w:rPr>
          <w:bCs/>
          <w:szCs w:val="28"/>
        </w:rPr>
        <w:t>Plaintiff</w:t>
      </w:r>
    </w:p>
    <w:p w:rsidR="006E1576" w:rsidRPr="004B3773" w:rsidRDefault="006E1576" w:rsidP="008B6C2F">
      <w:pPr>
        <w:tabs>
          <w:tab w:val="clear" w:pos="1440"/>
          <w:tab w:val="clear" w:pos="4320"/>
          <w:tab w:val="clear" w:pos="9072"/>
        </w:tabs>
        <w:spacing w:line="360" w:lineRule="auto"/>
        <w:jc w:val="center"/>
        <w:rPr>
          <w:rFonts w:eastAsia="PMingLiU"/>
          <w:bCs/>
          <w:szCs w:val="28"/>
          <w:lang w:val="en-GB"/>
        </w:rPr>
      </w:pPr>
      <w:r w:rsidRPr="004B3773">
        <w:rPr>
          <w:rFonts w:eastAsia="PMingLiU"/>
          <w:bCs/>
          <w:szCs w:val="28"/>
          <w:lang w:val="en-GB"/>
        </w:rPr>
        <w:t>and</w:t>
      </w:r>
    </w:p>
    <w:p w:rsidR="006E1576" w:rsidRPr="004B3773" w:rsidRDefault="006E1576" w:rsidP="008B6C2F">
      <w:pPr>
        <w:tabs>
          <w:tab w:val="clear" w:pos="1440"/>
          <w:tab w:val="clear" w:pos="4320"/>
          <w:tab w:val="clear" w:pos="9072"/>
          <w:tab w:val="center" w:pos="4230"/>
          <w:tab w:val="right" w:pos="8280"/>
        </w:tabs>
        <w:spacing w:line="360" w:lineRule="auto"/>
        <w:ind w:left="360"/>
        <w:rPr>
          <w:bCs/>
          <w:szCs w:val="28"/>
        </w:rPr>
      </w:pPr>
      <w:r>
        <w:rPr>
          <w:bCs/>
          <w:szCs w:val="28"/>
        </w:rPr>
        <w:tab/>
        <w:t>WONG WAI CHUNG</w:t>
      </w:r>
      <w:r w:rsidRPr="004B3773">
        <w:rPr>
          <w:bCs/>
          <w:szCs w:val="28"/>
        </w:rPr>
        <w:tab/>
        <w:t>Defendant</w:t>
      </w:r>
    </w:p>
    <w:p w:rsidR="006E1576" w:rsidRPr="004B3773" w:rsidRDefault="006E1576" w:rsidP="008B6C2F">
      <w:pPr>
        <w:pStyle w:val="normal2"/>
        <w:tabs>
          <w:tab w:val="clear" w:pos="1411"/>
          <w:tab w:val="clear" w:pos="9072"/>
        </w:tabs>
        <w:overflowPunct/>
        <w:autoSpaceDE/>
        <w:autoSpaceDN/>
        <w:adjustRightInd w:val="0"/>
        <w:rPr>
          <w:rFonts w:eastAsia="PMingLiU"/>
          <w:caps w:val="0"/>
          <w:snapToGrid w:val="0"/>
          <w:szCs w:val="28"/>
          <w:lang w:val="en-US"/>
        </w:rPr>
      </w:pPr>
      <w:r w:rsidRPr="004B3773">
        <w:rPr>
          <w:rFonts w:eastAsia="PMingLiU"/>
          <w:caps w:val="0"/>
          <w:snapToGrid w:val="0"/>
          <w:szCs w:val="28"/>
          <w:lang w:val="en-US"/>
        </w:rPr>
        <w:t>-------------------------------------</w:t>
      </w:r>
    </w:p>
    <w:p w:rsidR="006E1576" w:rsidRDefault="006E1576" w:rsidP="008B6C2F">
      <w:pPr>
        <w:spacing w:line="360" w:lineRule="auto"/>
        <w:ind w:left="990" w:hanging="990"/>
        <w:rPr>
          <w:szCs w:val="28"/>
        </w:rPr>
      </w:pPr>
    </w:p>
    <w:p w:rsidR="006E1576" w:rsidRPr="004B3773" w:rsidRDefault="006E1576" w:rsidP="008B6C2F">
      <w:pPr>
        <w:tabs>
          <w:tab w:val="clear" w:pos="4320"/>
          <w:tab w:val="clear" w:pos="9072"/>
        </w:tabs>
        <w:adjustRightInd w:val="0"/>
        <w:spacing w:line="360" w:lineRule="auto"/>
        <w:jc w:val="center"/>
        <w:rPr>
          <w:rFonts w:eastAsia="PMingLiU"/>
          <w:b/>
          <w:bCs/>
          <w:szCs w:val="28"/>
        </w:rPr>
      </w:pPr>
      <w:r w:rsidRPr="004B3773">
        <w:rPr>
          <w:rFonts w:eastAsia="PMingLiU"/>
          <w:b/>
          <w:bCs/>
          <w:szCs w:val="28"/>
        </w:rPr>
        <w:lastRenderedPageBreak/>
        <w:t>IN THE DISTRICT COURT OF THE</w:t>
      </w:r>
    </w:p>
    <w:p w:rsidR="006E1576" w:rsidRPr="004B3773" w:rsidRDefault="006E1576" w:rsidP="008B6C2F">
      <w:pPr>
        <w:tabs>
          <w:tab w:val="clear" w:pos="4320"/>
          <w:tab w:val="clear" w:pos="9072"/>
        </w:tabs>
        <w:adjustRightInd w:val="0"/>
        <w:spacing w:line="360" w:lineRule="auto"/>
        <w:jc w:val="center"/>
        <w:rPr>
          <w:rFonts w:eastAsia="PMingLiU"/>
          <w:szCs w:val="28"/>
        </w:rPr>
      </w:pPr>
      <w:r w:rsidRPr="004B3773">
        <w:rPr>
          <w:rFonts w:eastAsia="PMingLiU"/>
          <w:b/>
          <w:bCs/>
          <w:szCs w:val="28"/>
        </w:rPr>
        <w:t>HONG KONG SPECIAL ADMINISTRATIVE REGION</w:t>
      </w:r>
    </w:p>
    <w:p w:rsidR="006E1576" w:rsidRPr="004B3773" w:rsidRDefault="006E1576" w:rsidP="008B6C2F">
      <w:pPr>
        <w:tabs>
          <w:tab w:val="clear" w:pos="4320"/>
          <w:tab w:val="clear" w:pos="9072"/>
        </w:tabs>
        <w:adjustRightInd w:val="0"/>
        <w:spacing w:line="360" w:lineRule="auto"/>
        <w:jc w:val="center"/>
        <w:rPr>
          <w:szCs w:val="28"/>
        </w:rPr>
      </w:pPr>
      <w:r w:rsidRPr="004B3773">
        <w:rPr>
          <w:rFonts w:eastAsia="PMingLiU"/>
          <w:szCs w:val="28"/>
        </w:rPr>
        <w:t xml:space="preserve">PERSONAL INJURIES ACTION NO </w:t>
      </w:r>
      <w:r>
        <w:rPr>
          <w:szCs w:val="28"/>
        </w:rPr>
        <w:t>476</w:t>
      </w:r>
      <w:r w:rsidRPr="004B3773">
        <w:rPr>
          <w:rFonts w:eastAsia="PMingLiU"/>
          <w:szCs w:val="28"/>
        </w:rPr>
        <w:t xml:space="preserve"> OF 201</w:t>
      </w:r>
      <w:r>
        <w:rPr>
          <w:szCs w:val="28"/>
        </w:rPr>
        <w:t>5</w:t>
      </w:r>
    </w:p>
    <w:p w:rsidR="006E1576" w:rsidRPr="004B3773" w:rsidRDefault="006E1576" w:rsidP="008B6C2F">
      <w:pPr>
        <w:tabs>
          <w:tab w:val="clear" w:pos="4320"/>
          <w:tab w:val="clear" w:pos="9072"/>
        </w:tabs>
        <w:adjustRightInd w:val="0"/>
        <w:spacing w:line="360" w:lineRule="auto"/>
        <w:jc w:val="center"/>
        <w:rPr>
          <w:szCs w:val="28"/>
        </w:rPr>
      </w:pPr>
    </w:p>
    <w:p w:rsidR="006E1576" w:rsidRPr="004B3773" w:rsidRDefault="006E1576" w:rsidP="008B6C2F">
      <w:pPr>
        <w:tabs>
          <w:tab w:val="clear" w:pos="4320"/>
          <w:tab w:val="clear" w:pos="9072"/>
        </w:tabs>
        <w:adjustRightInd w:val="0"/>
        <w:spacing w:line="360" w:lineRule="auto"/>
        <w:jc w:val="center"/>
        <w:rPr>
          <w:rFonts w:eastAsia="PMingLiU"/>
          <w:szCs w:val="28"/>
        </w:rPr>
      </w:pPr>
      <w:r w:rsidRPr="004B3773">
        <w:rPr>
          <w:rFonts w:eastAsia="PMingLiU"/>
          <w:szCs w:val="28"/>
        </w:rPr>
        <w:t>-------------------------------------</w:t>
      </w:r>
    </w:p>
    <w:p w:rsidR="006E1576" w:rsidRDefault="006E1576" w:rsidP="008B6C2F">
      <w:pPr>
        <w:pStyle w:val="Heading5"/>
        <w:snapToGrid w:val="0"/>
        <w:spacing w:line="360" w:lineRule="auto"/>
        <w:jc w:val="both"/>
        <w:rPr>
          <w:rFonts w:ascii="Times New Roman" w:eastAsia="PMingLiU" w:hAnsi="Times New Roman"/>
          <w:b w:val="0"/>
          <w:sz w:val="28"/>
          <w:szCs w:val="28"/>
        </w:rPr>
      </w:pPr>
      <w:r w:rsidRPr="004B3773">
        <w:rPr>
          <w:rFonts w:ascii="Times New Roman" w:eastAsia="PMingLiU" w:hAnsi="Times New Roman"/>
          <w:b w:val="0"/>
          <w:sz w:val="28"/>
          <w:szCs w:val="28"/>
        </w:rPr>
        <w:t>BETWEEN</w:t>
      </w:r>
    </w:p>
    <w:p w:rsidR="006E1576" w:rsidRPr="004B3773" w:rsidRDefault="006E1576" w:rsidP="008B6C2F">
      <w:pPr>
        <w:spacing w:line="360" w:lineRule="auto"/>
        <w:rPr>
          <w:lang w:val="en-GB"/>
        </w:rPr>
      </w:pPr>
    </w:p>
    <w:p w:rsidR="006E1576" w:rsidRPr="004B3773" w:rsidRDefault="006E1576" w:rsidP="008B6C2F">
      <w:pPr>
        <w:tabs>
          <w:tab w:val="clear" w:pos="1440"/>
          <w:tab w:val="clear" w:pos="4320"/>
          <w:tab w:val="clear" w:pos="9072"/>
          <w:tab w:val="center" w:pos="4230"/>
          <w:tab w:val="right" w:pos="8280"/>
        </w:tabs>
        <w:spacing w:line="360" w:lineRule="auto"/>
        <w:ind w:left="1080"/>
        <w:rPr>
          <w:bCs/>
          <w:szCs w:val="28"/>
        </w:rPr>
      </w:pPr>
      <w:r w:rsidRPr="004B3773">
        <w:rPr>
          <w:bCs/>
          <w:szCs w:val="28"/>
        </w:rPr>
        <w:tab/>
      </w:r>
      <w:r>
        <w:rPr>
          <w:rFonts w:eastAsia="PMingLiU"/>
          <w:bCs/>
          <w:szCs w:val="28"/>
        </w:rPr>
        <w:t>KWOK CHUN MAN</w:t>
      </w:r>
      <w:r w:rsidRPr="004B3773">
        <w:rPr>
          <w:rFonts w:eastAsia="PMingLiU"/>
          <w:bCs/>
          <w:szCs w:val="28"/>
        </w:rPr>
        <w:tab/>
      </w:r>
      <w:r w:rsidRPr="004B3773">
        <w:rPr>
          <w:bCs/>
          <w:szCs w:val="28"/>
        </w:rPr>
        <w:t>Plaintiff</w:t>
      </w:r>
    </w:p>
    <w:p w:rsidR="006E1576" w:rsidRPr="004B3773" w:rsidRDefault="006E1576" w:rsidP="008B6C2F">
      <w:pPr>
        <w:tabs>
          <w:tab w:val="clear" w:pos="1440"/>
          <w:tab w:val="clear" w:pos="4320"/>
          <w:tab w:val="clear" w:pos="9072"/>
        </w:tabs>
        <w:spacing w:line="360" w:lineRule="auto"/>
        <w:jc w:val="center"/>
        <w:rPr>
          <w:rFonts w:eastAsia="PMingLiU"/>
          <w:bCs/>
          <w:szCs w:val="28"/>
          <w:lang w:val="en-GB"/>
        </w:rPr>
      </w:pPr>
      <w:r w:rsidRPr="004B3773">
        <w:rPr>
          <w:rFonts w:eastAsia="PMingLiU"/>
          <w:bCs/>
          <w:szCs w:val="28"/>
          <w:lang w:val="en-GB"/>
        </w:rPr>
        <w:t>and</w:t>
      </w:r>
    </w:p>
    <w:p w:rsidR="006E1576" w:rsidRPr="004B3773" w:rsidRDefault="006E1576" w:rsidP="008B6C2F">
      <w:pPr>
        <w:tabs>
          <w:tab w:val="clear" w:pos="1440"/>
          <w:tab w:val="clear" w:pos="4320"/>
          <w:tab w:val="clear" w:pos="9072"/>
          <w:tab w:val="center" w:pos="4230"/>
          <w:tab w:val="right" w:pos="8280"/>
        </w:tabs>
        <w:spacing w:line="360" w:lineRule="auto"/>
        <w:ind w:left="360"/>
        <w:rPr>
          <w:bCs/>
          <w:szCs w:val="28"/>
        </w:rPr>
      </w:pPr>
      <w:r>
        <w:rPr>
          <w:bCs/>
          <w:szCs w:val="28"/>
        </w:rPr>
        <w:tab/>
        <w:t>WONG WAI CHUNG</w:t>
      </w:r>
      <w:r w:rsidRPr="004B3773">
        <w:rPr>
          <w:bCs/>
          <w:szCs w:val="28"/>
        </w:rPr>
        <w:tab/>
        <w:t>Defendant</w:t>
      </w:r>
    </w:p>
    <w:p w:rsidR="006E1576" w:rsidRPr="004B3773" w:rsidRDefault="006E1576" w:rsidP="008B6C2F">
      <w:pPr>
        <w:pStyle w:val="normal2"/>
        <w:tabs>
          <w:tab w:val="clear" w:pos="1411"/>
          <w:tab w:val="clear" w:pos="9072"/>
        </w:tabs>
        <w:overflowPunct/>
        <w:autoSpaceDE/>
        <w:autoSpaceDN/>
        <w:adjustRightInd w:val="0"/>
        <w:rPr>
          <w:rFonts w:eastAsia="PMingLiU"/>
          <w:caps w:val="0"/>
          <w:snapToGrid w:val="0"/>
          <w:szCs w:val="28"/>
          <w:lang w:val="en-US"/>
        </w:rPr>
      </w:pPr>
      <w:r w:rsidRPr="004B3773">
        <w:rPr>
          <w:rFonts w:eastAsia="PMingLiU"/>
          <w:caps w:val="0"/>
          <w:snapToGrid w:val="0"/>
          <w:szCs w:val="28"/>
          <w:lang w:val="en-US"/>
        </w:rPr>
        <w:t>-------------------------------------</w:t>
      </w:r>
    </w:p>
    <w:p w:rsidR="005B40A8" w:rsidRDefault="005B40A8" w:rsidP="008B6C2F">
      <w:pPr>
        <w:ind w:left="990" w:hanging="990"/>
        <w:jc w:val="center"/>
        <w:rPr>
          <w:szCs w:val="28"/>
        </w:rPr>
      </w:pPr>
      <w:r>
        <w:rPr>
          <w:szCs w:val="28"/>
        </w:rPr>
        <w:t xml:space="preserve">(Heard together </w:t>
      </w:r>
      <w:r w:rsidR="00BC74B5">
        <w:rPr>
          <w:szCs w:val="28"/>
        </w:rPr>
        <w:t>by</w:t>
      </w:r>
      <w:r>
        <w:rPr>
          <w:szCs w:val="28"/>
        </w:rPr>
        <w:t xml:space="preserve"> </w:t>
      </w:r>
      <w:r w:rsidR="00A126E4">
        <w:rPr>
          <w:szCs w:val="28"/>
        </w:rPr>
        <w:t>o</w:t>
      </w:r>
      <w:r>
        <w:rPr>
          <w:szCs w:val="28"/>
        </w:rPr>
        <w:t xml:space="preserve">rder of </w:t>
      </w:r>
    </w:p>
    <w:p w:rsidR="006E1576" w:rsidRDefault="005B40A8" w:rsidP="008B6C2F">
      <w:pPr>
        <w:ind w:left="990" w:hanging="990"/>
        <w:jc w:val="center"/>
        <w:rPr>
          <w:szCs w:val="28"/>
        </w:rPr>
      </w:pPr>
      <w:r>
        <w:rPr>
          <w:szCs w:val="28"/>
        </w:rPr>
        <w:t>Master J Chow dated 18 May 2017)</w:t>
      </w:r>
    </w:p>
    <w:p w:rsidR="006E1576" w:rsidRPr="004B3773" w:rsidRDefault="006E1576" w:rsidP="008B6C2F">
      <w:pPr>
        <w:spacing w:line="360" w:lineRule="auto"/>
        <w:ind w:left="990" w:hanging="990"/>
        <w:rPr>
          <w:szCs w:val="28"/>
        </w:rPr>
      </w:pPr>
    </w:p>
    <w:p w:rsidR="00706441" w:rsidRPr="004B3773" w:rsidRDefault="00706441" w:rsidP="008B6C2F">
      <w:pPr>
        <w:spacing w:line="360" w:lineRule="auto"/>
        <w:ind w:left="990" w:hanging="990"/>
        <w:rPr>
          <w:szCs w:val="28"/>
          <w:lang w:eastAsia="zh-TW"/>
        </w:rPr>
      </w:pPr>
      <w:r w:rsidRPr="004B3773">
        <w:rPr>
          <w:rFonts w:eastAsia="PMingLiU"/>
          <w:szCs w:val="28"/>
        </w:rPr>
        <w:t xml:space="preserve">Before:  </w:t>
      </w:r>
      <w:r w:rsidR="00B6049E" w:rsidRPr="004B3773">
        <w:rPr>
          <w:rFonts w:eastAsia="PMingLiU"/>
          <w:szCs w:val="28"/>
        </w:rPr>
        <w:t>His Honour</w:t>
      </w:r>
      <w:r w:rsidRPr="004B3773">
        <w:rPr>
          <w:rFonts w:eastAsia="PMingLiU"/>
          <w:szCs w:val="28"/>
        </w:rPr>
        <w:t xml:space="preserve"> Judge </w:t>
      </w:r>
      <w:r w:rsidR="00B6049E" w:rsidRPr="004B3773">
        <w:rPr>
          <w:rFonts w:eastAsia="PMingLiU"/>
          <w:szCs w:val="28"/>
        </w:rPr>
        <w:t>MK Liu</w:t>
      </w:r>
      <w:r w:rsidRPr="004B3773">
        <w:rPr>
          <w:rFonts w:eastAsia="PMingLiU"/>
          <w:szCs w:val="28"/>
        </w:rPr>
        <w:t xml:space="preserve"> in </w:t>
      </w:r>
      <w:r w:rsidR="00E36D65" w:rsidRPr="004B3773">
        <w:rPr>
          <w:rFonts w:eastAsia="PMingLiU"/>
          <w:szCs w:val="28"/>
        </w:rPr>
        <w:t>C</w:t>
      </w:r>
      <w:r w:rsidR="005B40A8">
        <w:rPr>
          <w:rFonts w:eastAsia="PMingLiU"/>
          <w:szCs w:val="28"/>
        </w:rPr>
        <w:t>hambers (open to public)</w:t>
      </w:r>
    </w:p>
    <w:p w:rsidR="00706441" w:rsidRPr="004B3773" w:rsidRDefault="00706441" w:rsidP="008B6C2F">
      <w:pPr>
        <w:tabs>
          <w:tab w:val="clear" w:pos="1440"/>
          <w:tab w:val="clear" w:pos="4320"/>
          <w:tab w:val="clear" w:pos="9072"/>
          <w:tab w:val="left" w:pos="1980"/>
        </w:tabs>
        <w:spacing w:line="360" w:lineRule="auto"/>
        <w:ind w:left="1980" w:hanging="1980"/>
        <w:rPr>
          <w:rFonts w:eastAsia="PMingLiU"/>
          <w:bCs/>
          <w:szCs w:val="28"/>
          <w:lang w:val="en-GB"/>
        </w:rPr>
      </w:pPr>
      <w:r w:rsidRPr="004B3773">
        <w:rPr>
          <w:rFonts w:eastAsia="PMingLiU"/>
          <w:bCs/>
          <w:szCs w:val="28"/>
          <w:lang w:val="en-GB"/>
        </w:rPr>
        <w:t>Date of Hearing:</w:t>
      </w:r>
      <w:r w:rsidR="00220554" w:rsidRPr="004B3773">
        <w:rPr>
          <w:bCs/>
          <w:szCs w:val="28"/>
          <w:lang w:val="en-GB"/>
        </w:rPr>
        <w:t xml:space="preserve"> </w:t>
      </w:r>
      <w:r w:rsidRPr="004B3773">
        <w:rPr>
          <w:rFonts w:eastAsia="PMingLiU"/>
          <w:bCs/>
          <w:szCs w:val="28"/>
          <w:lang w:val="en-GB"/>
        </w:rPr>
        <w:t xml:space="preserve"> </w:t>
      </w:r>
      <w:r w:rsidR="005B40A8">
        <w:rPr>
          <w:rFonts w:eastAsia="PMingLiU"/>
          <w:bCs/>
          <w:szCs w:val="28"/>
          <w:lang w:val="en-GB"/>
        </w:rPr>
        <w:t>31 October</w:t>
      </w:r>
      <w:r w:rsidR="00B6049E" w:rsidRPr="004B3773">
        <w:rPr>
          <w:rFonts w:eastAsia="PMingLiU"/>
          <w:bCs/>
          <w:szCs w:val="28"/>
          <w:lang w:val="en-GB"/>
        </w:rPr>
        <w:t xml:space="preserve"> 2017</w:t>
      </w:r>
      <w:r w:rsidR="0074564D" w:rsidRPr="004B3773">
        <w:rPr>
          <w:bCs/>
          <w:szCs w:val="28"/>
          <w:lang w:val="en-GB"/>
        </w:rPr>
        <w:t xml:space="preserve"> </w:t>
      </w:r>
    </w:p>
    <w:p w:rsidR="00706441" w:rsidRPr="004B3773" w:rsidRDefault="00706441" w:rsidP="008B6C2F">
      <w:pPr>
        <w:spacing w:line="360" w:lineRule="auto"/>
        <w:rPr>
          <w:rFonts w:eastAsia="PMingLiU"/>
          <w:bCs/>
          <w:szCs w:val="28"/>
          <w:lang w:val="en-GB"/>
        </w:rPr>
      </w:pPr>
      <w:r w:rsidRPr="004B3773">
        <w:rPr>
          <w:rFonts w:eastAsia="PMingLiU"/>
          <w:bCs/>
          <w:szCs w:val="28"/>
          <w:lang w:val="en-GB"/>
        </w:rPr>
        <w:t xml:space="preserve">Date of </w:t>
      </w:r>
      <w:r w:rsidR="005B40A8">
        <w:rPr>
          <w:bCs/>
          <w:szCs w:val="28"/>
          <w:lang w:val="en-GB"/>
        </w:rPr>
        <w:t>Decision</w:t>
      </w:r>
      <w:r w:rsidRPr="004B3773">
        <w:rPr>
          <w:rFonts w:eastAsia="PMingLiU"/>
          <w:bCs/>
          <w:szCs w:val="28"/>
          <w:lang w:val="en-GB"/>
        </w:rPr>
        <w:t>:</w:t>
      </w:r>
      <w:r w:rsidR="00BC74B5">
        <w:rPr>
          <w:rFonts w:eastAsia="PMingLiU"/>
          <w:bCs/>
          <w:szCs w:val="28"/>
          <w:lang w:val="en-GB"/>
        </w:rPr>
        <w:t xml:space="preserve"> 31 October </w:t>
      </w:r>
      <w:r w:rsidR="00B6049E" w:rsidRPr="004B3773">
        <w:rPr>
          <w:bCs/>
          <w:szCs w:val="28"/>
          <w:lang w:val="en-GB"/>
        </w:rPr>
        <w:t>2017</w:t>
      </w:r>
    </w:p>
    <w:p w:rsidR="00706441" w:rsidRPr="004B3773" w:rsidRDefault="00706441" w:rsidP="008B6C2F">
      <w:pPr>
        <w:spacing w:line="360" w:lineRule="auto"/>
        <w:ind w:left="990" w:hanging="990"/>
        <w:rPr>
          <w:rFonts w:eastAsia="PMingLiU"/>
          <w:szCs w:val="28"/>
        </w:rPr>
      </w:pPr>
    </w:p>
    <w:p w:rsidR="00706441" w:rsidRPr="004B3773" w:rsidRDefault="00706441" w:rsidP="008B6C2F">
      <w:pPr>
        <w:pStyle w:val="normal2"/>
        <w:tabs>
          <w:tab w:val="clear" w:pos="1411"/>
          <w:tab w:val="clear" w:pos="9072"/>
        </w:tabs>
        <w:overflowPunct/>
        <w:autoSpaceDE/>
        <w:autoSpaceDN/>
        <w:adjustRightInd w:val="0"/>
        <w:rPr>
          <w:rFonts w:eastAsia="PMingLiU"/>
          <w:caps w:val="0"/>
          <w:snapToGrid w:val="0"/>
          <w:szCs w:val="28"/>
          <w:lang w:val="en-US"/>
        </w:rPr>
      </w:pPr>
      <w:r w:rsidRPr="004B3773">
        <w:rPr>
          <w:rFonts w:eastAsia="PMingLiU"/>
          <w:caps w:val="0"/>
          <w:snapToGrid w:val="0"/>
          <w:szCs w:val="28"/>
          <w:lang w:val="en-US"/>
        </w:rPr>
        <w:t>------------------</w:t>
      </w:r>
    </w:p>
    <w:p w:rsidR="00706441" w:rsidRPr="004B3773" w:rsidRDefault="005B40A8" w:rsidP="008B6C2F">
      <w:pPr>
        <w:pStyle w:val="normal2"/>
        <w:tabs>
          <w:tab w:val="clear" w:pos="1411"/>
          <w:tab w:val="clear" w:pos="9072"/>
        </w:tabs>
        <w:overflowPunct/>
        <w:autoSpaceDE/>
        <w:autoSpaceDN/>
        <w:adjustRightInd w:val="0"/>
        <w:rPr>
          <w:rFonts w:eastAsia="宋体"/>
          <w:caps w:val="0"/>
          <w:snapToGrid w:val="0"/>
          <w:szCs w:val="28"/>
          <w:lang w:val="en-US"/>
        </w:rPr>
      </w:pPr>
      <w:r>
        <w:rPr>
          <w:rFonts w:eastAsia="宋体"/>
          <w:caps w:val="0"/>
          <w:snapToGrid w:val="0"/>
          <w:szCs w:val="28"/>
          <w:lang w:val="en-US"/>
        </w:rPr>
        <w:t>DECISION</w:t>
      </w:r>
    </w:p>
    <w:p w:rsidR="00706441" w:rsidRPr="004B3773" w:rsidRDefault="00706441" w:rsidP="008B6C2F">
      <w:pPr>
        <w:pStyle w:val="normal2"/>
        <w:tabs>
          <w:tab w:val="clear" w:pos="1411"/>
          <w:tab w:val="clear" w:pos="9072"/>
        </w:tabs>
        <w:overflowPunct/>
        <w:autoSpaceDE/>
        <w:autoSpaceDN/>
        <w:adjustRightInd w:val="0"/>
        <w:rPr>
          <w:rFonts w:eastAsia="PMingLiU"/>
          <w:caps w:val="0"/>
          <w:snapToGrid w:val="0"/>
          <w:szCs w:val="28"/>
          <w:lang w:val="en-US"/>
        </w:rPr>
      </w:pPr>
      <w:r w:rsidRPr="004B3773">
        <w:rPr>
          <w:rFonts w:eastAsia="PMingLiU"/>
          <w:caps w:val="0"/>
          <w:snapToGrid w:val="0"/>
          <w:szCs w:val="28"/>
          <w:lang w:val="en-US"/>
        </w:rPr>
        <w:t>------------------</w:t>
      </w:r>
    </w:p>
    <w:p w:rsidR="007745A1" w:rsidRPr="004B3773" w:rsidRDefault="007745A1" w:rsidP="008B6C2F">
      <w:pPr>
        <w:tabs>
          <w:tab w:val="clear" w:pos="4320"/>
          <w:tab w:val="clear" w:pos="9072"/>
        </w:tabs>
        <w:spacing w:line="360" w:lineRule="auto"/>
        <w:jc w:val="both"/>
        <w:rPr>
          <w:rFonts w:eastAsia="PMingLiU"/>
          <w:bCs/>
          <w:szCs w:val="28"/>
        </w:rPr>
      </w:pPr>
    </w:p>
    <w:p w:rsidR="00A126E4" w:rsidRPr="00A126E4" w:rsidRDefault="00A126E4" w:rsidP="003A323B">
      <w:pPr>
        <w:pStyle w:val="ListParagraph"/>
        <w:numPr>
          <w:ilvl w:val="0"/>
          <w:numId w:val="3"/>
        </w:numPr>
        <w:tabs>
          <w:tab w:val="clear" w:pos="4320"/>
          <w:tab w:val="clear" w:pos="9072"/>
        </w:tabs>
        <w:spacing w:line="360" w:lineRule="auto"/>
        <w:ind w:left="0" w:firstLine="0"/>
        <w:jc w:val="both"/>
        <w:rPr>
          <w:szCs w:val="28"/>
        </w:rPr>
      </w:pPr>
      <w:r w:rsidRPr="00A126E4">
        <w:rPr>
          <w:szCs w:val="28"/>
        </w:rPr>
        <w:t>There is a summons (“the setting aside summons”) issued by the defendant (“Wong”) for an order setting aside the default judgment obtained by the plaintiff in each of these actions.  On 18 May 2017, Master</w:t>
      </w:r>
      <w:r w:rsidR="008B6C2F">
        <w:rPr>
          <w:szCs w:val="28"/>
        </w:rPr>
        <w:t> </w:t>
      </w:r>
      <w:r w:rsidRPr="00A126E4">
        <w:rPr>
          <w:szCs w:val="28"/>
        </w:rPr>
        <w:t>J Chow made an order in each action that the 3 setting aside summonses should be heard together.  This is the substantive hearing of the 3</w:t>
      </w:r>
      <w:r>
        <w:rPr>
          <w:szCs w:val="28"/>
        </w:rPr>
        <w:t> </w:t>
      </w:r>
      <w:r w:rsidRPr="00A126E4">
        <w:rPr>
          <w:szCs w:val="28"/>
        </w:rPr>
        <w:t>summonses.</w:t>
      </w:r>
    </w:p>
    <w:p w:rsidR="00A126E4" w:rsidRPr="00A126E4" w:rsidRDefault="00A126E4" w:rsidP="008B6C2F">
      <w:pPr>
        <w:tabs>
          <w:tab w:val="clear" w:pos="4320"/>
          <w:tab w:val="clear" w:pos="9072"/>
        </w:tabs>
        <w:spacing w:line="360" w:lineRule="auto"/>
        <w:jc w:val="both"/>
        <w:rPr>
          <w:szCs w:val="28"/>
        </w:rPr>
      </w:pPr>
    </w:p>
    <w:p w:rsidR="00A126E4" w:rsidRPr="008B6C2F" w:rsidRDefault="00A126E4" w:rsidP="008B6C2F">
      <w:pPr>
        <w:tabs>
          <w:tab w:val="clear" w:pos="1440"/>
          <w:tab w:val="clear" w:pos="4320"/>
          <w:tab w:val="clear" w:pos="9072"/>
        </w:tabs>
        <w:snapToGrid/>
        <w:spacing w:line="360" w:lineRule="auto"/>
        <w:rPr>
          <w:i/>
          <w:szCs w:val="28"/>
        </w:rPr>
      </w:pPr>
      <w:r w:rsidRPr="008B6C2F">
        <w:rPr>
          <w:i/>
          <w:szCs w:val="28"/>
        </w:rPr>
        <w:lastRenderedPageBreak/>
        <w:t>Background</w:t>
      </w:r>
    </w:p>
    <w:p w:rsidR="00A126E4" w:rsidRPr="00A126E4" w:rsidRDefault="00A126E4" w:rsidP="008B6C2F">
      <w:pPr>
        <w:tabs>
          <w:tab w:val="clear" w:pos="1440"/>
          <w:tab w:val="clear" w:pos="4320"/>
          <w:tab w:val="clear" w:pos="9072"/>
        </w:tabs>
        <w:snapToGrid/>
        <w:spacing w:line="360" w:lineRule="auto"/>
        <w:rPr>
          <w:szCs w:val="28"/>
        </w:rPr>
      </w:pPr>
    </w:p>
    <w:p w:rsidR="00A126E4" w:rsidRPr="00A126E4" w:rsidRDefault="00A126E4" w:rsidP="003A323B">
      <w:pPr>
        <w:pStyle w:val="ListParagraph"/>
        <w:numPr>
          <w:ilvl w:val="0"/>
          <w:numId w:val="3"/>
        </w:numPr>
        <w:tabs>
          <w:tab w:val="clear" w:pos="4320"/>
          <w:tab w:val="clear" w:pos="9072"/>
        </w:tabs>
        <w:spacing w:line="360" w:lineRule="auto"/>
        <w:ind w:left="0" w:firstLine="0"/>
        <w:jc w:val="both"/>
        <w:rPr>
          <w:szCs w:val="28"/>
        </w:rPr>
      </w:pPr>
      <w:r w:rsidRPr="00A126E4">
        <w:rPr>
          <w:szCs w:val="28"/>
        </w:rPr>
        <w:t>I would first set out the background facts which ar</w:t>
      </w:r>
      <w:r w:rsidR="00300A80">
        <w:rPr>
          <w:szCs w:val="28"/>
        </w:rPr>
        <w:t>e not in dispute</w:t>
      </w:r>
      <w:r w:rsidRPr="00A126E4">
        <w:rPr>
          <w:szCs w:val="28"/>
        </w:rPr>
        <w:t>.</w:t>
      </w:r>
    </w:p>
    <w:p w:rsidR="00A126E4" w:rsidRPr="00A126E4" w:rsidRDefault="00A126E4" w:rsidP="00436C8E">
      <w:pPr>
        <w:tabs>
          <w:tab w:val="clear" w:pos="1440"/>
          <w:tab w:val="clear" w:pos="4320"/>
          <w:tab w:val="clear" w:pos="9072"/>
        </w:tabs>
        <w:snapToGrid/>
        <w:spacing w:line="360" w:lineRule="auto"/>
        <w:rPr>
          <w:szCs w:val="28"/>
        </w:rPr>
      </w:pPr>
    </w:p>
    <w:p w:rsidR="00A126E4" w:rsidRPr="00A126E4" w:rsidRDefault="00A126E4" w:rsidP="003A323B">
      <w:pPr>
        <w:pStyle w:val="ListParagraph"/>
        <w:numPr>
          <w:ilvl w:val="0"/>
          <w:numId w:val="3"/>
        </w:numPr>
        <w:tabs>
          <w:tab w:val="clear" w:pos="4320"/>
          <w:tab w:val="clear" w:pos="9072"/>
        </w:tabs>
        <w:spacing w:line="360" w:lineRule="auto"/>
        <w:ind w:left="0" w:firstLine="0"/>
        <w:jc w:val="both"/>
        <w:rPr>
          <w:szCs w:val="28"/>
        </w:rPr>
      </w:pPr>
      <w:r w:rsidRPr="00A126E4">
        <w:rPr>
          <w:szCs w:val="28"/>
        </w:rPr>
        <w:t xml:space="preserve">Wong was a medical doctor but he claims that he has retired now.  </w:t>
      </w:r>
    </w:p>
    <w:p w:rsidR="00A126E4" w:rsidRPr="00A126E4" w:rsidRDefault="00A126E4" w:rsidP="008B6C2F">
      <w:pPr>
        <w:tabs>
          <w:tab w:val="clear" w:pos="4320"/>
          <w:tab w:val="clear" w:pos="9072"/>
        </w:tabs>
        <w:spacing w:line="360" w:lineRule="auto"/>
        <w:jc w:val="both"/>
        <w:rPr>
          <w:szCs w:val="28"/>
        </w:rPr>
      </w:pPr>
    </w:p>
    <w:p w:rsidR="00A126E4" w:rsidRPr="00A126E4" w:rsidRDefault="00A126E4" w:rsidP="003A323B">
      <w:pPr>
        <w:pStyle w:val="ListParagraph"/>
        <w:numPr>
          <w:ilvl w:val="0"/>
          <w:numId w:val="3"/>
        </w:numPr>
        <w:tabs>
          <w:tab w:val="clear" w:pos="4320"/>
          <w:tab w:val="clear" w:pos="9072"/>
        </w:tabs>
        <w:spacing w:line="360" w:lineRule="auto"/>
        <w:ind w:left="0" w:firstLine="0"/>
        <w:jc w:val="both"/>
        <w:rPr>
          <w:szCs w:val="28"/>
        </w:rPr>
      </w:pPr>
      <w:r w:rsidRPr="00A126E4">
        <w:rPr>
          <w:szCs w:val="28"/>
        </w:rPr>
        <w:t>In each of these actions, the plaintiff is suing Wong for damages for the injuries sustained as a result of breach of various duties by Wong in investigating, diagnosing, advising, treating and prescribing medication to the plaintiff at Wong’s clinic.</w:t>
      </w:r>
    </w:p>
    <w:p w:rsidR="00A126E4" w:rsidRPr="00A126E4" w:rsidRDefault="00A126E4" w:rsidP="008B6C2F">
      <w:pPr>
        <w:tabs>
          <w:tab w:val="clear" w:pos="4320"/>
          <w:tab w:val="clear" w:pos="9072"/>
        </w:tabs>
        <w:spacing w:line="360" w:lineRule="auto"/>
        <w:jc w:val="both"/>
        <w:rPr>
          <w:szCs w:val="28"/>
        </w:rPr>
      </w:pPr>
    </w:p>
    <w:p w:rsidR="00A126E4" w:rsidRDefault="00A126E4" w:rsidP="003A323B">
      <w:pPr>
        <w:pStyle w:val="ListParagraph"/>
        <w:numPr>
          <w:ilvl w:val="0"/>
          <w:numId w:val="3"/>
        </w:numPr>
        <w:tabs>
          <w:tab w:val="clear" w:pos="4320"/>
          <w:tab w:val="clear" w:pos="9072"/>
        </w:tabs>
        <w:spacing w:line="360" w:lineRule="auto"/>
        <w:ind w:left="0" w:firstLine="0"/>
        <w:jc w:val="both"/>
        <w:rPr>
          <w:szCs w:val="28"/>
        </w:rPr>
      </w:pPr>
      <w:r w:rsidRPr="00A126E4">
        <w:rPr>
          <w:szCs w:val="28"/>
        </w:rPr>
        <w:t>The Medical Council of Hong Kong (“MCHK”) held a disciplinary inquiry on 19 February 2014 in respect of 3 charges laid against Wong, which are as follows:</w:t>
      </w:r>
      <w:r>
        <w:rPr>
          <w:szCs w:val="28"/>
        </w:rPr>
        <w:t>-</w:t>
      </w:r>
    </w:p>
    <w:p w:rsidR="00A126E4" w:rsidRPr="00A126E4" w:rsidRDefault="00A126E4" w:rsidP="008B6C2F">
      <w:pPr>
        <w:tabs>
          <w:tab w:val="clear" w:pos="4320"/>
          <w:tab w:val="clear" w:pos="9072"/>
        </w:tabs>
        <w:spacing w:line="360" w:lineRule="auto"/>
        <w:jc w:val="both"/>
        <w:rPr>
          <w:szCs w:val="28"/>
        </w:rPr>
      </w:pPr>
    </w:p>
    <w:p w:rsidR="00A126E4" w:rsidRDefault="00A126E4" w:rsidP="00476F4F">
      <w:pPr>
        <w:tabs>
          <w:tab w:val="clear" w:pos="1440"/>
          <w:tab w:val="clear" w:pos="4320"/>
          <w:tab w:val="clear" w:pos="9072"/>
        </w:tabs>
        <w:snapToGrid/>
        <w:ind w:left="1440" w:right="749"/>
        <w:jc w:val="both"/>
        <w:rPr>
          <w:sz w:val="24"/>
          <w:szCs w:val="24"/>
        </w:rPr>
      </w:pPr>
      <w:r w:rsidRPr="00A126E4">
        <w:rPr>
          <w:sz w:val="24"/>
          <w:szCs w:val="24"/>
        </w:rPr>
        <w:t>In or about 2009 to 2012, Wong, being a medical practitioner, disregarded his professional responsibility to his patients in that:-</w:t>
      </w:r>
    </w:p>
    <w:p w:rsidR="00123DCC" w:rsidRPr="00A126E4" w:rsidRDefault="00123DCC" w:rsidP="00476F4F">
      <w:pPr>
        <w:tabs>
          <w:tab w:val="clear" w:pos="1440"/>
          <w:tab w:val="clear" w:pos="4320"/>
          <w:tab w:val="clear" w:pos="9072"/>
        </w:tabs>
        <w:snapToGrid/>
        <w:ind w:left="1440" w:right="749"/>
        <w:jc w:val="both"/>
        <w:rPr>
          <w:sz w:val="24"/>
          <w:szCs w:val="24"/>
        </w:rPr>
      </w:pPr>
    </w:p>
    <w:p w:rsidR="00A126E4" w:rsidRPr="00A126E4" w:rsidRDefault="00A126E4" w:rsidP="003A323B">
      <w:pPr>
        <w:numPr>
          <w:ilvl w:val="0"/>
          <w:numId w:val="4"/>
        </w:numPr>
        <w:tabs>
          <w:tab w:val="clear" w:pos="1440"/>
          <w:tab w:val="clear" w:pos="4320"/>
          <w:tab w:val="clear" w:pos="9072"/>
          <w:tab w:val="left" w:pos="2160"/>
        </w:tabs>
        <w:snapToGrid/>
        <w:ind w:left="2160" w:right="749" w:hanging="720"/>
        <w:jc w:val="both"/>
        <w:rPr>
          <w:sz w:val="24"/>
          <w:szCs w:val="24"/>
        </w:rPr>
      </w:pPr>
      <w:r w:rsidRPr="00A126E4">
        <w:rPr>
          <w:sz w:val="24"/>
          <w:szCs w:val="24"/>
        </w:rPr>
        <w:t>Charge 1</w:t>
      </w:r>
    </w:p>
    <w:p w:rsidR="00123DCC" w:rsidRDefault="00123DCC" w:rsidP="00476F4F">
      <w:pPr>
        <w:tabs>
          <w:tab w:val="clear" w:pos="1440"/>
          <w:tab w:val="clear" w:pos="4320"/>
          <w:tab w:val="clear" w:pos="9072"/>
        </w:tabs>
        <w:snapToGrid/>
        <w:ind w:left="2160" w:right="749"/>
        <w:jc w:val="both"/>
        <w:rPr>
          <w:sz w:val="24"/>
          <w:szCs w:val="24"/>
        </w:rPr>
      </w:pPr>
    </w:p>
    <w:p w:rsidR="00A126E4" w:rsidRDefault="00A126E4" w:rsidP="00476F4F">
      <w:pPr>
        <w:tabs>
          <w:tab w:val="clear" w:pos="1440"/>
          <w:tab w:val="clear" w:pos="4320"/>
          <w:tab w:val="clear" w:pos="9072"/>
        </w:tabs>
        <w:snapToGrid/>
        <w:ind w:left="2160" w:right="749"/>
        <w:jc w:val="both"/>
        <w:rPr>
          <w:sz w:val="24"/>
          <w:szCs w:val="24"/>
        </w:rPr>
      </w:pPr>
      <w:r w:rsidRPr="00A126E4">
        <w:rPr>
          <w:sz w:val="24"/>
          <w:szCs w:val="24"/>
        </w:rPr>
        <w:t xml:space="preserve">In respect of the plaintiff in DCPI 96/2015 (“Hou”), Wong inappropriately or without proper justification prescribed Rohypnol to Hou without proper examination and/or proper cause. </w:t>
      </w:r>
    </w:p>
    <w:p w:rsidR="00123DCC" w:rsidRPr="00A126E4" w:rsidRDefault="00123DCC" w:rsidP="00476F4F">
      <w:pPr>
        <w:tabs>
          <w:tab w:val="clear" w:pos="1440"/>
          <w:tab w:val="clear" w:pos="4320"/>
          <w:tab w:val="clear" w:pos="9072"/>
        </w:tabs>
        <w:snapToGrid/>
        <w:ind w:left="2160" w:right="749"/>
        <w:jc w:val="both"/>
        <w:rPr>
          <w:sz w:val="24"/>
          <w:szCs w:val="24"/>
        </w:rPr>
      </w:pPr>
    </w:p>
    <w:p w:rsidR="00A126E4" w:rsidRPr="00A126E4" w:rsidRDefault="00A126E4" w:rsidP="003A323B">
      <w:pPr>
        <w:keepNext/>
        <w:keepLines/>
        <w:widowControl w:val="0"/>
        <w:numPr>
          <w:ilvl w:val="0"/>
          <w:numId w:val="4"/>
        </w:numPr>
        <w:tabs>
          <w:tab w:val="clear" w:pos="1440"/>
          <w:tab w:val="clear" w:pos="4320"/>
          <w:tab w:val="clear" w:pos="9072"/>
          <w:tab w:val="left" w:pos="2160"/>
        </w:tabs>
        <w:snapToGrid/>
        <w:ind w:left="2160" w:right="749" w:hanging="720"/>
        <w:jc w:val="both"/>
        <w:rPr>
          <w:sz w:val="24"/>
          <w:szCs w:val="24"/>
        </w:rPr>
      </w:pPr>
      <w:r w:rsidRPr="00A126E4">
        <w:rPr>
          <w:sz w:val="24"/>
          <w:szCs w:val="24"/>
        </w:rPr>
        <w:t>Charge 2</w:t>
      </w:r>
    </w:p>
    <w:p w:rsidR="00123DCC" w:rsidRDefault="00123DCC" w:rsidP="00476F4F">
      <w:pPr>
        <w:keepNext/>
        <w:keepLines/>
        <w:widowControl w:val="0"/>
        <w:tabs>
          <w:tab w:val="clear" w:pos="1440"/>
          <w:tab w:val="clear" w:pos="4320"/>
          <w:tab w:val="clear" w:pos="9072"/>
        </w:tabs>
        <w:snapToGrid/>
        <w:ind w:left="2160" w:right="749"/>
        <w:jc w:val="both"/>
        <w:rPr>
          <w:sz w:val="24"/>
          <w:szCs w:val="24"/>
        </w:rPr>
      </w:pPr>
    </w:p>
    <w:p w:rsidR="00A126E4" w:rsidRDefault="00A126E4" w:rsidP="00476F4F">
      <w:pPr>
        <w:tabs>
          <w:tab w:val="clear" w:pos="1440"/>
          <w:tab w:val="clear" w:pos="4320"/>
          <w:tab w:val="clear" w:pos="9072"/>
        </w:tabs>
        <w:snapToGrid/>
        <w:ind w:left="2160" w:right="749"/>
        <w:jc w:val="both"/>
        <w:rPr>
          <w:sz w:val="24"/>
          <w:szCs w:val="24"/>
        </w:rPr>
      </w:pPr>
      <w:r w:rsidRPr="00A126E4">
        <w:rPr>
          <w:sz w:val="24"/>
          <w:szCs w:val="24"/>
        </w:rPr>
        <w:t>In respect of the plaintiff in DCPI 476/2015 (“Kwok”), Wong inappropriately or without proper justification prescribed Rohypnol Kwok without proper examination and/or proper cause.</w:t>
      </w:r>
    </w:p>
    <w:p w:rsidR="00123DCC" w:rsidRPr="00A126E4" w:rsidRDefault="00123DCC" w:rsidP="00476F4F">
      <w:pPr>
        <w:tabs>
          <w:tab w:val="clear" w:pos="1440"/>
          <w:tab w:val="clear" w:pos="4320"/>
          <w:tab w:val="clear" w:pos="9072"/>
        </w:tabs>
        <w:snapToGrid/>
        <w:ind w:left="2160" w:right="749"/>
        <w:jc w:val="both"/>
        <w:rPr>
          <w:sz w:val="24"/>
          <w:szCs w:val="24"/>
        </w:rPr>
      </w:pPr>
    </w:p>
    <w:p w:rsidR="00A126E4" w:rsidRPr="00A126E4" w:rsidRDefault="00A126E4" w:rsidP="003A323B">
      <w:pPr>
        <w:keepNext/>
        <w:widowControl w:val="0"/>
        <w:numPr>
          <w:ilvl w:val="0"/>
          <w:numId w:val="4"/>
        </w:numPr>
        <w:tabs>
          <w:tab w:val="clear" w:pos="1440"/>
          <w:tab w:val="clear" w:pos="4320"/>
          <w:tab w:val="clear" w:pos="9072"/>
          <w:tab w:val="left" w:pos="2160"/>
        </w:tabs>
        <w:snapToGrid/>
        <w:ind w:left="2160" w:right="749" w:hanging="720"/>
        <w:jc w:val="both"/>
        <w:rPr>
          <w:sz w:val="24"/>
          <w:szCs w:val="24"/>
        </w:rPr>
      </w:pPr>
      <w:r w:rsidRPr="00A126E4">
        <w:rPr>
          <w:sz w:val="24"/>
          <w:szCs w:val="24"/>
        </w:rPr>
        <w:lastRenderedPageBreak/>
        <w:t>Charge 3</w:t>
      </w:r>
    </w:p>
    <w:p w:rsidR="00123DCC" w:rsidRDefault="00123DCC" w:rsidP="00476F4F">
      <w:pPr>
        <w:keepNext/>
        <w:widowControl w:val="0"/>
        <w:tabs>
          <w:tab w:val="clear" w:pos="1440"/>
          <w:tab w:val="clear" w:pos="4320"/>
          <w:tab w:val="clear" w:pos="9072"/>
        </w:tabs>
        <w:snapToGrid/>
        <w:ind w:left="2160" w:right="749"/>
        <w:jc w:val="both"/>
        <w:rPr>
          <w:sz w:val="24"/>
          <w:szCs w:val="24"/>
        </w:rPr>
      </w:pPr>
    </w:p>
    <w:p w:rsidR="00A126E4" w:rsidRPr="00A126E4" w:rsidRDefault="00A126E4" w:rsidP="00476F4F">
      <w:pPr>
        <w:tabs>
          <w:tab w:val="clear" w:pos="1440"/>
          <w:tab w:val="clear" w:pos="4320"/>
          <w:tab w:val="clear" w:pos="9072"/>
        </w:tabs>
        <w:snapToGrid/>
        <w:ind w:left="2160" w:right="749"/>
        <w:jc w:val="both"/>
        <w:rPr>
          <w:sz w:val="24"/>
          <w:szCs w:val="24"/>
        </w:rPr>
      </w:pPr>
      <w:r w:rsidRPr="00A126E4">
        <w:rPr>
          <w:sz w:val="24"/>
          <w:szCs w:val="24"/>
        </w:rPr>
        <w:t>In respect of the plaintiff in DCPI 439/2015 (“Cheng”), Wong inappropriately or without proper justification prescribed Rohypnol to Cheng without proper examination and/or proper cause.</w:t>
      </w:r>
    </w:p>
    <w:p w:rsidR="00A126E4" w:rsidRPr="00A126E4" w:rsidRDefault="00A126E4" w:rsidP="008B6C2F">
      <w:pPr>
        <w:tabs>
          <w:tab w:val="clear" w:pos="1440"/>
          <w:tab w:val="clear" w:pos="4320"/>
          <w:tab w:val="clear" w:pos="9072"/>
        </w:tabs>
        <w:snapToGrid/>
        <w:spacing w:line="360" w:lineRule="auto"/>
        <w:rPr>
          <w:szCs w:val="28"/>
        </w:rPr>
      </w:pPr>
    </w:p>
    <w:p w:rsidR="00A126E4" w:rsidRPr="00A126E4" w:rsidRDefault="00A126E4" w:rsidP="003A323B">
      <w:pPr>
        <w:pStyle w:val="ListParagraph"/>
        <w:numPr>
          <w:ilvl w:val="0"/>
          <w:numId w:val="3"/>
        </w:numPr>
        <w:tabs>
          <w:tab w:val="clear" w:pos="4320"/>
          <w:tab w:val="clear" w:pos="9072"/>
        </w:tabs>
        <w:spacing w:line="360" w:lineRule="auto"/>
        <w:ind w:left="0" w:firstLine="0"/>
        <w:jc w:val="both"/>
        <w:rPr>
          <w:szCs w:val="28"/>
        </w:rPr>
      </w:pPr>
      <w:r w:rsidRPr="00A126E4">
        <w:rPr>
          <w:szCs w:val="28"/>
        </w:rPr>
        <w:t>Before the disciplinary inquiry, MCHK has tried to give notice of the inquiry to Wong by sending out a notice of inquiry on 4</w:t>
      </w:r>
      <w:r w:rsidR="00123DCC">
        <w:rPr>
          <w:szCs w:val="28"/>
        </w:rPr>
        <w:t> </w:t>
      </w:r>
      <w:r w:rsidRPr="00A126E4">
        <w:rPr>
          <w:szCs w:val="28"/>
        </w:rPr>
        <w:t>October 2013 to the address given by Wong (“the registered address”) in the general register in which Wong was registered as a general practitioner.  The mail was returned to MCHK by the Hong Kong Post.</w:t>
      </w:r>
    </w:p>
    <w:p w:rsidR="00A126E4" w:rsidRPr="00123DCC" w:rsidRDefault="00A126E4" w:rsidP="008B6C2F">
      <w:pPr>
        <w:tabs>
          <w:tab w:val="clear" w:pos="4320"/>
          <w:tab w:val="clear" w:pos="9072"/>
        </w:tabs>
        <w:spacing w:line="360" w:lineRule="auto"/>
        <w:jc w:val="both"/>
        <w:rPr>
          <w:szCs w:val="28"/>
        </w:rPr>
      </w:pPr>
    </w:p>
    <w:p w:rsidR="00A126E4" w:rsidRPr="00A126E4" w:rsidRDefault="00A126E4" w:rsidP="003A323B">
      <w:pPr>
        <w:pStyle w:val="ListParagraph"/>
        <w:numPr>
          <w:ilvl w:val="0"/>
          <w:numId w:val="3"/>
        </w:numPr>
        <w:tabs>
          <w:tab w:val="clear" w:pos="4320"/>
          <w:tab w:val="clear" w:pos="9072"/>
        </w:tabs>
        <w:spacing w:line="360" w:lineRule="auto"/>
        <w:ind w:left="0" w:firstLine="0"/>
        <w:jc w:val="both"/>
        <w:rPr>
          <w:szCs w:val="28"/>
        </w:rPr>
      </w:pPr>
      <w:r w:rsidRPr="00A126E4">
        <w:rPr>
          <w:szCs w:val="28"/>
        </w:rPr>
        <w:t>On 21 November 2013, an assistant secretary of MCHK (“the assistant secretary”) called Wong and managed to talk to Wong over the phone.  The assistant secretary asked Wong to provide an address so that MCHK could send the notice of inquiry to him.  Wong refused and said he had retired, and he had provided all his explanation in writing to the preliminary investigation committee (“PIC”) of MCHK.  The assistant secretary explained to Wong that the PIC considered that there was a prima facie case and MCHK would hold an inquiry.  Wong refused to receive the notice of inquiry and hanged up the phone.</w:t>
      </w:r>
      <w:r w:rsidR="00300A80">
        <w:rPr>
          <w:szCs w:val="28"/>
        </w:rPr>
        <w:t xml:space="preserve">  The evidence given by the assistant secretary is not disputed by Ms Joyce Chan, counsel for Wong in all the 3 actions.</w:t>
      </w:r>
    </w:p>
    <w:p w:rsidR="00A126E4" w:rsidRPr="00123DCC" w:rsidRDefault="00A126E4" w:rsidP="008B6C2F">
      <w:pPr>
        <w:tabs>
          <w:tab w:val="clear" w:pos="4320"/>
          <w:tab w:val="clear" w:pos="9072"/>
        </w:tabs>
        <w:spacing w:line="360" w:lineRule="auto"/>
        <w:jc w:val="both"/>
        <w:rPr>
          <w:szCs w:val="28"/>
        </w:rPr>
      </w:pPr>
    </w:p>
    <w:p w:rsidR="00A126E4" w:rsidRPr="00A126E4" w:rsidRDefault="00A126E4" w:rsidP="003A323B">
      <w:pPr>
        <w:pStyle w:val="ListParagraph"/>
        <w:numPr>
          <w:ilvl w:val="0"/>
          <w:numId w:val="3"/>
        </w:numPr>
        <w:tabs>
          <w:tab w:val="clear" w:pos="4320"/>
          <w:tab w:val="clear" w:pos="9072"/>
        </w:tabs>
        <w:spacing w:line="360" w:lineRule="auto"/>
        <w:ind w:left="0" w:firstLine="0"/>
        <w:jc w:val="both"/>
        <w:rPr>
          <w:szCs w:val="28"/>
        </w:rPr>
      </w:pPr>
      <w:r w:rsidRPr="00A126E4">
        <w:rPr>
          <w:szCs w:val="28"/>
        </w:rPr>
        <w:t>On 4 December 2013 and 20 January 2014, MCHK sent copies of the notice of inquiry to 3 properties which, according to MCHK’s knowledge, were owned by Wong.  All these mails have not been returned to MCHK by the Hong Kong Post.  The addresses of the 3 properties are as follows:</w:t>
      </w:r>
      <w:r w:rsidR="00123DCC">
        <w:rPr>
          <w:szCs w:val="28"/>
        </w:rPr>
        <w:t>-</w:t>
      </w:r>
    </w:p>
    <w:p w:rsidR="00A126E4" w:rsidRPr="00123DCC" w:rsidRDefault="00A126E4" w:rsidP="008B6C2F">
      <w:pPr>
        <w:tabs>
          <w:tab w:val="clear" w:pos="4320"/>
          <w:tab w:val="clear" w:pos="9072"/>
        </w:tabs>
        <w:spacing w:line="360" w:lineRule="auto"/>
        <w:jc w:val="both"/>
        <w:rPr>
          <w:szCs w:val="28"/>
        </w:rPr>
      </w:pPr>
    </w:p>
    <w:p w:rsidR="00A126E4" w:rsidRDefault="00A126E4" w:rsidP="003A323B">
      <w:pPr>
        <w:numPr>
          <w:ilvl w:val="0"/>
          <w:numId w:val="5"/>
        </w:numPr>
        <w:tabs>
          <w:tab w:val="clear" w:pos="1440"/>
          <w:tab w:val="clear" w:pos="4320"/>
          <w:tab w:val="clear" w:pos="9072"/>
          <w:tab w:val="left" w:pos="2160"/>
        </w:tabs>
        <w:snapToGrid/>
        <w:spacing w:line="360" w:lineRule="auto"/>
        <w:ind w:left="2160" w:hanging="720"/>
        <w:jc w:val="both"/>
        <w:rPr>
          <w:szCs w:val="28"/>
        </w:rPr>
      </w:pPr>
      <w:r w:rsidRPr="00A126E4">
        <w:rPr>
          <w:szCs w:val="28"/>
        </w:rPr>
        <w:lastRenderedPageBreak/>
        <w:t>Flat C, 18/F, Block 25, Baguio Villa, No</w:t>
      </w:r>
      <w:r w:rsidR="00123DCC">
        <w:rPr>
          <w:szCs w:val="28"/>
        </w:rPr>
        <w:t> </w:t>
      </w:r>
      <w:r w:rsidRPr="00A126E4">
        <w:rPr>
          <w:szCs w:val="28"/>
        </w:rPr>
        <w:t>555 Victoria Road, Hong Kong (“Address 1”)</w:t>
      </w:r>
    </w:p>
    <w:p w:rsidR="00123DCC" w:rsidRPr="00A126E4" w:rsidRDefault="00123DCC" w:rsidP="008B6C2F">
      <w:pPr>
        <w:tabs>
          <w:tab w:val="clear" w:pos="1440"/>
          <w:tab w:val="clear" w:pos="4320"/>
          <w:tab w:val="clear" w:pos="9072"/>
          <w:tab w:val="left" w:pos="2160"/>
        </w:tabs>
        <w:snapToGrid/>
        <w:spacing w:line="360" w:lineRule="auto"/>
        <w:jc w:val="both"/>
        <w:rPr>
          <w:szCs w:val="28"/>
        </w:rPr>
      </w:pPr>
    </w:p>
    <w:p w:rsidR="00A126E4" w:rsidRDefault="00A126E4" w:rsidP="003A323B">
      <w:pPr>
        <w:numPr>
          <w:ilvl w:val="0"/>
          <w:numId w:val="5"/>
        </w:numPr>
        <w:tabs>
          <w:tab w:val="clear" w:pos="1440"/>
          <w:tab w:val="clear" w:pos="4320"/>
          <w:tab w:val="clear" w:pos="9072"/>
          <w:tab w:val="left" w:pos="2160"/>
        </w:tabs>
        <w:snapToGrid/>
        <w:spacing w:line="360" w:lineRule="auto"/>
        <w:ind w:left="2160" w:hanging="720"/>
        <w:jc w:val="both"/>
        <w:rPr>
          <w:szCs w:val="28"/>
        </w:rPr>
      </w:pPr>
      <w:r w:rsidRPr="00A126E4">
        <w:rPr>
          <w:szCs w:val="28"/>
        </w:rPr>
        <w:t>Flat A, 20/F, Good View Court, 21 Robinson Road, Hong Kong (“Address 2”)</w:t>
      </w:r>
    </w:p>
    <w:p w:rsidR="00123DCC" w:rsidRDefault="00123DCC" w:rsidP="008B6C2F">
      <w:pPr>
        <w:tabs>
          <w:tab w:val="clear" w:pos="4320"/>
          <w:tab w:val="clear" w:pos="9072"/>
        </w:tabs>
        <w:spacing w:line="360" w:lineRule="auto"/>
        <w:jc w:val="both"/>
        <w:rPr>
          <w:szCs w:val="28"/>
        </w:rPr>
      </w:pPr>
    </w:p>
    <w:p w:rsidR="00A126E4" w:rsidRPr="00A126E4" w:rsidRDefault="00A126E4" w:rsidP="003A323B">
      <w:pPr>
        <w:numPr>
          <w:ilvl w:val="0"/>
          <w:numId w:val="5"/>
        </w:numPr>
        <w:tabs>
          <w:tab w:val="clear" w:pos="1440"/>
          <w:tab w:val="clear" w:pos="4320"/>
          <w:tab w:val="clear" w:pos="9072"/>
          <w:tab w:val="left" w:pos="2160"/>
        </w:tabs>
        <w:snapToGrid/>
        <w:spacing w:line="360" w:lineRule="auto"/>
        <w:ind w:left="2160" w:hanging="720"/>
        <w:jc w:val="both"/>
        <w:rPr>
          <w:szCs w:val="28"/>
        </w:rPr>
      </w:pPr>
      <w:r w:rsidRPr="00A126E4">
        <w:rPr>
          <w:szCs w:val="28"/>
        </w:rPr>
        <w:t>Flat B, 5/F, Monmouth Place, No</w:t>
      </w:r>
      <w:r w:rsidR="00123DCC">
        <w:rPr>
          <w:szCs w:val="28"/>
        </w:rPr>
        <w:t> </w:t>
      </w:r>
      <w:r w:rsidRPr="00A126E4">
        <w:rPr>
          <w:szCs w:val="28"/>
        </w:rPr>
        <w:t>9L Kennedy Road, Hong Kong (“Address 3”)</w:t>
      </w:r>
    </w:p>
    <w:p w:rsidR="00A126E4" w:rsidRPr="00A126E4" w:rsidRDefault="00A126E4" w:rsidP="008B6C2F">
      <w:pPr>
        <w:tabs>
          <w:tab w:val="clear" w:pos="4320"/>
          <w:tab w:val="clear" w:pos="9072"/>
        </w:tabs>
        <w:spacing w:line="360" w:lineRule="auto"/>
        <w:jc w:val="both"/>
        <w:rPr>
          <w:szCs w:val="28"/>
        </w:rPr>
      </w:pPr>
    </w:p>
    <w:p w:rsidR="00A126E4" w:rsidRPr="00A126E4" w:rsidRDefault="00A126E4" w:rsidP="003A323B">
      <w:pPr>
        <w:pStyle w:val="ListParagraph"/>
        <w:numPr>
          <w:ilvl w:val="0"/>
          <w:numId w:val="3"/>
        </w:numPr>
        <w:tabs>
          <w:tab w:val="clear" w:pos="4320"/>
          <w:tab w:val="clear" w:pos="9072"/>
        </w:tabs>
        <w:spacing w:line="360" w:lineRule="auto"/>
        <w:ind w:left="0" w:firstLine="0"/>
        <w:jc w:val="both"/>
        <w:rPr>
          <w:szCs w:val="28"/>
        </w:rPr>
      </w:pPr>
      <w:r w:rsidRPr="00A126E4">
        <w:rPr>
          <w:szCs w:val="28"/>
        </w:rPr>
        <w:t>Wong did not attend the disciplinary inquiry held on 19</w:t>
      </w:r>
      <w:r w:rsidR="00123DCC">
        <w:rPr>
          <w:szCs w:val="28"/>
        </w:rPr>
        <w:t> </w:t>
      </w:r>
      <w:r w:rsidRPr="00A126E4">
        <w:rPr>
          <w:szCs w:val="28"/>
        </w:rPr>
        <w:t>February 2014.  MCHK decided to proceed in Wong’s absence.  At the end of the inquiry, MCHK acquitted Wong on Charge 1, but convicted Wong on Charge 2 and Charge 3.</w:t>
      </w:r>
    </w:p>
    <w:p w:rsidR="00A126E4" w:rsidRPr="00123DCC" w:rsidRDefault="00A126E4" w:rsidP="008B6C2F">
      <w:pPr>
        <w:tabs>
          <w:tab w:val="clear" w:pos="4320"/>
          <w:tab w:val="clear" w:pos="9072"/>
        </w:tabs>
        <w:spacing w:line="360" w:lineRule="auto"/>
        <w:jc w:val="both"/>
        <w:rPr>
          <w:szCs w:val="28"/>
        </w:rPr>
      </w:pPr>
    </w:p>
    <w:p w:rsidR="00A126E4" w:rsidRPr="00A126E4" w:rsidRDefault="00A126E4" w:rsidP="003A323B">
      <w:pPr>
        <w:pStyle w:val="ListParagraph"/>
        <w:numPr>
          <w:ilvl w:val="0"/>
          <w:numId w:val="3"/>
        </w:numPr>
        <w:tabs>
          <w:tab w:val="clear" w:pos="4320"/>
          <w:tab w:val="clear" w:pos="9072"/>
        </w:tabs>
        <w:spacing w:line="360" w:lineRule="auto"/>
        <w:ind w:left="0" w:firstLine="0"/>
        <w:jc w:val="both"/>
        <w:rPr>
          <w:szCs w:val="28"/>
        </w:rPr>
      </w:pPr>
      <w:r w:rsidRPr="00A126E4">
        <w:rPr>
          <w:szCs w:val="28"/>
        </w:rPr>
        <w:t>Mr Victor Gidwani, counsel for the plaintiffs in all the 3 actions, has helpfully summarized the events occurred in these proceedings in his written submissions.  The accuracy of the summary prepared by Mr</w:t>
      </w:r>
      <w:r w:rsidR="00123DCC">
        <w:rPr>
          <w:szCs w:val="28"/>
        </w:rPr>
        <w:t> </w:t>
      </w:r>
      <w:r w:rsidRPr="00A126E4">
        <w:rPr>
          <w:szCs w:val="28"/>
        </w:rPr>
        <w:t>Gidwani is not disputed by Ms Joyce Chan, counsel for Wong in all the 3 actions.  I would set out the events as per Mr Gidwani’s summary below:</w:t>
      </w:r>
      <w:r w:rsidR="00123DCC">
        <w:rPr>
          <w:szCs w:val="28"/>
        </w:rPr>
        <w:t>-</w:t>
      </w:r>
    </w:p>
    <w:p w:rsidR="00A126E4" w:rsidRPr="00A126E4" w:rsidRDefault="00A126E4" w:rsidP="008B6C2F">
      <w:pPr>
        <w:tabs>
          <w:tab w:val="clear" w:pos="4320"/>
          <w:tab w:val="clear" w:pos="9072"/>
        </w:tabs>
        <w:spacing w:line="360" w:lineRule="auto"/>
        <w:jc w:val="both"/>
        <w:rPr>
          <w:szCs w:val="28"/>
        </w:rPr>
      </w:pPr>
    </w:p>
    <w:p w:rsidR="00A126E4" w:rsidRDefault="00A126E4" w:rsidP="003A323B">
      <w:pPr>
        <w:numPr>
          <w:ilvl w:val="0"/>
          <w:numId w:val="6"/>
        </w:numPr>
        <w:tabs>
          <w:tab w:val="clear" w:pos="1440"/>
          <w:tab w:val="clear" w:pos="4320"/>
          <w:tab w:val="clear" w:pos="9072"/>
        </w:tabs>
        <w:snapToGrid/>
        <w:spacing w:line="360" w:lineRule="auto"/>
        <w:ind w:left="720" w:hanging="720"/>
        <w:rPr>
          <w:szCs w:val="28"/>
        </w:rPr>
      </w:pPr>
      <w:r w:rsidRPr="00A126E4">
        <w:rPr>
          <w:szCs w:val="28"/>
        </w:rPr>
        <w:t>DCPI 96/2015</w:t>
      </w:r>
    </w:p>
    <w:p w:rsidR="00123DCC" w:rsidRDefault="00123DCC" w:rsidP="008B6C2F">
      <w:pPr>
        <w:tabs>
          <w:tab w:val="clear" w:pos="1440"/>
          <w:tab w:val="clear" w:pos="4320"/>
          <w:tab w:val="clear" w:pos="9072"/>
        </w:tabs>
        <w:snapToGrid/>
        <w:spacing w:line="360" w:lineRule="auto"/>
        <w:rPr>
          <w:szCs w:val="28"/>
        </w:rPr>
      </w:pP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0"/>
        <w:gridCol w:w="5781"/>
      </w:tblGrid>
      <w:tr w:rsidR="00123DCC" w:rsidTr="000525BF">
        <w:tc>
          <w:tcPr>
            <w:tcW w:w="1800" w:type="dxa"/>
          </w:tcPr>
          <w:p w:rsidR="00123DCC" w:rsidRPr="000525BF" w:rsidRDefault="008B7A1B" w:rsidP="008B6C2F">
            <w:pPr>
              <w:tabs>
                <w:tab w:val="clear" w:pos="1440"/>
                <w:tab w:val="clear" w:pos="4320"/>
                <w:tab w:val="clear" w:pos="9072"/>
              </w:tabs>
              <w:snapToGrid/>
              <w:spacing w:line="360" w:lineRule="auto"/>
              <w:jc w:val="both"/>
              <w:rPr>
                <w:szCs w:val="28"/>
                <w:u w:val="single"/>
              </w:rPr>
            </w:pPr>
            <w:r w:rsidRPr="000525BF">
              <w:rPr>
                <w:szCs w:val="28"/>
                <w:u w:val="single"/>
              </w:rPr>
              <w:t>Date</w:t>
            </w:r>
          </w:p>
        </w:tc>
        <w:tc>
          <w:tcPr>
            <w:tcW w:w="5781" w:type="dxa"/>
          </w:tcPr>
          <w:p w:rsidR="00A85ACA" w:rsidRPr="000525BF" w:rsidRDefault="00300A80" w:rsidP="00476F4F">
            <w:pPr>
              <w:tabs>
                <w:tab w:val="clear" w:pos="1440"/>
                <w:tab w:val="clear" w:pos="4320"/>
                <w:tab w:val="clear" w:pos="9072"/>
              </w:tabs>
              <w:snapToGrid/>
              <w:spacing w:line="360" w:lineRule="auto"/>
              <w:jc w:val="both"/>
              <w:rPr>
                <w:szCs w:val="28"/>
                <w:u w:val="single"/>
              </w:rPr>
            </w:pPr>
            <w:r>
              <w:rPr>
                <w:szCs w:val="28"/>
                <w:u w:val="single"/>
              </w:rPr>
              <w:t>Event</w:t>
            </w:r>
            <w:r w:rsidR="008D433D">
              <w:rPr>
                <w:szCs w:val="28"/>
                <w:u w:val="single"/>
              </w:rPr>
              <w:t>s</w:t>
            </w:r>
          </w:p>
          <w:p w:rsidR="00476F4F" w:rsidRPr="000525BF" w:rsidRDefault="00476F4F" w:rsidP="00476F4F">
            <w:pPr>
              <w:tabs>
                <w:tab w:val="clear" w:pos="1440"/>
                <w:tab w:val="clear" w:pos="4320"/>
                <w:tab w:val="clear" w:pos="9072"/>
              </w:tabs>
              <w:snapToGrid/>
              <w:spacing w:line="360" w:lineRule="auto"/>
              <w:jc w:val="both"/>
              <w:rPr>
                <w:szCs w:val="28"/>
                <w:u w:val="single"/>
              </w:rPr>
            </w:pPr>
          </w:p>
        </w:tc>
      </w:tr>
      <w:tr w:rsidR="00123DCC" w:rsidTr="000525BF">
        <w:tc>
          <w:tcPr>
            <w:tcW w:w="1800" w:type="dxa"/>
          </w:tcPr>
          <w:p w:rsidR="00123DCC" w:rsidRPr="00476F4F" w:rsidRDefault="008B7A1B" w:rsidP="008B6C2F">
            <w:pPr>
              <w:tabs>
                <w:tab w:val="clear" w:pos="1440"/>
                <w:tab w:val="clear" w:pos="4320"/>
                <w:tab w:val="clear" w:pos="9072"/>
              </w:tabs>
              <w:snapToGrid/>
              <w:spacing w:line="360" w:lineRule="auto"/>
              <w:jc w:val="both"/>
              <w:rPr>
                <w:szCs w:val="28"/>
              </w:rPr>
            </w:pPr>
            <w:r w:rsidRPr="00476F4F">
              <w:rPr>
                <w:szCs w:val="28"/>
              </w:rPr>
              <w:t>15/1/2015</w:t>
            </w:r>
          </w:p>
        </w:tc>
        <w:tc>
          <w:tcPr>
            <w:tcW w:w="5781" w:type="dxa"/>
          </w:tcPr>
          <w:p w:rsidR="00A85ACA" w:rsidRDefault="008B7A1B" w:rsidP="00476F4F">
            <w:pPr>
              <w:tabs>
                <w:tab w:val="clear" w:pos="1440"/>
                <w:tab w:val="clear" w:pos="4320"/>
                <w:tab w:val="clear" w:pos="9072"/>
              </w:tabs>
              <w:snapToGrid/>
              <w:spacing w:line="360" w:lineRule="auto"/>
              <w:jc w:val="both"/>
              <w:rPr>
                <w:szCs w:val="28"/>
              </w:rPr>
            </w:pPr>
            <w:r w:rsidRPr="00476F4F">
              <w:rPr>
                <w:szCs w:val="28"/>
              </w:rPr>
              <w:t xml:space="preserve">Writ of </w:t>
            </w:r>
            <w:r w:rsidR="00F12171">
              <w:rPr>
                <w:szCs w:val="28"/>
              </w:rPr>
              <w:t>s</w:t>
            </w:r>
            <w:r w:rsidRPr="00476F4F">
              <w:rPr>
                <w:szCs w:val="28"/>
              </w:rPr>
              <w:t>ummons (with a general endorsement) issued</w:t>
            </w:r>
          </w:p>
          <w:p w:rsidR="00476F4F" w:rsidRPr="00476F4F" w:rsidRDefault="00476F4F" w:rsidP="00476F4F">
            <w:pPr>
              <w:tabs>
                <w:tab w:val="clear" w:pos="1440"/>
                <w:tab w:val="clear" w:pos="4320"/>
                <w:tab w:val="clear" w:pos="9072"/>
              </w:tabs>
              <w:snapToGrid/>
              <w:spacing w:line="360" w:lineRule="auto"/>
              <w:jc w:val="both"/>
              <w:rPr>
                <w:szCs w:val="28"/>
              </w:rPr>
            </w:pPr>
          </w:p>
        </w:tc>
      </w:tr>
      <w:tr w:rsidR="00123DCC" w:rsidTr="000525BF">
        <w:tc>
          <w:tcPr>
            <w:tcW w:w="1800" w:type="dxa"/>
          </w:tcPr>
          <w:p w:rsidR="00123DCC" w:rsidRPr="00476F4F" w:rsidRDefault="008B7A1B" w:rsidP="008B6C2F">
            <w:pPr>
              <w:tabs>
                <w:tab w:val="clear" w:pos="1440"/>
                <w:tab w:val="clear" w:pos="4320"/>
                <w:tab w:val="clear" w:pos="9072"/>
              </w:tabs>
              <w:snapToGrid/>
              <w:spacing w:line="360" w:lineRule="auto"/>
              <w:jc w:val="both"/>
              <w:rPr>
                <w:szCs w:val="28"/>
              </w:rPr>
            </w:pPr>
            <w:r w:rsidRPr="00476F4F">
              <w:rPr>
                <w:szCs w:val="28"/>
              </w:rPr>
              <w:lastRenderedPageBreak/>
              <w:t>14/12/2015</w:t>
            </w:r>
          </w:p>
        </w:tc>
        <w:tc>
          <w:tcPr>
            <w:tcW w:w="5781" w:type="dxa"/>
          </w:tcPr>
          <w:p w:rsidR="00A85ACA" w:rsidRDefault="00F12171" w:rsidP="00476F4F">
            <w:pPr>
              <w:tabs>
                <w:tab w:val="clear" w:pos="1440"/>
                <w:tab w:val="clear" w:pos="4320"/>
                <w:tab w:val="clear" w:pos="9072"/>
              </w:tabs>
              <w:snapToGrid/>
              <w:spacing w:line="360" w:lineRule="auto"/>
              <w:jc w:val="both"/>
              <w:rPr>
                <w:szCs w:val="28"/>
              </w:rPr>
            </w:pPr>
            <w:r>
              <w:rPr>
                <w:szCs w:val="28"/>
              </w:rPr>
              <w:t>Service of the w</w:t>
            </w:r>
            <w:r w:rsidR="008B7A1B" w:rsidRPr="00476F4F">
              <w:rPr>
                <w:szCs w:val="28"/>
              </w:rPr>
              <w:t xml:space="preserve">rit of </w:t>
            </w:r>
            <w:r>
              <w:rPr>
                <w:szCs w:val="28"/>
              </w:rPr>
              <w:t>s</w:t>
            </w:r>
            <w:r w:rsidR="008B7A1B" w:rsidRPr="00476F4F">
              <w:rPr>
                <w:szCs w:val="28"/>
              </w:rPr>
              <w:t>ummons by inserting to the letter box at Address 1</w:t>
            </w:r>
          </w:p>
          <w:p w:rsidR="00476F4F" w:rsidRPr="00476F4F" w:rsidRDefault="00476F4F" w:rsidP="00476F4F">
            <w:pPr>
              <w:tabs>
                <w:tab w:val="clear" w:pos="1440"/>
                <w:tab w:val="clear" w:pos="4320"/>
                <w:tab w:val="clear" w:pos="9072"/>
              </w:tabs>
              <w:snapToGrid/>
              <w:spacing w:line="360" w:lineRule="auto"/>
              <w:jc w:val="both"/>
              <w:rPr>
                <w:szCs w:val="28"/>
              </w:rPr>
            </w:pPr>
          </w:p>
        </w:tc>
      </w:tr>
      <w:tr w:rsidR="00123DCC" w:rsidTr="000525BF">
        <w:tc>
          <w:tcPr>
            <w:tcW w:w="1800" w:type="dxa"/>
          </w:tcPr>
          <w:p w:rsidR="00123DCC" w:rsidRPr="00476F4F" w:rsidRDefault="008B7A1B" w:rsidP="008B6C2F">
            <w:pPr>
              <w:tabs>
                <w:tab w:val="clear" w:pos="1440"/>
                <w:tab w:val="clear" w:pos="4320"/>
                <w:tab w:val="clear" w:pos="9072"/>
              </w:tabs>
              <w:snapToGrid/>
              <w:spacing w:line="360" w:lineRule="auto"/>
              <w:jc w:val="both"/>
              <w:rPr>
                <w:szCs w:val="28"/>
              </w:rPr>
            </w:pPr>
            <w:r w:rsidRPr="00476F4F">
              <w:rPr>
                <w:szCs w:val="28"/>
              </w:rPr>
              <w:t>18/12/2015</w:t>
            </w:r>
          </w:p>
        </w:tc>
        <w:tc>
          <w:tcPr>
            <w:tcW w:w="5781" w:type="dxa"/>
          </w:tcPr>
          <w:p w:rsidR="00A85ACA" w:rsidRDefault="00F12171" w:rsidP="00476F4F">
            <w:pPr>
              <w:tabs>
                <w:tab w:val="clear" w:pos="1440"/>
                <w:tab w:val="clear" w:pos="4320"/>
                <w:tab w:val="clear" w:pos="9072"/>
              </w:tabs>
              <w:snapToGrid/>
              <w:spacing w:line="360" w:lineRule="auto"/>
              <w:jc w:val="both"/>
              <w:rPr>
                <w:szCs w:val="28"/>
              </w:rPr>
            </w:pPr>
            <w:r>
              <w:rPr>
                <w:szCs w:val="28"/>
              </w:rPr>
              <w:t>The w</w:t>
            </w:r>
            <w:r w:rsidR="008B7A1B" w:rsidRPr="00476F4F">
              <w:rPr>
                <w:szCs w:val="28"/>
              </w:rPr>
              <w:t xml:space="preserve">rit of </w:t>
            </w:r>
            <w:r>
              <w:rPr>
                <w:szCs w:val="28"/>
              </w:rPr>
              <w:t>s</w:t>
            </w:r>
            <w:r w:rsidR="008B7A1B" w:rsidRPr="00476F4F">
              <w:rPr>
                <w:szCs w:val="28"/>
              </w:rPr>
              <w:t xml:space="preserve">ummons was returned by a woman saying there is no such person, ie </w:t>
            </w:r>
            <w:r>
              <w:rPr>
                <w:szCs w:val="28"/>
              </w:rPr>
              <w:t>Wong</w:t>
            </w:r>
            <w:r w:rsidR="008B7A1B" w:rsidRPr="00476F4F">
              <w:rPr>
                <w:szCs w:val="28"/>
              </w:rPr>
              <w:t>, living at Address 1</w:t>
            </w:r>
          </w:p>
          <w:p w:rsidR="00476F4F" w:rsidRPr="00476F4F" w:rsidRDefault="00476F4F" w:rsidP="00476F4F">
            <w:pPr>
              <w:tabs>
                <w:tab w:val="clear" w:pos="1440"/>
                <w:tab w:val="clear" w:pos="4320"/>
                <w:tab w:val="clear" w:pos="9072"/>
              </w:tabs>
              <w:snapToGrid/>
              <w:spacing w:line="360" w:lineRule="auto"/>
              <w:jc w:val="both"/>
              <w:rPr>
                <w:szCs w:val="28"/>
              </w:rPr>
            </w:pPr>
          </w:p>
        </w:tc>
      </w:tr>
      <w:tr w:rsidR="00123DCC" w:rsidTr="000525BF">
        <w:tc>
          <w:tcPr>
            <w:tcW w:w="1800" w:type="dxa"/>
          </w:tcPr>
          <w:p w:rsidR="00123DCC" w:rsidRPr="00476F4F" w:rsidRDefault="008B7A1B" w:rsidP="008B6C2F">
            <w:pPr>
              <w:tabs>
                <w:tab w:val="clear" w:pos="1440"/>
                <w:tab w:val="clear" w:pos="4320"/>
                <w:tab w:val="clear" w:pos="9072"/>
              </w:tabs>
              <w:snapToGrid/>
              <w:spacing w:line="360" w:lineRule="auto"/>
              <w:jc w:val="both"/>
              <w:rPr>
                <w:szCs w:val="28"/>
              </w:rPr>
            </w:pPr>
            <w:r w:rsidRPr="00476F4F">
              <w:rPr>
                <w:szCs w:val="28"/>
              </w:rPr>
              <w:t>19/12/2015</w:t>
            </w:r>
          </w:p>
        </w:tc>
        <w:tc>
          <w:tcPr>
            <w:tcW w:w="5781" w:type="dxa"/>
          </w:tcPr>
          <w:p w:rsidR="00A85ACA" w:rsidRDefault="008B7A1B" w:rsidP="00476F4F">
            <w:pPr>
              <w:tabs>
                <w:tab w:val="clear" w:pos="1440"/>
                <w:tab w:val="clear" w:pos="4320"/>
                <w:tab w:val="clear" w:pos="9072"/>
              </w:tabs>
              <w:snapToGrid/>
              <w:spacing w:line="360" w:lineRule="auto"/>
              <w:jc w:val="both"/>
              <w:rPr>
                <w:szCs w:val="28"/>
              </w:rPr>
            </w:pPr>
            <w:r w:rsidRPr="00476F4F">
              <w:rPr>
                <w:szCs w:val="28"/>
              </w:rPr>
              <w:t xml:space="preserve">Service of the </w:t>
            </w:r>
            <w:r w:rsidR="00F12171">
              <w:rPr>
                <w:szCs w:val="28"/>
              </w:rPr>
              <w:t>w</w:t>
            </w:r>
            <w:r w:rsidRPr="00476F4F">
              <w:rPr>
                <w:szCs w:val="28"/>
              </w:rPr>
              <w:t xml:space="preserve">rit of </w:t>
            </w:r>
            <w:r w:rsidR="00F12171">
              <w:rPr>
                <w:szCs w:val="28"/>
              </w:rPr>
              <w:t>s</w:t>
            </w:r>
            <w:r w:rsidRPr="00476F4F">
              <w:rPr>
                <w:szCs w:val="28"/>
              </w:rPr>
              <w:t>ummons by inserting to the letter box at Address 3</w:t>
            </w:r>
          </w:p>
          <w:p w:rsidR="00476F4F" w:rsidRPr="00476F4F" w:rsidRDefault="00476F4F" w:rsidP="00476F4F">
            <w:pPr>
              <w:tabs>
                <w:tab w:val="clear" w:pos="1440"/>
                <w:tab w:val="clear" w:pos="4320"/>
                <w:tab w:val="clear" w:pos="9072"/>
              </w:tabs>
              <w:snapToGrid/>
              <w:spacing w:line="360" w:lineRule="auto"/>
              <w:jc w:val="both"/>
              <w:rPr>
                <w:szCs w:val="28"/>
              </w:rPr>
            </w:pPr>
          </w:p>
        </w:tc>
      </w:tr>
      <w:tr w:rsidR="00123DCC" w:rsidTr="000525BF">
        <w:tc>
          <w:tcPr>
            <w:tcW w:w="1800" w:type="dxa"/>
          </w:tcPr>
          <w:p w:rsidR="00123DCC" w:rsidRPr="00476F4F" w:rsidRDefault="008B7A1B" w:rsidP="008B6C2F">
            <w:pPr>
              <w:tabs>
                <w:tab w:val="clear" w:pos="1440"/>
                <w:tab w:val="clear" w:pos="4320"/>
                <w:tab w:val="clear" w:pos="9072"/>
              </w:tabs>
              <w:snapToGrid/>
              <w:spacing w:line="360" w:lineRule="auto"/>
              <w:jc w:val="both"/>
              <w:rPr>
                <w:szCs w:val="28"/>
              </w:rPr>
            </w:pPr>
            <w:r w:rsidRPr="00476F4F">
              <w:rPr>
                <w:szCs w:val="28"/>
              </w:rPr>
              <w:t>6/1/2016</w:t>
            </w:r>
          </w:p>
        </w:tc>
        <w:tc>
          <w:tcPr>
            <w:tcW w:w="5781" w:type="dxa"/>
          </w:tcPr>
          <w:p w:rsidR="00A85ACA" w:rsidRDefault="00F12171" w:rsidP="00476F4F">
            <w:pPr>
              <w:tabs>
                <w:tab w:val="clear" w:pos="1440"/>
                <w:tab w:val="clear" w:pos="4320"/>
                <w:tab w:val="clear" w:pos="9072"/>
              </w:tabs>
              <w:snapToGrid/>
              <w:spacing w:line="360" w:lineRule="auto"/>
              <w:jc w:val="both"/>
              <w:rPr>
                <w:szCs w:val="28"/>
              </w:rPr>
            </w:pPr>
            <w:r>
              <w:rPr>
                <w:szCs w:val="28"/>
              </w:rPr>
              <w:t>The a</w:t>
            </w:r>
            <w:r w:rsidR="008B7A1B" w:rsidRPr="00476F4F">
              <w:rPr>
                <w:szCs w:val="28"/>
              </w:rPr>
              <w:t xml:space="preserve">mended </w:t>
            </w:r>
            <w:r>
              <w:rPr>
                <w:szCs w:val="28"/>
              </w:rPr>
              <w:t>w</w:t>
            </w:r>
            <w:r w:rsidR="008B7A1B" w:rsidRPr="00476F4F">
              <w:rPr>
                <w:szCs w:val="28"/>
              </w:rPr>
              <w:t xml:space="preserve">rit of </w:t>
            </w:r>
            <w:r>
              <w:rPr>
                <w:szCs w:val="28"/>
              </w:rPr>
              <w:t>s</w:t>
            </w:r>
            <w:r w:rsidR="008B7A1B" w:rsidRPr="00476F4F">
              <w:rPr>
                <w:szCs w:val="28"/>
              </w:rPr>
              <w:t>ummons (with a general endorsement) issued</w:t>
            </w:r>
          </w:p>
          <w:p w:rsidR="00476F4F" w:rsidRPr="00476F4F" w:rsidRDefault="00476F4F" w:rsidP="00476F4F">
            <w:pPr>
              <w:tabs>
                <w:tab w:val="clear" w:pos="1440"/>
                <w:tab w:val="clear" w:pos="4320"/>
                <w:tab w:val="clear" w:pos="9072"/>
              </w:tabs>
              <w:snapToGrid/>
              <w:spacing w:line="360" w:lineRule="auto"/>
              <w:jc w:val="both"/>
              <w:rPr>
                <w:szCs w:val="28"/>
              </w:rPr>
            </w:pPr>
          </w:p>
        </w:tc>
      </w:tr>
      <w:tr w:rsidR="00123DCC" w:rsidTr="000525BF">
        <w:tc>
          <w:tcPr>
            <w:tcW w:w="1800" w:type="dxa"/>
          </w:tcPr>
          <w:p w:rsidR="00123DCC" w:rsidRPr="00476F4F" w:rsidRDefault="008B7A1B" w:rsidP="008B6C2F">
            <w:pPr>
              <w:tabs>
                <w:tab w:val="clear" w:pos="1440"/>
                <w:tab w:val="clear" w:pos="4320"/>
                <w:tab w:val="clear" w:pos="9072"/>
              </w:tabs>
              <w:snapToGrid/>
              <w:spacing w:line="360" w:lineRule="auto"/>
              <w:jc w:val="both"/>
              <w:rPr>
                <w:szCs w:val="28"/>
              </w:rPr>
            </w:pPr>
            <w:r w:rsidRPr="00476F4F">
              <w:rPr>
                <w:szCs w:val="28"/>
              </w:rPr>
              <w:t>12/1/2016</w:t>
            </w:r>
          </w:p>
        </w:tc>
        <w:tc>
          <w:tcPr>
            <w:tcW w:w="5781" w:type="dxa"/>
          </w:tcPr>
          <w:p w:rsidR="008B7A1B" w:rsidRPr="00476F4F" w:rsidRDefault="00F12171" w:rsidP="008B6C2F">
            <w:pPr>
              <w:tabs>
                <w:tab w:val="clear" w:pos="1440"/>
                <w:tab w:val="clear" w:pos="4320"/>
                <w:tab w:val="clear" w:pos="9072"/>
              </w:tabs>
              <w:snapToGrid/>
              <w:spacing w:line="360" w:lineRule="auto"/>
              <w:jc w:val="both"/>
              <w:rPr>
                <w:szCs w:val="28"/>
              </w:rPr>
            </w:pPr>
            <w:r>
              <w:rPr>
                <w:szCs w:val="28"/>
              </w:rPr>
              <w:t>Service of the a</w:t>
            </w:r>
            <w:r w:rsidR="008B7A1B" w:rsidRPr="00476F4F">
              <w:rPr>
                <w:szCs w:val="28"/>
              </w:rPr>
              <w:t xml:space="preserve">mended </w:t>
            </w:r>
            <w:r>
              <w:rPr>
                <w:szCs w:val="28"/>
              </w:rPr>
              <w:t>w</w:t>
            </w:r>
            <w:r w:rsidR="008B7A1B" w:rsidRPr="00476F4F">
              <w:rPr>
                <w:szCs w:val="28"/>
              </w:rPr>
              <w:t xml:space="preserve">rit of </w:t>
            </w:r>
            <w:r>
              <w:rPr>
                <w:szCs w:val="28"/>
              </w:rPr>
              <w:t>s</w:t>
            </w:r>
            <w:r w:rsidR="008B7A1B" w:rsidRPr="00476F4F">
              <w:rPr>
                <w:szCs w:val="28"/>
              </w:rPr>
              <w:t>ummons &amp; other documents by inserting to the letter box at Address 2</w:t>
            </w:r>
          </w:p>
          <w:p w:rsidR="00476F4F" w:rsidRDefault="00476F4F" w:rsidP="008B6C2F">
            <w:pPr>
              <w:tabs>
                <w:tab w:val="clear" w:pos="1440"/>
                <w:tab w:val="clear" w:pos="4320"/>
                <w:tab w:val="clear" w:pos="9072"/>
              </w:tabs>
              <w:snapToGrid/>
              <w:spacing w:line="360" w:lineRule="auto"/>
              <w:jc w:val="both"/>
              <w:rPr>
                <w:szCs w:val="28"/>
              </w:rPr>
            </w:pPr>
          </w:p>
          <w:p w:rsidR="008B7A1B" w:rsidRPr="00476F4F" w:rsidRDefault="008B7A1B" w:rsidP="008B6C2F">
            <w:pPr>
              <w:tabs>
                <w:tab w:val="clear" w:pos="1440"/>
                <w:tab w:val="clear" w:pos="4320"/>
                <w:tab w:val="clear" w:pos="9072"/>
              </w:tabs>
              <w:snapToGrid/>
              <w:spacing w:line="360" w:lineRule="auto"/>
              <w:jc w:val="both"/>
              <w:rPr>
                <w:szCs w:val="28"/>
              </w:rPr>
            </w:pPr>
            <w:r w:rsidRPr="00476F4F">
              <w:rPr>
                <w:szCs w:val="28"/>
              </w:rPr>
              <w:t xml:space="preserve">Service of the </w:t>
            </w:r>
            <w:r w:rsidR="00F12171">
              <w:rPr>
                <w:szCs w:val="28"/>
              </w:rPr>
              <w:t>a</w:t>
            </w:r>
            <w:r w:rsidRPr="00476F4F">
              <w:rPr>
                <w:szCs w:val="28"/>
              </w:rPr>
              <w:t xml:space="preserve">mended </w:t>
            </w:r>
            <w:r w:rsidR="00F12171">
              <w:rPr>
                <w:szCs w:val="28"/>
              </w:rPr>
              <w:t>w</w:t>
            </w:r>
            <w:r w:rsidRPr="00476F4F">
              <w:rPr>
                <w:szCs w:val="28"/>
              </w:rPr>
              <w:t xml:space="preserve">rit of </w:t>
            </w:r>
            <w:r w:rsidR="00F12171">
              <w:rPr>
                <w:szCs w:val="28"/>
              </w:rPr>
              <w:t>s</w:t>
            </w:r>
            <w:r w:rsidRPr="00476F4F">
              <w:rPr>
                <w:szCs w:val="28"/>
              </w:rPr>
              <w:t>ummons &amp; other documents by inserting to the letter box at Address 1</w:t>
            </w:r>
          </w:p>
          <w:p w:rsidR="008B7A1B" w:rsidRPr="00476F4F" w:rsidRDefault="008B7A1B" w:rsidP="008B6C2F">
            <w:pPr>
              <w:tabs>
                <w:tab w:val="clear" w:pos="1440"/>
                <w:tab w:val="clear" w:pos="4320"/>
                <w:tab w:val="clear" w:pos="9072"/>
              </w:tabs>
              <w:snapToGrid/>
              <w:spacing w:line="360" w:lineRule="auto"/>
              <w:jc w:val="both"/>
              <w:rPr>
                <w:szCs w:val="28"/>
              </w:rPr>
            </w:pPr>
          </w:p>
          <w:p w:rsidR="008B7A1B" w:rsidRPr="00476F4F" w:rsidRDefault="00F12171" w:rsidP="008B6C2F">
            <w:pPr>
              <w:tabs>
                <w:tab w:val="clear" w:pos="1440"/>
                <w:tab w:val="clear" w:pos="4320"/>
                <w:tab w:val="clear" w:pos="9072"/>
              </w:tabs>
              <w:snapToGrid/>
              <w:spacing w:line="360" w:lineRule="auto"/>
              <w:jc w:val="both"/>
              <w:rPr>
                <w:szCs w:val="28"/>
              </w:rPr>
            </w:pPr>
            <w:r>
              <w:rPr>
                <w:szCs w:val="28"/>
              </w:rPr>
              <w:t>Service of the a</w:t>
            </w:r>
            <w:r w:rsidR="008B7A1B" w:rsidRPr="00476F4F">
              <w:rPr>
                <w:szCs w:val="28"/>
              </w:rPr>
              <w:t xml:space="preserve">mended </w:t>
            </w:r>
            <w:r>
              <w:rPr>
                <w:szCs w:val="28"/>
              </w:rPr>
              <w:t>w</w:t>
            </w:r>
            <w:r w:rsidR="008B7A1B" w:rsidRPr="00476F4F">
              <w:rPr>
                <w:szCs w:val="28"/>
              </w:rPr>
              <w:t xml:space="preserve">rit of </w:t>
            </w:r>
            <w:r>
              <w:rPr>
                <w:szCs w:val="28"/>
              </w:rPr>
              <w:t>s</w:t>
            </w:r>
            <w:r w:rsidR="008B7A1B" w:rsidRPr="00476F4F">
              <w:rPr>
                <w:szCs w:val="28"/>
              </w:rPr>
              <w:t>ummons &amp; other documents by inserting to the letter box at Address 3</w:t>
            </w:r>
          </w:p>
          <w:p w:rsidR="00A85ACA" w:rsidRPr="00476F4F" w:rsidRDefault="00A85ACA" w:rsidP="008B6C2F">
            <w:pPr>
              <w:tabs>
                <w:tab w:val="clear" w:pos="1440"/>
                <w:tab w:val="clear" w:pos="4320"/>
                <w:tab w:val="clear" w:pos="9072"/>
              </w:tabs>
              <w:snapToGrid/>
              <w:spacing w:line="360" w:lineRule="auto"/>
              <w:jc w:val="both"/>
              <w:rPr>
                <w:szCs w:val="28"/>
              </w:rPr>
            </w:pPr>
          </w:p>
        </w:tc>
      </w:tr>
      <w:tr w:rsidR="00123DCC" w:rsidTr="000525BF">
        <w:tc>
          <w:tcPr>
            <w:tcW w:w="1800" w:type="dxa"/>
          </w:tcPr>
          <w:p w:rsidR="00123DCC" w:rsidRPr="00476F4F" w:rsidRDefault="008B7A1B" w:rsidP="008B6C2F">
            <w:pPr>
              <w:tabs>
                <w:tab w:val="clear" w:pos="1440"/>
                <w:tab w:val="clear" w:pos="4320"/>
                <w:tab w:val="clear" w:pos="9072"/>
              </w:tabs>
              <w:snapToGrid/>
              <w:spacing w:line="360" w:lineRule="auto"/>
              <w:jc w:val="both"/>
              <w:rPr>
                <w:szCs w:val="28"/>
              </w:rPr>
            </w:pPr>
            <w:r w:rsidRPr="00476F4F">
              <w:rPr>
                <w:szCs w:val="28"/>
              </w:rPr>
              <w:t>25/5/2016</w:t>
            </w:r>
          </w:p>
        </w:tc>
        <w:tc>
          <w:tcPr>
            <w:tcW w:w="5781" w:type="dxa"/>
          </w:tcPr>
          <w:p w:rsidR="00123DCC" w:rsidRPr="00476F4F" w:rsidRDefault="008B7A1B" w:rsidP="008B6C2F">
            <w:pPr>
              <w:tabs>
                <w:tab w:val="clear" w:pos="1440"/>
                <w:tab w:val="clear" w:pos="4320"/>
                <w:tab w:val="clear" w:pos="9072"/>
              </w:tabs>
              <w:snapToGrid/>
              <w:spacing w:line="360" w:lineRule="auto"/>
              <w:jc w:val="both"/>
              <w:rPr>
                <w:szCs w:val="28"/>
              </w:rPr>
            </w:pPr>
            <w:r w:rsidRPr="00476F4F">
              <w:rPr>
                <w:szCs w:val="28"/>
              </w:rPr>
              <w:t xml:space="preserve">Re-amended </w:t>
            </w:r>
            <w:r w:rsidR="00F12171">
              <w:rPr>
                <w:szCs w:val="28"/>
              </w:rPr>
              <w:t>w</w:t>
            </w:r>
            <w:r w:rsidRPr="00476F4F">
              <w:rPr>
                <w:szCs w:val="28"/>
              </w:rPr>
              <w:t xml:space="preserve">rit of </w:t>
            </w:r>
            <w:r w:rsidR="00F12171">
              <w:rPr>
                <w:szCs w:val="28"/>
              </w:rPr>
              <w:t>s</w:t>
            </w:r>
            <w:r w:rsidRPr="00476F4F">
              <w:rPr>
                <w:szCs w:val="28"/>
              </w:rPr>
              <w:t>ummons (with a general endorsement) issued</w:t>
            </w:r>
          </w:p>
          <w:p w:rsidR="00A85ACA" w:rsidRPr="00476F4F" w:rsidRDefault="00A85ACA" w:rsidP="008B6C2F">
            <w:pPr>
              <w:tabs>
                <w:tab w:val="clear" w:pos="1440"/>
                <w:tab w:val="clear" w:pos="4320"/>
                <w:tab w:val="clear" w:pos="9072"/>
              </w:tabs>
              <w:snapToGrid/>
              <w:spacing w:line="360" w:lineRule="auto"/>
              <w:jc w:val="both"/>
              <w:rPr>
                <w:szCs w:val="28"/>
              </w:rPr>
            </w:pPr>
          </w:p>
        </w:tc>
      </w:tr>
      <w:tr w:rsidR="00A85ACA" w:rsidTr="000525BF">
        <w:tc>
          <w:tcPr>
            <w:tcW w:w="1800" w:type="dxa"/>
          </w:tcPr>
          <w:p w:rsidR="00A85ACA" w:rsidRPr="00476F4F" w:rsidRDefault="00A85ACA" w:rsidP="008B6C2F">
            <w:pPr>
              <w:tabs>
                <w:tab w:val="clear" w:pos="1440"/>
                <w:tab w:val="clear" w:pos="4320"/>
                <w:tab w:val="clear" w:pos="9072"/>
              </w:tabs>
              <w:snapToGrid/>
              <w:spacing w:line="360" w:lineRule="auto"/>
              <w:jc w:val="both"/>
              <w:rPr>
                <w:szCs w:val="28"/>
              </w:rPr>
            </w:pPr>
            <w:r w:rsidRPr="00476F4F">
              <w:rPr>
                <w:szCs w:val="28"/>
              </w:rPr>
              <w:lastRenderedPageBreak/>
              <w:t>16/6/2016</w:t>
            </w:r>
          </w:p>
        </w:tc>
        <w:tc>
          <w:tcPr>
            <w:tcW w:w="5781" w:type="dxa"/>
          </w:tcPr>
          <w:p w:rsidR="00A85ACA" w:rsidRPr="00476F4F" w:rsidRDefault="00F12171" w:rsidP="008B6C2F">
            <w:pPr>
              <w:tabs>
                <w:tab w:val="clear" w:pos="1440"/>
                <w:tab w:val="clear" w:pos="4320"/>
                <w:tab w:val="clear" w:pos="9072"/>
              </w:tabs>
              <w:snapToGrid/>
              <w:spacing w:line="360" w:lineRule="auto"/>
              <w:jc w:val="both"/>
              <w:rPr>
                <w:szCs w:val="28"/>
              </w:rPr>
            </w:pPr>
            <w:r>
              <w:rPr>
                <w:szCs w:val="28"/>
              </w:rPr>
              <w:t>Service of the r</w:t>
            </w:r>
            <w:r w:rsidR="00A85ACA" w:rsidRPr="00476F4F">
              <w:rPr>
                <w:szCs w:val="28"/>
              </w:rPr>
              <w:t xml:space="preserve">e-amended </w:t>
            </w:r>
            <w:r>
              <w:rPr>
                <w:szCs w:val="28"/>
              </w:rPr>
              <w:t>w</w:t>
            </w:r>
            <w:r w:rsidR="00A85ACA" w:rsidRPr="00476F4F">
              <w:rPr>
                <w:szCs w:val="28"/>
              </w:rPr>
              <w:t xml:space="preserve">rit of </w:t>
            </w:r>
            <w:r>
              <w:rPr>
                <w:szCs w:val="28"/>
              </w:rPr>
              <w:t>s</w:t>
            </w:r>
            <w:r w:rsidR="00A85ACA" w:rsidRPr="00476F4F">
              <w:rPr>
                <w:szCs w:val="28"/>
              </w:rPr>
              <w:t>ummons and court order by inserting to the letter box at Address 3</w:t>
            </w:r>
          </w:p>
          <w:p w:rsidR="00A85ACA" w:rsidRPr="00476F4F" w:rsidRDefault="00A85ACA" w:rsidP="008B6C2F">
            <w:pPr>
              <w:tabs>
                <w:tab w:val="clear" w:pos="1440"/>
                <w:tab w:val="clear" w:pos="4320"/>
                <w:tab w:val="clear" w:pos="9072"/>
              </w:tabs>
              <w:snapToGrid/>
              <w:spacing w:line="360" w:lineRule="auto"/>
              <w:jc w:val="both"/>
              <w:rPr>
                <w:szCs w:val="28"/>
              </w:rPr>
            </w:pPr>
          </w:p>
          <w:p w:rsidR="00A85ACA" w:rsidRPr="00476F4F" w:rsidRDefault="00F12171" w:rsidP="008B6C2F">
            <w:pPr>
              <w:tabs>
                <w:tab w:val="clear" w:pos="1440"/>
                <w:tab w:val="clear" w:pos="4320"/>
                <w:tab w:val="clear" w:pos="9072"/>
              </w:tabs>
              <w:snapToGrid/>
              <w:spacing w:line="360" w:lineRule="auto"/>
              <w:jc w:val="both"/>
              <w:rPr>
                <w:szCs w:val="28"/>
              </w:rPr>
            </w:pPr>
            <w:r>
              <w:rPr>
                <w:szCs w:val="28"/>
              </w:rPr>
              <w:t>Service of the r</w:t>
            </w:r>
            <w:r w:rsidR="00A85ACA" w:rsidRPr="00476F4F">
              <w:rPr>
                <w:szCs w:val="28"/>
              </w:rPr>
              <w:t xml:space="preserve">e-amended </w:t>
            </w:r>
            <w:r>
              <w:rPr>
                <w:szCs w:val="28"/>
              </w:rPr>
              <w:t>w</w:t>
            </w:r>
            <w:r w:rsidR="00A85ACA" w:rsidRPr="00476F4F">
              <w:rPr>
                <w:szCs w:val="28"/>
              </w:rPr>
              <w:t xml:space="preserve">rit of </w:t>
            </w:r>
            <w:r>
              <w:rPr>
                <w:szCs w:val="28"/>
              </w:rPr>
              <w:t>s</w:t>
            </w:r>
            <w:r w:rsidR="00A85ACA" w:rsidRPr="00476F4F">
              <w:rPr>
                <w:szCs w:val="28"/>
              </w:rPr>
              <w:t>ummons and court order by inserting to the letter box at Address 2</w:t>
            </w:r>
          </w:p>
          <w:p w:rsidR="00A85ACA" w:rsidRPr="00476F4F" w:rsidRDefault="00A85ACA" w:rsidP="008B6C2F">
            <w:pPr>
              <w:tabs>
                <w:tab w:val="clear" w:pos="1440"/>
                <w:tab w:val="clear" w:pos="4320"/>
                <w:tab w:val="clear" w:pos="9072"/>
              </w:tabs>
              <w:snapToGrid/>
              <w:spacing w:line="360" w:lineRule="auto"/>
              <w:jc w:val="both"/>
              <w:rPr>
                <w:szCs w:val="28"/>
              </w:rPr>
            </w:pPr>
          </w:p>
          <w:p w:rsidR="00A85ACA" w:rsidRPr="00476F4F" w:rsidRDefault="00F12171" w:rsidP="008B6C2F">
            <w:pPr>
              <w:tabs>
                <w:tab w:val="clear" w:pos="1440"/>
                <w:tab w:val="clear" w:pos="4320"/>
                <w:tab w:val="clear" w:pos="9072"/>
              </w:tabs>
              <w:snapToGrid/>
              <w:spacing w:line="360" w:lineRule="auto"/>
              <w:jc w:val="both"/>
              <w:rPr>
                <w:szCs w:val="28"/>
              </w:rPr>
            </w:pPr>
            <w:r>
              <w:rPr>
                <w:szCs w:val="28"/>
              </w:rPr>
              <w:t>Service of the re-amended w</w:t>
            </w:r>
            <w:r w:rsidR="00A85ACA" w:rsidRPr="00476F4F">
              <w:rPr>
                <w:szCs w:val="28"/>
              </w:rPr>
              <w:t xml:space="preserve">rit of </w:t>
            </w:r>
            <w:r>
              <w:rPr>
                <w:szCs w:val="28"/>
              </w:rPr>
              <w:t>s</w:t>
            </w:r>
            <w:r w:rsidR="00A85ACA" w:rsidRPr="00476F4F">
              <w:rPr>
                <w:szCs w:val="28"/>
              </w:rPr>
              <w:t>ummons and court order by inserting to the letter box at Address 1</w:t>
            </w:r>
          </w:p>
          <w:p w:rsidR="00A85ACA" w:rsidRPr="00476F4F" w:rsidRDefault="00A85ACA" w:rsidP="008B6C2F">
            <w:pPr>
              <w:tabs>
                <w:tab w:val="clear" w:pos="1440"/>
                <w:tab w:val="clear" w:pos="4320"/>
                <w:tab w:val="clear" w:pos="9072"/>
              </w:tabs>
              <w:snapToGrid/>
              <w:spacing w:line="360" w:lineRule="auto"/>
              <w:jc w:val="both"/>
              <w:rPr>
                <w:szCs w:val="28"/>
              </w:rPr>
            </w:pPr>
          </w:p>
        </w:tc>
      </w:tr>
      <w:tr w:rsidR="00A85ACA" w:rsidTr="000525BF">
        <w:tc>
          <w:tcPr>
            <w:tcW w:w="1800" w:type="dxa"/>
          </w:tcPr>
          <w:p w:rsidR="00A85ACA" w:rsidRPr="00476F4F" w:rsidRDefault="00A85ACA" w:rsidP="008B6C2F">
            <w:pPr>
              <w:tabs>
                <w:tab w:val="clear" w:pos="1440"/>
                <w:tab w:val="clear" w:pos="4320"/>
                <w:tab w:val="clear" w:pos="9072"/>
              </w:tabs>
              <w:snapToGrid/>
              <w:spacing w:line="360" w:lineRule="auto"/>
              <w:jc w:val="both"/>
              <w:rPr>
                <w:szCs w:val="28"/>
              </w:rPr>
            </w:pPr>
            <w:r w:rsidRPr="00476F4F">
              <w:rPr>
                <w:szCs w:val="28"/>
              </w:rPr>
              <w:t>9/9/2016</w:t>
            </w:r>
          </w:p>
        </w:tc>
        <w:tc>
          <w:tcPr>
            <w:tcW w:w="5781" w:type="dxa"/>
          </w:tcPr>
          <w:p w:rsidR="00A85ACA" w:rsidRPr="00476F4F" w:rsidRDefault="00A85ACA" w:rsidP="00F12171">
            <w:pPr>
              <w:tabs>
                <w:tab w:val="clear" w:pos="1440"/>
                <w:tab w:val="clear" w:pos="4320"/>
                <w:tab w:val="clear" w:pos="9072"/>
              </w:tabs>
              <w:snapToGrid/>
              <w:spacing w:line="360" w:lineRule="auto"/>
              <w:jc w:val="both"/>
              <w:rPr>
                <w:szCs w:val="28"/>
              </w:rPr>
            </w:pPr>
            <w:r w:rsidRPr="00476F4F">
              <w:rPr>
                <w:szCs w:val="28"/>
              </w:rPr>
              <w:t xml:space="preserve">Interlocutory judgment with damages to be assessed was entered against </w:t>
            </w:r>
            <w:r w:rsidR="00F12171">
              <w:rPr>
                <w:szCs w:val="28"/>
              </w:rPr>
              <w:t>Wong</w:t>
            </w:r>
          </w:p>
        </w:tc>
      </w:tr>
    </w:tbl>
    <w:p w:rsidR="00A126E4" w:rsidRPr="00A126E4" w:rsidRDefault="00A126E4" w:rsidP="00476F4F">
      <w:pPr>
        <w:tabs>
          <w:tab w:val="clear" w:pos="1440"/>
          <w:tab w:val="clear" w:pos="4320"/>
          <w:tab w:val="clear" w:pos="9072"/>
        </w:tabs>
        <w:snapToGrid/>
        <w:spacing w:line="360" w:lineRule="auto"/>
        <w:rPr>
          <w:szCs w:val="28"/>
        </w:rPr>
      </w:pPr>
    </w:p>
    <w:p w:rsidR="00A126E4" w:rsidRDefault="00A126E4" w:rsidP="003A323B">
      <w:pPr>
        <w:numPr>
          <w:ilvl w:val="0"/>
          <w:numId w:val="6"/>
        </w:numPr>
        <w:tabs>
          <w:tab w:val="clear" w:pos="1440"/>
          <w:tab w:val="clear" w:pos="4320"/>
          <w:tab w:val="clear" w:pos="9072"/>
          <w:tab w:val="left" w:pos="720"/>
        </w:tabs>
        <w:snapToGrid/>
        <w:spacing w:line="360" w:lineRule="auto"/>
        <w:ind w:left="720" w:hanging="720"/>
        <w:rPr>
          <w:szCs w:val="28"/>
        </w:rPr>
      </w:pPr>
      <w:r w:rsidRPr="00A126E4">
        <w:rPr>
          <w:szCs w:val="28"/>
        </w:rPr>
        <w:t>DCPI 439/2015</w:t>
      </w:r>
    </w:p>
    <w:p w:rsidR="00A85ACA" w:rsidRDefault="00A85ACA" w:rsidP="00476F4F">
      <w:pPr>
        <w:tabs>
          <w:tab w:val="clear" w:pos="1440"/>
          <w:tab w:val="clear" w:pos="4320"/>
          <w:tab w:val="clear" w:pos="9072"/>
        </w:tabs>
        <w:snapToGrid/>
        <w:spacing w:line="360" w:lineRule="auto"/>
        <w:rPr>
          <w:szCs w:val="28"/>
          <w:u w:val="single"/>
        </w:rPr>
      </w:pP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0"/>
        <w:gridCol w:w="5781"/>
      </w:tblGrid>
      <w:tr w:rsidR="00A85ACA" w:rsidRPr="00A85ACA" w:rsidTr="00190DE3">
        <w:tc>
          <w:tcPr>
            <w:tcW w:w="1800" w:type="dxa"/>
          </w:tcPr>
          <w:p w:rsidR="00A85ACA" w:rsidRPr="00190DE3" w:rsidRDefault="00A85ACA" w:rsidP="008B6C2F">
            <w:pPr>
              <w:tabs>
                <w:tab w:val="clear" w:pos="1440"/>
                <w:tab w:val="clear" w:pos="4320"/>
                <w:tab w:val="clear" w:pos="9072"/>
              </w:tabs>
              <w:snapToGrid/>
              <w:spacing w:line="360" w:lineRule="auto"/>
              <w:jc w:val="both"/>
              <w:rPr>
                <w:szCs w:val="28"/>
                <w:u w:val="single"/>
              </w:rPr>
            </w:pPr>
            <w:r w:rsidRPr="00190DE3">
              <w:rPr>
                <w:szCs w:val="28"/>
                <w:u w:val="single"/>
              </w:rPr>
              <w:t>Date</w:t>
            </w:r>
          </w:p>
        </w:tc>
        <w:tc>
          <w:tcPr>
            <w:tcW w:w="5781" w:type="dxa"/>
          </w:tcPr>
          <w:p w:rsidR="00A85ACA" w:rsidRPr="00190DE3" w:rsidRDefault="00300A80" w:rsidP="008B6C2F">
            <w:pPr>
              <w:tabs>
                <w:tab w:val="clear" w:pos="1440"/>
                <w:tab w:val="clear" w:pos="4320"/>
                <w:tab w:val="clear" w:pos="9072"/>
              </w:tabs>
              <w:snapToGrid/>
              <w:spacing w:line="360" w:lineRule="auto"/>
              <w:jc w:val="both"/>
              <w:rPr>
                <w:szCs w:val="28"/>
                <w:u w:val="single"/>
              </w:rPr>
            </w:pPr>
            <w:r>
              <w:rPr>
                <w:szCs w:val="28"/>
                <w:u w:val="single"/>
              </w:rPr>
              <w:t>Event</w:t>
            </w:r>
            <w:r w:rsidR="008D433D">
              <w:rPr>
                <w:szCs w:val="28"/>
                <w:u w:val="single"/>
              </w:rPr>
              <w:t>s</w:t>
            </w:r>
          </w:p>
          <w:p w:rsidR="00A85ACA" w:rsidRPr="00190DE3" w:rsidRDefault="00A85ACA" w:rsidP="008B6C2F">
            <w:pPr>
              <w:tabs>
                <w:tab w:val="clear" w:pos="1440"/>
                <w:tab w:val="clear" w:pos="4320"/>
                <w:tab w:val="clear" w:pos="9072"/>
              </w:tabs>
              <w:snapToGrid/>
              <w:spacing w:line="360" w:lineRule="auto"/>
              <w:jc w:val="both"/>
              <w:rPr>
                <w:szCs w:val="28"/>
                <w:u w:val="single"/>
              </w:rPr>
            </w:pPr>
          </w:p>
        </w:tc>
      </w:tr>
      <w:tr w:rsidR="00A85ACA" w:rsidRPr="00A85ACA" w:rsidTr="00190DE3">
        <w:tc>
          <w:tcPr>
            <w:tcW w:w="1800" w:type="dxa"/>
          </w:tcPr>
          <w:p w:rsidR="00A85ACA" w:rsidRPr="00476F4F" w:rsidRDefault="002076F6" w:rsidP="008B6C2F">
            <w:pPr>
              <w:tabs>
                <w:tab w:val="clear" w:pos="1440"/>
                <w:tab w:val="clear" w:pos="4320"/>
                <w:tab w:val="clear" w:pos="9072"/>
              </w:tabs>
              <w:snapToGrid/>
              <w:spacing w:line="360" w:lineRule="auto"/>
              <w:jc w:val="both"/>
              <w:rPr>
                <w:szCs w:val="28"/>
              </w:rPr>
            </w:pPr>
            <w:r w:rsidRPr="00476F4F">
              <w:rPr>
                <w:szCs w:val="28"/>
              </w:rPr>
              <w:t>2/3</w:t>
            </w:r>
            <w:r w:rsidR="00A85ACA" w:rsidRPr="00476F4F">
              <w:rPr>
                <w:szCs w:val="28"/>
              </w:rPr>
              <w:t>/2015</w:t>
            </w:r>
          </w:p>
        </w:tc>
        <w:tc>
          <w:tcPr>
            <w:tcW w:w="5781" w:type="dxa"/>
          </w:tcPr>
          <w:p w:rsidR="00A85ACA" w:rsidRPr="00476F4F" w:rsidRDefault="00A85ACA" w:rsidP="008B6C2F">
            <w:pPr>
              <w:tabs>
                <w:tab w:val="clear" w:pos="1440"/>
                <w:tab w:val="clear" w:pos="4320"/>
                <w:tab w:val="clear" w:pos="9072"/>
              </w:tabs>
              <w:snapToGrid/>
              <w:spacing w:line="360" w:lineRule="auto"/>
              <w:jc w:val="both"/>
              <w:rPr>
                <w:szCs w:val="28"/>
              </w:rPr>
            </w:pPr>
            <w:r w:rsidRPr="00476F4F">
              <w:rPr>
                <w:szCs w:val="28"/>
              </w:rPr>
              <w:t xml:space="preserve">Writ of </w:t>
            </w:r>
            <w:r w:rsidR="00F12171">
              <w:rPr>
                <w:szCs w:val="28"/>
              </w:rPr>
              <w:t>s</w:t>
            </w:r>
            <w:r w:rsidRPr="00476F4F">
              <w:rPr>
                <w:szCs w:val="28"/>
              </w:rPr>
              <w:t>ummons (with a general endorsement) issued</w:t>
            </w:r>
          </w:p>
          <w:p w:rsidR="00A85ACA" w:rsidRPr="00476F4F" w:rsidRDefault="00A85ACA" w:rsidP="008B6C2F">
            <w:pPr>
              <w:tabs>
                <w:tab w:val="clear" w:pos="1440"/>
                <w:tab w:val="clear" w:pos="4320"/>
                <w:tab w:val="clear" w:pos="9072"/>
              </w:tabs>
              <w:snapToGrid/>
              <w:spacing w:line="360" w:lineRule="auto"/>
              <w:jc w:val="both"/>
              <w:rPr>
                <w:szCs w:val="28"/>
              </w:rPr>
            </w:pPr>
          </w:p>
        </w:tc>
      </w:tr>
      <w:tr w:rsidR="00A85ACA" w:rsidRPr="00A85ACA" w:rsidTr="00190DE3">
        <w:tc>
          <w:tcPr>
            <w:tcW w:w="1800" w:type="dxa"/>
          </w:tcPr>
          <w:p w:rsidR="00A85ACA" w:rsidRPr="00476F4F" w:rsidRDefault="002076F6" w:rsidP="008B6C2F">
            <w:pPr>
              <w:tabs>
                <w:tab w:val="clear" w:pos="1440"/>
                <w:tab w:val="clear" w:pos="4320"/>
                <w:tab w:val="clear" w:pos="9072"/>
              </w:tabs>
              <w:snapToGrid/>
              <w:spacing w:line="360" w:lineRule="auto"/>
              <w:jc w:val="both"/>
              <w:rPr>
                <w:szCs w:val="28"/>
              </w:rPr>
            </w:pPr>
            <w:r w:rsidRPr="00476F4F">
              <w:rPr>
                <w:szCs w:val="28"/>
              </w:rPr>
              <w:t>8</w:t>
            </w:r>
            <w:r w:rsidR="00A85ACA" w:rsidRPr="00476F4F">
              <w:rPr>
                <w:szCs w:val="28"/>
              </w:rPr>
              <w:t>/1/2016</w:t>
            </w:r>
          </w:p>
        </w:tc>
        <w:tc>
          <w:tcPr>
            <w:tcW w:w="5781" w:type="dxa"/>
          </w:tcPr>
          <w:p w:rsidR="00A85ACA" w:rsidRPr="00476F4F" w:rsidRDefault="00A85ACA" w:rsidP="008B6C2F">
            <w:pPr>
              <w:tabs>
                <w:tab w:val="clear" w:pos="1440"/>
                <w:tab w:val="clear" w:pos="4320"/>
                <w:tab w:val="clear" w:pos="9072"/>
              </w:tabs>
              <w:snapToGrid/>
              <w:spacing w:line="360" w:lineRule="auto"/>
              <w:jc w:val="both"/>
              <w:rPr>
                <w:szCs w:val="28"/>
              </w:rPr>
            </w:pPr>
            <w:r w:rsidRPr="00476F4F">
              <w:rPr>
                <w:szCs w:val="28"/>
              </w:rPr>
              <w:t xml:space="preserve">The </w:t>
            </w:r>
            <w:r w:rsidR="00F12171">
              <w:rPr>
                <w:szCs w:val="28"/>
              </w:rPr>
              <w:t>a</w:t>
            </w:r>
            <w:r w:rsidRPr="00476F4F">
              <w:rPr>
                <w:szCs w:val="28"/>
              </w:rPr>
              <w:t xml:space="preserve">mended </w:t>
            </w:r>
            <w:r w:rsidR="00F12171">
              <w:rPr>
                <w:szCs w:val="28"/>
              </w:rPr>
              <w:t>w</w:t>
            </w:r>
            <w:r w:rsidRPr="00476F4F">
              <w:rPr>
                <w:szCs w:val="28"/>
              </w:rPr>
              <w:t xml:space="preserve">rit of </w:t>
            </w:r>
            <w:r w:rsidR="00F12171">
              <w:rPr>
                <w:szCs w:val="28"/>
              </w:rPr>
              <w:t>s</w:t>
            </w:r>
            <w:r w:rsidRPr="00476F4F">
              <w:rPr>
                <w:szCs w:val="28"/>
              </w:rPr>
              <w:t>ummons (with a general endorsement) issued</w:t>
            </w:r>
          </w:p>
          <w:p w:rsidR="00A85ACA" w:rsidRPr="00476F4F" w:rsidRDefault="00A85ACA" w:rsidP="008B6C2F">
            <w:pPr>
              <w:tabs>
                <w:tab w:val="clear" w:pos="1440"/>
                <w:tab w:val="clear" w:pos="4320"/>
                <w:tab w:val="clear" w:pos="9072"/>
              </w:tabs>
              <w:snapToGrid/>
              <w:spacing w:line="360" w:lineRule="auto"/>
              <w:jc w:val="both"/>
              <w:rPr>
                <w:szCs w:val="28"/>
              </w:rPr>
            </w:pPr>
          </w:p>
        </w:tc>
      </w:tr>
      <w:tr w:rsidR="00A85ACA" w:rsidRPr="00A85ACA" w:rsidTr="00190DE3">
        <w:tc>
          <w:tcPr>
            <w:tcW w:w="1800" w:type="dxa"/>
          </w:tcPr>
          <w:p w:rsidR="00A85ACA" w:rsidRPr="00476F4F" w:rsidRDefault="00A85ACA" w:rsidP="008B6C2F">
            <w:pPr>
              <w:tabs>
                <w:tab w:val="clear" w:pos="1440"/>
                <w:tab w:val="clear" w:pos="4320"/>
                <w:tab w:val="clear" w:pos="9072"/>
              </w:tabs>
              <w:snapToGrid/>
              <w:spacing w:line="360" w:lineRule="auto"/>
              <w:jc w:val="both"/>
              <w:rPr>
                <w:szCs w:val="28"/>
              </w:rPr>
            </w:pPr>
            <w:r w:rsidRPr="00476F4F">
              <w:rPr>
                <w:szCs w:val="28"/>
              </w:rPr>
              <w:t>12/1/2016</w:t>
            </w:r>
          </w:p>
        </w:tc>
        <w:tc>
          <w:tcPr>
            <w:tcW w:w="5781" w:type="dxa"/>
          </w:tcPr>
          <w:p w:rsidR="00A85ACA" w:rsidRPr="00476F4F" w:rsidRDefault="00F12171" w:rsidP="008B6C2F">
            <w:pPr>
              <w:tabs>
                <w:tab w:val="clear" w:pos="1440"/>
                <w:tab w:val="clear" w:pos="4320"/>
                <w:tab w:val="clear" w:pos="9072"/>
              </w:tabs>
              <w:snapToGrid/>
              <w:spacing w:line="360" w:lineRule="auto"/>
              <w:jc w:val="both"/>
              <w:rPr>
                <w:szCs w:val="28"/>
              </w:rPr>
            </w:pPr>
            <w:r>
              <w:rPr>
                <w:szCs w:val="28"/>
              </w:rPr>
              <w:t>Service of the a</w:t>
            </w:r>
            <w:r w:rsidR="00A85ACA" w:rsidRPr="00476F4F">
              <w:rPr>
                <w:szCs w:val="28"/>
              </w:rPr>
              <w:t xml:space="preserve">mended </w:t>
            </w:r>
            <w:r>
              <w:rPr>
                <w:szCs w:val="28"/>
              </w:rPr>
              <w:t>w</w:t>
            </w:r>
            <w:r w:rsidR="00A85ACA" w:rsidRPr="00476F4F">
              <w:rPr>
                <w:szCs w:val="28"/>
              </w:rPr>
              <w:t xml:space="preserve">rit of </w:t>
            </w:r>
            <w:r>
              <w:rPr>
                <w:szCs w:val="28"/>
              </w:rPr>
              <w:t>s</w:t>
            </w:r>
            <w:r w:rsidR="00A85ACA" w:rsidRPr="00476F4F">
              <w:rPr>
                <w:szCs w:val="28"/>
              </w:rPr>
              <w:t xml:space="preserve">ummons </w:t>
            </w:r>
            <w:r>
              <w:rPr>
                <w:szCs w:val="28"/>
              </w:rPr>
              <w:t>and notice of c</w:t>
            </w:r>
            <w:r w:rsidR="002076F6" w:rsidRPr="00476F4F">
              <w:rPr>
                <w:szCs w:val="28"/>
              </w:rPr>
              <w:t xml:space="preserve">hecklist </w:t>
            </w:r>
            <w:r>
              <w:rPr>
                <w:szCs w:val="28"/>
              </w:rPr>
              <w:t>review h</w:t>
            </w:r>
            <w:r w:rsidR="002076F6" w:rsidRPr="00476F4F">
              <w:rPr>
                <w:szCs w:val="28"/>
              </w:rPr>
              <w:t>earing by</w:t>
            </w:r>
            <w:r w:rsidR="00A85ACA" w:rsidRPr="00476F4F">
              <w:rPr>
                <w:szCs w:val="28"/>
              </w:rPr>
              <w:t xml:space="preserve"> inserting to the letter box at Address </w:t>
            </w:r>
            <w:r w:rsidR="002076F6" w:rsidRPr="00476F4F">
              <w:rPr>
                <w:szCs w:val="28"/>
              </w:rPr>
              <w:t>1</w:t>
            </w:r>
          </w:p>
          <w:p w:rsidR="00A85ACA" w:rsidRPr="00476F4F" w:rsidRDefault="00A85ACA" w:rsidP="008B6C2F">
            <w:pPr>
              <w:tabs>
                <w:tab w:val="clear" w:pos="1440"/>
                <w:tab w:val="clear" w:pos="4320"/>
                <w:tab w:val="clear" w:pos="9072"/>
              </w:tabs>
              <w:snapToGrid/>
              <w:spacing w:line="360" w:lineRule="auto"/>
              <w:jc w:val="both"/>
              <w:rPr>
                <w:szCs w:val="28"/>
              </w:rPr>
            </w:pPr>
          </w:p>
          <w:p w:rsidR="002076F6" w:rsidRPr="00476F4F" w:rsidRDefault="002076F6" w:rsidP="008B6C2F">
            <w:pPr>
              <w:tabs>
                <w:tab w:val="clear" w:pos="1440"/>
                <w:tab w:val="clear" w:pos="4320"/>
                <w:tab w:val="clear" w:pos="9072"/>
              </w:tabs>
              <w:snapToGrid/>
              <w:spacing w:line="360" w:lineRule="auto"/>
              <w:jc w:val="both"/>
              <w:rPr>
                <w:szCs w:val="28"/>
              </w:rPr>
            </w:pPr>
            <w:r w:rsidRPr="00476F4F">
              <w:rPr>
                <w:szCs w:val="28"/>
              </w:rPr>
              <w:t xml:space="preserve">Service of the </w:t>
            </w:r>
            <w:r w:rsidR="00F12171">
              <w:rPr>
                <w:szCs w:val="28"/>
              </w:rPr>
              <w:t>a</w:t>
            </w:r>
            <w:r w:rsidRPr="00476F4F">
              <w:rPr>
                <w:szCs w:val="28"/>
              </w:rPr>
              <w:t xml:space="preserve">mended </w:t>
            </w:r>
            <w:r w:rsidR="00F12171">
              <w:rPr>
                <w:szCs w:val="28"/>
              </w:rPr>
              <w:t>w</w:t>
            </w:r>
            <w:r w:rsidRPr="00476F4F">
              <w:rPr>
                <w:szCs w:val="28"/>
              </w:rPr>
              <w:t xml:space="preserve">rit of </w:t>
            </w:r>
            <w:r w:rsidR="00F12171">
              <w:rPr>
                <w:szCs w:val="28"/>
              </w:rPr>
              <w:t>summons and notice of c</w:t>
            </w:r>
            <w:r w:rsidRPr="00476F4F">
              <w:rPr>
                <w:szCs w:val="28"/>
              </w:rPr>
              <w:t xml:space="preserve">hecklist </w:t>
            </w:r>
            <w:r w:rsidR="00F12171">
              <w:rPr>
                <w:szCs w:val="28"/>
              </w:rPr>
              <w:t>review h</w:t>
            </w:r>
            <w:r w:rsidRPr="00476F4F">
              <w:rPr>
                <w:szCs w:val="28"/>
              </w:rPr>
              <w:t>earing by inserting to the letter box at Address 2</w:t>
            </w:r>
          </w:p>
          <w:p w:rsidR="00A85ACA" w:rsidRPr="00476F4F" w:rsidRDefault="00A85ACA" w:rsidP="008B6C2F">
            <w:pPr>
              <w:tabs>
                <w:tab w:val="clear" w:pos="1440"/>
                <w:tab w:val="clear" w:pos="4320"/>
                <w:tab w:val="clear" w:pos="9072"/>
              </w:tabs>
              <w:snapToGrid/>
              <w:spacing w:line="360" w:lineRule="auto"/>
              <w:jc w:val="both"/>
              <w:rPr>
                <w:szCs w:val="28"/>
              </w:rPr>
            </w:pPr>
          </w:p>
          <w:p w:rsidR="00A85ACA" w:rsidRPr="00476F4F" w:rsidRDefault="002076F6" w:rsidP="008B6C2F">
            <w:pPr>
              <w:tabs>
                <w:tab w:val="clear" w:pos="1440"/>
                <w:tab w:val="clear" w:pos="4320"/>
                <w:tab w:val="clear" w:pos="9072"/>
              </w:tabs>
              <w:snapToGrid/>
              <w:spacing w:line="360" w:lineRule="auto"/>
              <w:jc w:val="both"/>
              <w:rPr>
                <w:szCs w:val="28"/>
              </w:rPr>
            </w:pPr>
            <w:r w:rsidRPr="00476F4F">
              <w:rPr>
                <w:szCs w:val="28"/>
              </w:rPr>
              <w:t xml:space="preserve">Service of the </w:t>
            </w:r>
            <w:r w:rsidR="00F12171">
              <w:rPr>
                <w:szCs w:val="28"/>
              </w:rPr>
              <w:t>a</w:t>
            </w:r>
            <w:r w:rsidRPr="00476F4F">
              <w:rPr>
                <w:szCs w:val="28"/>
              </w:rPr>
              <w:t xml:space="preserve">mended </w:t>
            </w:r>
            <w:r w:rsidR="00F12171">
              <w:rPr>
                <w:szCs w:val="28"/>
              </w:rPr>
              <w:t>w</w:t>
            </w:r>
            <w:r w:rsidRPr="00476F4F">
              <w:rPr>
                <w:szCs w:val="28"/>
              </w:rPr>
              <w:t xml:space="preserve">rit of </w:t>
            </w:r>
            <w:r w:rsidR="00F12171">
              <w:rPr>
                <w:szCs w:val="28"/>
              </w:rPr>
              <w:t>summons and notice of c</w:t>
            </w:r>
            <w:r w:rsidRPr="00476F4F">
              <w:rPr>
                <w:szCs w:val="28"/>
              </w:rPr>
              <w:t xml:space="preserve">hecklist </w:t>
            </w:r>
            <w:r w:rsidR="00F12171">
              <w:rPr>
                <w:szCs w:val="28"/>
              </w:rPr>
              <w:t>r</w:t>
            </w:r>
            <w:r w:rsidRPr="00476F4F">
              <w:rPr>
                <w:szCs w:val="28"/>
              </w:rPr>
              <w:t xml:space="preserve">eview </w:t>
            </w:r>
            <w:r w:rsidR="00F12171">
              <w:rPr>
                <w:szCs w:val="28"/>
              </w:rPr>
              <w:t>h</w:t>
            </w:r>
            <w:r w:rsidRPr="00476F4F">
              <w:rPr>
                <w:szCs w:val="28"/>
              </w:rPr>
              <w:t xml:space="preserve">earing by inserting to the letter box at Address </w:t>
            </w:r>
            <w:r w:rsidR="00A85ACA" w:rsidRPr="00476F4F">
              <w:rPr>
                <w:szCs w:val="28"/>
              </w:rPr>
              <w:t>3</w:t>
            </w:r>
          </w:p>
          <w:p w:rsidR="00A85ACA" w:rsidRPr="00476F4F" w:rsidRDefault="00A85ACA" w:rsidP="008B6C2F">
            <w:pPr>
              <w:tabs>
                <w:tab w:val="clear" w:pos="1440"/>
                <w:tab w:val="clear" w:pos="4320"/>
                <w:tab w:val="clear" w:pos="9072"/>
              </w:tabs>
              <w:snapToGrid/>
              <w:spacing w:line="360" w:lineRule="auto"/>
              <w:jc w:val="both"/>
              <w:rPr>
                <w:szCs w:val="28"/>
              </w:rPr>
            </w:pPr>
          </w:p>
        </w:tc>
      </w:tr>
      <w:tr w:rsidR="00A85ACA" w:rsidRPr="00A85ACA" w:rsidTr="00190DE3">
        <w:tc>
          <w:tcPr>
            <w:tcW w:w="1800" w:type="dxa"/>
          </w:tcPr>
          <w:p w:rsidR="00A85ACA" w:rsidRPr="00476F4F" w:rsidRDefault="00A85ACA" w:rsidP="008B6C2F">
            <w:pPr>
              <w:tabs>
                <w:tab w:val="clear" w:pos="1440"/>
                <w:tab w:val="clear" w:pos="4320"/>
                <w:tab w:val="clear" w:pos="9072"/>
              </w:tabs>
              <w:snapToGrid/>
              <w:spacing w:line="360" w:lineRule="auto"/>
              <w:jc w:val="both"/>
              <w:rPr>
                <w:szCs w:val="28"/>
              </w:rPr>
            </w:pPr>
            <w:r w:rsidRPr="00476F4F">
              <w:rPr>
                <w:szCs w:val="28"/>
              </w:rPr>
              <w:lastRenderedPageBreak/>
              <w:t>25/5/2016</w:t>
            </w:r>
          </w:p>
        </w:tc>
        <w:tc>
          <w:tcPr>
            <w:tcW w:w="5781" w:type="dxa"/>
          </w:tcPr>
          <w:p w:rsidR="00A85ACA" w:rsidRPr="00476F4F" w:rsidRDefault="00F12171" w:rsidP="008B6C2F">
            <w:pPr>
              <w:tabs>
                <w:tab w:val="clear" w:pos="1440"/>
                <w:tab w:val="clear" w:pos="4320"/>
                <w:tab w:val="clear" w:pos="9072"/>
              </w:tabs>
              <w:snapToGrid/>
              <w:spacing w:line="360" w:lineRule="auto"/>
              <w:jc w:val="both"/>
              <w:rPr>
                <w:szCs w:val="28"/>
              </w:rPr>
            </w:pPr>
            <w:r>
              <w:rPr>
                <w:szCs w:val="28"/>
              </w:rPr>
              <w:t>Re-amended w</w:t>
            </w:r>
            <w:r w:rsidR="00A85ACA" w:rsidRPr="00476F4F">
              <w:rPr>
                <w:szCs w:val="28"/>
              </w:rPr>
              <w:t xml:space="preserve">rit of </w:t>
            </w:r>
            <w:r>
              <w:rPr>
                <w:szCs w:val="28"/>
              </w:rPr>
              <w:t>s</w:t>
            </w:r>
            <w:r w:rsidR="00A85ACA" w:rsidRPr="00476F4F">
              <w:rPr>
                <w:szCs w:val="28"/>
              </w:rPr>
              <w:t>ummons (with a general endorsement) issued</w:t>
            </w:r>
          </w:p>
          <w:p w:rsidR="00A85ACA" w:rsidRPr="00476F4F" w:rsidRDefault="00A85ACA" w:rsidP="008B6C2F">
            <w:pPr>
              <w:tabs>
                <w:tab w:val="clear" w:pos="1440"/>
                <w:tab w:val="clear" w:pos="4320"/>
                <w:tab w:val="clear" w:pos="9072"/>
              </w:tabs>
              <w:snapToGrid/>
              <w:spacing w:line="360" w:lineRule="auto"/>
              <w:jc w:val="both"/>
              <w:rPr>
                <w:szCs w:val="28"/>
              </w:rPr>
            </w:pPr>
          </w:p>
        </w:tc>
      </w:tr>
      <w:tr w:rsidR="00A85ACA" w:rsidRPr="00A85ACA" w:rsidTr="00190DE3">
        <w:tc>
          <w:tcPr>
            <w:tcW w:w="1800" w:type="dxa"/>
          </w:tcPr>
          <w:p w:rsidR="00A85ACA" w:rsidRPr="00476F4F" w:rsidRDefault="00A85ACA" w:rsidP="008B6C2F">
            <w:pPr>
              <w:tabs>
                <w:tab w:val="clear" w:pos="1440"/>
                <w:tab w:val="clear" w:pos="4320"/>
                <w:tab w:val="clear" w:pos="9072"/>
              </w:tabs>
              <w:snapToGrid/>
              <w:spacing w:line="360" w:lineRule="auto"/>
              <w:jc w:val="both"/>
              <w:rPr>
                <w:szCs w:val="28"/>
              </w:rPr>
            </w:pPr>
            <w:r w:rsidRPr="00476F4F">
              <w:rPr>
                <w:szCs w:val="28"/>
              </w:rPr>
              <w:t>16/6/2016</w:t>
            </w:r>
          </w:p>
        </w:tc>
        <w:tc>
          <w:tcPr>
            <w:tcW w:w="5781" w:type="dxa"/>
          </w:tcPr>
          <w:p w:rsidR="00A85ACA" w:rsidRPr="00476F4F" w:rsidRDefault="00F12171" w:rsidP="008B6C2F">
            <w:pPr>
              <w:tabs>
                <w:tab w:val="clear" w:pos="1440"/>
                <w:tab w:val="clear" w:pos="4320"/>
                <w:tab w:val="clear" w:pos="9072"/>
              </w:tabs>
              <w:snapToGrid/>
              <w:spacing w:line="360" w:lineRule="auto"/>
              <w:jc w:val="both"/>
              <w:rPr>
                <w:szCs w:val="28"/>
              </w:rPr>
            </w:pPr>
            <w:r>
              <w:rPr>
                <w:szCs w:val="28"/>
              </w:rPr>
              <w:t>Service of the r</w:t>
            </w:r>
            <w:r w:rsidR="00A85ACA" w:rsidRPr="00476F4F">
              <w:rPr>
                <w:szCs w:val="28"/>
              </w:rPr>
              <w:t xml:space="preserve">e-amended </w:t>
            </w:r>
            <w:r>
              <w:rPr>
                <w:szCs w:val="28"/>
              </w:rPr>
              <w:t>w</w:t>
            </w:r>
            <w:r w:rsidR="00A85ACA" w:rsidRPr="00476F4F">
              <w:rPr>
                <w:szCs w:val="28"/>
              </w:rPr>
              <w:t xml:space="preserve">rit of </w:t>
            </w:r>
            <w:r>
              <w:rPr>
                <w:szCs w:val="28"/>
              </w:rPr>
              <w:t>s</w:t>
            </w:r>
            <w:r w:rsidR="00A85ACA" w:rsidRPr="00476F4F">
              <w:rPr>
                <w:szCs w:val="28"/>
              </w:rPr>
              <w:t xml:space="preserve">ummons and court order by inserting to the letter box at Address </w:t>
            </w:r>
            <w:r w:rsidR="002076F6" w:rsidRPr="00476F4F">
              <w:rPr>
                <w:szCs w:val="28"/>
              </w:rPr>
              <w:t>1</w:t>
            </w:r>
          </w:p>
          <w:p w:rsidR="00A85ACA" w:rsidRPr="00476F4F" w:rsidRDefault="00A85ACA" w:rsidP="008B6C2F">
            <w:pPr>
              <w:tabs>
                <w:tab w:val="clear" w:pos="1440"/>
                <w:tab w:val="clear" w:pos="4320"/>
                <w:tab w:val="clear" w:pos="9072"/>
              </w:tabs>
              <w:snapToGrid/>
              <w:spacing w:line="360" w:lineRule="auto"/>
              <w:jc w:val="both"/>
              <w:rPr>
                <w:szCs w:val="28"/>
              </w:rPr>
            </w:pPr>
          </w:p>
          <w:p w:rsidR="00A85ACA" w:rsidRPr="00476F4F" w:rsidRDefault="00F12171" w:rsidP="008B6C2F">
            <w:pPr>
              <w:tabs>
                <w:tab w:val="clear" w:pos="1440"/>
                <w:tab w:val="clear" w:pos="4320"/>
                <w:tab w:val="clear" w:pos="9072"/>
              </w:tabs>
              <w:snapToGrid/>
              <w:spacing w:line="360" w:lineRule="auto"/>
              <w:jc w:val="both"/>
              <w:rPr>
                <w:szCs w:val="28"/>
              </w:rPr>
            </w:pPr>
            <w:r>
              <w:rPr>
                <w:szCs w:val="28"/>
              </w:rPr>
              <w:t>Service of the r</w:t>
            </w:r>
            <w:r w:rsidR="00A85ACA" w:rsidRPr="00476F4F">
              <w:rPr>
                <w:szCs w:val="28"/>
              </w:rPr>
              <w:t xml:space="preserve">e-amended </w:t>
            </w:r>
            <w:r>
              <w:rPr>
                <w:szCs w:val="28"/>
              </w:rPr>
              <w:t>w</w:t>
            </w:r>
            <w:r w:rsidR="00A85ACA" w:rsidRPr="00476F4F">
              <w:rPr>
                <w:szCs w:val="28"/>
              </w:rPr>
              <w:t xml:space="preserve">rit of </w:t>
            </w:r>
            <w:r>
              <w:rPr>
                <w:szCs w:val="28"/>
              </w:rPr>
              <w:t>s</w:t>
            </w:r>
            <w:r w:rsidR="00A85ACA" w:rsidRPr="00476F4F">
              <w:rPr>
                <w:szCs w:val="28"/>
              </w:rPr>
              <w:t>ummons and court order by inserting to the letter box at Address 2</w:t>
            </w:r>
          </w:p>
          <w:p w:rsidR="00A85ACA" w:rsidRPr="00476F4F" w:rsidRDefault="00A85ACA" w:rsidP="008B6C2F">
            <w:pPr>
              <w:tabs>
                <w:tab w:val="clear" w:pos="1440"/>
                <w:tab w:val="clear" w:pos="4320"/>
                <w:tab w:val="clear" w:pos="9072"/>
              </w:tabs>
              <w:snapToGrid/>
              <w:spacing w:line="360" w:lineRule="auto"/>
              <w:jc w:val="both"/>
              <w:rPr>
                <w:szCs w:val="28"/>
              </w:rPr>
            </w:pPr>
          </w:p>
          <w:p w:rsidR="00A85ACA" w:rsidRPr="00476F4F" w:rsidRDefault="00F12171" w:rsidP="008B6C2F">
            <w:pPr>
              <w:tabs>
                <w:tab w:val="clear" w:pos="1440"/>
                <w:tab w:val="clear" w:pos="4320"/>
                <w:tab w:val="clear" w:pos="9072"/>
              </w:tabs>
              <w:snapToGrid/>
              <w:spacing w:line="360" w:lineRule="auto"/>
              <w:jc w:val="both"/>
              <w:rPr>
                <w:szCs w:val="28"/>
              </w:rPr>
            </w:pPr>
            <w:r>
              <w:rPr>
                <w:szCs w:val="28"/>
              </w:rPr>
              <w:t>Service of the r</w:t>
            </w:r>
            <w:r w:rsidR="00A85ACA" w:rsidRPr="00476F4F">
              <w:rPr>
                <w:szCs w:val="28"/>
              </w:rPr>
              <w:t xml:space="preserve">e-amended </w:t>
            </w:r>
            <w:r>
              <w:rPr>
                <w:szCs w:val="28"/>
              </w:rPr>
              <w:t>w</w:t>
            </w:r>
            <w:r w:rsidR="00A85ACA" w:rsidRPr="00476F4F">
              <w:rPr>
                <w:szCs w:val="28"/>
              </w:rPr>
              <w:t xml:space="preserve">rit of </w:t>
            </w:r>
            <w:r>
              <w:rPr>
                <w:szCs w:val="28"/>
              </w:rPr>
              <w:t>s</w:t>
            </w:r>
            <w:r w:rsidR="00A85ACA" w:rsidRPr="00476F4F">
              <w:rPr>
                <w:szCs w:val="28"/>
              </w:rPr>
              <w:t xml:space="preserve">ummons and court order by inserting to the letter box at Address </w:t>
            </w:r>
            <w:r w:rsidR="002076F6" w:rsidRPr="00476F4F">
              <w:rPr>
                <w:szCs w:val="28"/>
              </w:rPr>
              <w:t>3</w:t>
            </w:r>
          </w:p>
          <w:p w:rsidR="00A85ACA" w:rsidRPr="00476F4F" w:rsidRDefault="00A85ACA" w:rsidP="008B6C2F">
            <w:pPr>
              <w:tabs>
                <w:tab w:val="clear" w:pos="1440"/>
                <w:tab w:val="clear" w:pos="4320"/>
                <w:tab w:val="clear" w:pos="9072"/>
              </w:tabs>
              <w:snapToGrid/>
              <w:spacing w:line="360" w:lineRule="auto"/>
              <w:jc w:val="both"/>
              <w:rPr>
                <w:szCs w:val="28"/>
              </w:rPr>
            </w:pPr>
          </w:p>
        </w:tc>
      </w:tr>
      <w:tr w:rsidR="00A85ACA" w:rsidRPr="00A85ACA" w:rsidTr="00190DE3">
        <w:tc>
          <w:tcPr>
            <w:tcW w:w="1800" w:type="dxa"/>
          </w:tcPr>
          <w:p w:rsidR="00A85ACA" w:rsidRPr="00476F4F" w:rsidRDefault="00A85ACA" w:rsidP="008B6C2F">
            <w:pPr>
              <w:tabs>
                <w:tab w:val="clear" w:pos="1440"/>
                <w:tab w:val="clear" w:pos="4320"/>
                <w:tab w:val="clear" w:pos="9072"/>
              </w:tabs>
              <w:snapToGrid/>
              <w:spacing w:line="360" w:lineRule="auto"/>
              <w:jc w:val="both"/>
              <w:rPr>
                <w:szCs w:val="28"/>
              </w:rPr>
            </w:pPr>
            <w:r w:rsidRPr="00476F4F">
              <w:rPr>
                <w:szCs w:val="28"/>
              </w:rPr>
              <w:t>9/9/2016</w:t>
            </w:r>
          </w:p>
        </w:tc>
        <w:tc>
          <w:tcPr>
            <w:tcW w:w="5781" w:type="dxa"/>
          </w:tcPr>
          <w:p w:rsidR="00A85ACA" w:rsidRPr="00476F4F" w:rsidRDefault="00A85ACA" w:rsidP="00F12171">
            <w:pPr>
              <w:tabs>
                <w:tab w:val="clear" w:pos="1440"/>
                <w:tab w:val="clear" w:pos="4320"/>
                <w:tab w:val="clear" w:pos="9072"/>
              </w:tabs>
              <w:snapToGrid/>
              <w:spacing w:line="360" w:lineRule="auto"/>
              <w:jc w:val="both"/>
              <w:rPr>
                <w:szCs w:val="28"/>
              </w:rPr>
            </w:pPr>
            <w:r w:rsidRPr="00476F4F">
              <w:rPr>
                <w:szCs w:val="28"/>
              </w:rPr>
              <w:t xml:space="preserve">Interlocutory judgment with damages to be assessed was entered against </w:t>
            </w:r>
            <w:r w:rsidR="00F12171">
              <w:rPr>
                <w:szCs w:val="28"/>
              </w:rPr>
              <w:t>Wong</w:t>
            </w:r>
          </w:p>
        </w:tc>
      </w:tr>
    </w:tbl>
    <w:p w:rsidR="00A85ACA" w:rsidRDefault="00A85ACA" w:rsidP="008B6C2F">
      <w:pPr>
        <w:tabs>
          <w:tab w:val="clear" w:pos="1440"/>
          <w:tab w:val="clear" w:pos="4320"/>
          <w:tab w:val="clear" w:pos="9072"/>
        </w:tabs>
        <w:snapToGrid/>
        <w:spacing w:line="360" w:lineRule="auto"/>
        <w:ind w:left="1080"/>
        <w:rPr>
          <w:szCs w:val="28"/>
          <w:u w:val="single"/>
        </w:rPr>
      </w:pPr>
    </w:p>
    <w:p w:rsidR="00A126E4" w:rsidRPr="00A126E4" w:rsidRDefault="00A126E4" w:rsidP="003A323B">
      <w:pPr>
        <w:keepNext/>
        <w:widowControl w:val="0"/>
        <w:numPr>
          <w:ilvl w:val="0"/>
          <w:numId w:val="6"/>
        </w:numPr>
        <w:tabs>
          <w:tab w:val="clear" w:pos="1440"/>
          <w:tab w:val="clear" w:pos="4320"/>
          <w:tab w:val="clear" w:pos="9072"/>
        </w:tabs>
        <w:snapToGrid/>
        <w:spacing w:line="360" w:lineRule="auto"/>
        <w:ind w:left="720" w:hanging="720"/>
        <w:rPr>
          <w:szCs w:val="28"/>
        </w:rPr>
      </w:pPr>
      <w:r w:rsidRPr="00A126E4">
        <w:rPr>
          <w:szCs w:val="28"/>
        </w:rPr>
        <w:lastRenderedPageBreak/>
        <w:t>DCPI 476/2015</w:t>
      </w:r>
    </w:p>
    <w:p w:rsidR="00A126E4" w:rsidRDefault="00A126E4" w:rsidP="00476F4F">
      <w:pPr>
        <w:keepNext/>
        <w:widowControl w:val="0"/>
        <w:tabs>
          <w:tab w:val="clear" w:pos="1440"/>
          <w:tab w:val="clear" w:pos="4320"/>
          <w:tab w:val="clear" w:pos="9072"/>
        </w:tabs>
        <w:snapToGrid/>
        <w:spacing w:line="360" w:lineRule="auto"/>
        <w:rPr>
          <w:szCs w:val="28"/>
        </w:rPr>
      </w:pP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0"/>
        <w:gridCol w:w="5781"/>
      </w:tblGrid>
      <w:tr w:rsidR="002076F6" w:rsidRPr="00A85ACA" w:rsidTr="00190DE3">
        <w:tc>
          <w:tcPr>
            <w:tcW w:w="1800" w:type="dxa"/>
          </w:tcPr>
          <w:p w:rsidR="002076F6" w:rsidRPr="00190DE3" w:rsidRDefault="002076F6" w:rsidP="008B6C2F">
            <w:pPr>
              <w:tabs>
                <w:tab w:val="clear" w:pos="1440"/>
                <w:tab w:val="clear" w:pos="4320"/>
                <w:tab w:val="clear" w:pos="9072"/>
              </w:tabs>
              <w:snapToGrid/>
              <w:spacing w:line="360" w:lineRule="auto"/>
              <w:jc w:val="both"/>
              <w:rPr>
                <w:szCs w:val="28"/>
                <w:u w:val="single"/>
              </w:rPr>
            </w:pPr>
            <w:r w:rsidRPr="00190DE3">
              <w:rPr>
                <w:szCs w:val="28"/>
                <w:u w:val="single"/>
              </w:rPr>
              <w:t>Date</w:t>
            </w:r>
          </w:p>
        </w:tc>
        <w:tc>
          <w:tcPr>
            <w:tcW w:w="5781" w:type="dxa"/>
          </w:tcPr>
          <w:p w:rsidR="002076F6" w:rsidRPr="00190DE3" w:rsidRDefault="00300A80" w:rsidP="008B6C2F">
            <w:pPr>
              <w:tabs>
                <w:tab w:val="clear" w:pos="1440"/>
                <w:tab w:val="clear" w:pos="4320"/>
                <w:tab w:val="clear" w:pos="9072"/>
              </w:tabs>
              <w:snapToGrid/>
              <w:spacing w:line="360" w:lineRule="auto"/>
              <w:jc w:val="both"/>
              <w:rPr>
                <w:szCs w:val="28"/>
                <w:u w:val="single"/>
              </w:rPr>
            </w:pPr>
            <w:r>
              <w:rPr>
                <w:szCs w:val="28"/>
                <w:u w:val="single"/>
              </w:rPr>
              <w:t>Event</w:t>
            </w:r>
            <w:r w:rsidR="008D433D">
              <w:rPr>
                <w:szCs w:val="28"/>
                <w:u w:val="single"/>
              </w:rPr>
              <w:t>s</w:t>
            </w:r>
          </w:p>
          <w:p w:rsidR="002076F6" w:rsidRPr="00190DE3" w:rsidRDefault="002076F6" w:rsidP="008B6C2F">
            <w:pPr>
              <w:tabs>
                <w:tab w:val="clear" w:pos="1440"/>
                <w:tab w:val="clear" w:pos="4320"/>
                <w:tab w:val="clear" w:pos="9072"/>
              </w:tabs>
              <w:snapToGrid/>
              <w:spacing w:line="360" w:lineRule="auto"/>
              <w:jc w:val="both"/>
              <w:rPr>
                <w:szCs w:val="28"/>
                <w:u w:val="single"/>
              </w:rPr>
            </w:pPr>
          </w:p>
        </w:tc>
      </w:tr>
      <w:tr w:rsidR="002076F6" w:rsidRPr="00A85ACA" w:rsidTr="00190DE3">
        <w:tc>
          <w:tcPr>
            <w:tcW w:w="1800" w:type="dxa"/>
          </w:tcPr>
          <w:p w:rsidR="002076F6" w:rsidRPr="00D16E04" w:rsidRDefault="002076F6" w:rsidP="008B6C2F">
            <w:pPr>
              <w:tabs>
                <w:tab w:val="clear" w:pos="1440"/>
                <w:tab w:val="clear" w:pos="4320"/>
                <w:tab w:val="clear" w:pos="9072"/>
              </w:tabs>
              <w:snapToGrid/>
              <w:spacing w:line="360" w:lineRule="auto"/>
              <w:jc w:val="both"/>
              <w:rPr>
                <w:szCs w:val="28"/>
              </w:rPr>
            </w:pPr>
            <w:r w:rsidRPr="00D16E04">
              <w:rPr>
                <w:szCs w:val="28"/>
              </w:rPr>
              <w:t>6/3/2015</w:t>
            </w:r>
          </w:p>
        </w:tc>
        <w:tc>
          <w:tcPr>
            <w:tcW w:w="5781" w:type="dxa"/>
          </w:tcPr>
          <w:p w:rsidR="002076F6" w:rsidRPr="00D16E04" w:rsidRDefault="002076F6" w:rsidP="008B6C2F">
            <w:pPr>
              <w:tabs>
                <w:tab w:val="clear" w:pos="1440"/>
                <w:tab w:val="clear" w:pos="4320"/>
                <w:tab w:val="clear" w:pos="9072"/>
              </w:tabs>
              <w:snapToGrid/>
              <w:spacing w:line="360" w:lineRule="auto"/>
              <w:jc w:val="both"/>
              <w:rPr>
                <w:szCs w:val="28"/>
              </w:rPr>
            </w:pPr>
            <w:r w:rsidRPr="00D16E04">
              <w:rPr>
                <w:szCs w:val="28"/>
              </w:rPr>
              <w:t xml:space="preserve">Writ of </w:t>
            </w:r>
            <w:r w:rsidR="00F12171">
              <w:rPr>
                <w:szCs w:val="28"/>
              </w:rPr>
              <w:t>s</w:t>
            </w:r>
            <w:r w:rsidRPr="00D16E04">
              <w:rPr>
                <w:szCs w:val="28"/>
              </w:rPr>
              <w:t>ummons (with a general endorsement) issued</w:t>
            </w:r>
          </w:p>
          <w:p w:rsidR="002076F6" w:rsidRPr="00D16E04" w:rsidRDefault="002076F6" w:rsidP="008B6C2F">
            <w:pPr>
              <w:tabs>
                <w:tab w:val="clear" w:pos="1440"/>
                <w:tab w:val="clear" w:pos="4320"/>
                <w:tab w:val="clear" w:pos="9072"/>
              </w:tabs>
              <w:snapToGrid/>
              <w:spacing w:line="360" w:lineRule="auto"/>
              <w:jc w:val="both"/>
              <w:rPr>
                <w:szCs w:val="28"/>
              </w:rPr>
            </w:pPr>
          </w:p>
        </w:tc>
      </w:tr>
      <w:tr w:rsidR="002076F6" w:rsidRPr="00A85ACA" w:rsidTr="00190DE3">
        <w:tc>
          <w:tcPr>
            <w:tcW w:w="1800" w:type="dxa"/>
          </w:tcPr>
          <w:p w:rsidR="002076F6" w:rsidRPr="00D16E04" w:rsidRDefault="002076F6" w:rsidP="008B6C2F">
            <w:pPr>
              <w:tabs>
                <w:tab w:val="clear" w:pos="1440"/>
                <w:tab w:val="clear" w:pos="4320"/>
                <w:tab w:val="clear" w:pos="9072"/>
              </w:tabs>
              <w:snapToGrid/>
              <w:spacing w:line="360" w:lineRule="auto"/>
              <w:jc w:val="both"/>
              <w:rPr>
                <w:szCs w:val="28"/>
              </w:rPr>
            </w:pPr>
            <w:r w:rsidRPr="00D16E04">
              <w:rPr>
                <w:szCs w:val="28"/>
              </w:rPr>
              <w:t>8/1/2016</w:t>
            </w:r>
          </w:p>
        </w:tc>
        <w:tc>
          <w:tcPr>
            <w:tcW w:w="5781" w:type="dxa"/>
          </w:tcPr>
          <w:p w:rsidR="002076F6" w:rsidRPr="00D16E04" w:rsidRDefault="002076F6" w:rsidP="008B6C2F">
            <w:pPr>
              <w:tabs>
                <w:tab w:val="clear" w:pos="1440"/>
                <w:tab w:val="clear" w:pos="4320"/>
                <w:tab w:val="clear" w:pos="9072"/>
              </w:tabs>
              <w:snapToGrid/>
              <w:spacing w:line="360" w:lineRule="auto"/>
              <w:jc w:val="both"/>
              <w:rPr>
                <w:szCs w:val="28"/>
              </w:rPr>
            </w:pPr>
            <w:r w:rsidRPr="00D16E04">
              <w:rPr>
                <w:szCs w:val="28"/>
              </w:rPr>
              <w:t xml:space="preserve">The </w:t>
            </w:r>
            <w:r w:rsidR="00F12171">
              <w:rPr>
                <w:szCs w:val="28"/>
              </w:rPr>
              <w:t>a</w:t>
            </w:r>
            <w:r w:rsidRPr="00D16E04">
              <w:rPr>
                <w:szCs w:val="28"/>
              </w:rPr>
              <w:t xml:space="preserve">mended </w:t>
            </w:r>
            <w:r w:rsidR="00F12171">
              <w:rPr>
                <w:szCs w:val="28"/>
              </w:rPr>
              <w:t>w</w:t>
            </w:r>
            <w:r w:rsidRPr="00D16E04">
              <w:rPr>
                <w:szCs w:val="28"/>
              </w:rPr>
              <w:t xml:space="preserve">rit of </w:t>
            </w:r>
            <w:r w:rsidR="00F12171">
              <w:rPr>
                <w:szCs w:val="28"/>
              </w:rPr>
              <w:t>s</w:t>
            </w:r>
            <w:r w:rsidRPr="00D16E04">
              <w:rPr>
                <w:szCs w:val="28"/>
              </w:rPr>
              <w:t>ummons (with a general endorsement) issued</w:t>
            </w:r>
          </w:p>
          <w:p w:rsidR="002076F6" w:rsidRPr="00D16E04" w:rsidRDefault="002076F6" w:rsidP="008B6C2F">
            <w:pPr>
              <w:tabs>
                <w:tab w:val="clear" w:pos="1440"/>
                <w:tab w:val="clear" w:pos="4320"/>
                <w:tab w:val="clear" w:pos="9072"/>
              </w:tabs>
              <w:snapToGrid/>
              <w:spacing w:line="360" w:lineRule="auto"/>
              <w:jc w:val="both"/>
              <w:rPr>
                <w:szCs w:val="28"/>
              </w:rPr>
            </w:pPr>
          </w:p>
        </w:tc>
      </w:tr>
      <w:tr w:rsidR="002076F6" w:rsidRPr="00A85ACA" w:rsidTr="00190DE3">
        <w:tc>
          <w:tcPr>
            <w:tcW w:w="1800" w:type="dxa"/>
          </w:tcPr>
          <w:p w:rsidR="002076F6" w:rsidRPr="00D16E04" w:rsidRDefault="002076F6" w:rsidP="008B6C2F">
            <w:pPr>
              <w:tabs>
                <w:tab w:val="clear" w:pos="1440"/>
                <w:tab w:val="clear" w:pos="4320"/>
                <w:tab w:val="clear" w:pos="9072"/>
              </w:tabs>
              <w:snapToGrid/>
              <w:spacing w:line="360" w:lineRule="auto"/>
              <w:jc w:val="both"/>
              <w:rPr>
                <w:szCs w:val="28"/>
              </w:rPr>
            </w:pPr>
            <w:r w:rsidRPr="00D16E04">
              <w:rPr>
                <w:szCs w:val="28"/>
              </w:rPr>
              <w:t>12/1/2016</w:t>
            </w:r>
          </w:p>
        </w:tc>
        <w:tc>
          <w:tcPr>
            <w:tcW w:w="5781" w:type="dxa"/>
          </w:tcPr>
          <w:p w:rsidR="002076F6" w:rsidRPr="00D16E04" w:rsidRDefault="00F12171" w:rsidP="008B6C2F">
            <w:pPr>
              <w:tabs>
                <w:tab w:val="clear" w:pos="1440"/>
                <w:tab w:val="clear" w:pos="4320"/>
                <w:tab w:val="clear" w:pos="9072"/>
              </w:tabs>
              <w:snapToGrid/>
              <w:spacing w:line="360" w:lineRule="auto"/>
              <w:jc w:val="both"/>
              <w:rPr>
                <w:szCs w:val="28"/>
              </w:rPr>
            </w:pPr>
            <w:r>
              <w:rPr>
                <w:szCs w:val="28"/>
              </w:rPr>
              <w:t>Service of the a</w:t>
            </w:r>
            <w:r w:rsidR="002076F6" w:rsidRPr="00D16E04">
              <w:rPr>
                <w:szCs w:val="28"/>
              </w:rPr>
              <w:t xml:space="preserve">mended </w:t>
            </w:r>
            <w:r>
              <w:rPr>
                <w:szCs w:val="28"/>
              </w:rPr>
              <w:t>w</w:t>
            </w:r>
            <w:r w:rsidR="002076F6" w:rsidRPr="00D16E04">
              <w:rPr>
                <w:szCs w:val="28"/>
              </w:rPr>
              <w:t xml:space="preserve">rit of </w:t>
            </w:r>
            <w:r>
              <w:rPr>
                <w:szCs w:val="28"/>
              </w:rPr>
              <w:t>summons and notice of c</w:t>
            </w:r>
            <w:r w:rsidR="002076F6" w:rsidRPr="00D16E04">
              <w:rPr>
                <w:szCs w:val="28"/>
              </w:rPr>
              <w:t xml:space="preserve">hecklist </w:t>
            </w:r>
            <w:r>
              <w:rPr>
                <w:szCs w:val="28"/>
              </w:rPr>
              <w:t>review h</w:t>
            </w:r>
            <w:r w:rsidR="002076F6" w:rsidRPr="00D16E04">
              <w:rPr>
                <w:szCs w:val="28"/>
              </w:rPr>
              <w:t>earing by inserting to the letter box at Address 1</w:t>
            </w:r>
          </w:p>
          <w:p w:rsidR="002076F6" w:rsidRPr="00D16E04" w:rsidRDefault="002076F6" w:rsidP="008B6C2F">
            <w:pPr>
              <w:tabs>
                <w:tab w:val="clear" w:pos="1440"/>
                <w:tab w:val="clear" w:pos="4320"/>
                <w:tab w:val="clear" w:pos="9072"/>
              </w:tabs>
              <w:snapToGrid/>
              <w:spacing w:line="360" w:lineRule="auto"/>
              <w:jc w:val="both"/>
              <w:rPr>
                <w:szCs w:val="28"/>
              </w:rPr>
            </w:pPr>
          </w:p>
          <w:p w:rsidR="002076F6" w:rsidRPr="00D16E04" w:rsidRDefault="00F12171" w:rsidP="008B6C2F">
            <w:pPr>
              <w:tabs>
                <w:tab w:val="clear" w:pos="1440"/>
                <w:tab w:val="clear" w:pos="4320"/>
                <w:tab w:val="clear" w:pos="9072"/>
              </w:tabs>
              <w:snapToGrid/>
              <w:spacing w:line="360" w:lineRule="auto"/>
              <w:jc w:val="both"/>
              <w:rPr>
                <w:szCs w:val="28"/>
              </w:rPr>
            </w:pPr>
            <w:r>
              <w:rPr>
                <w:szCs w:val="28"/>
              </w:rPr>
              <w:t>Service of the amended writ of summons and notice of c</w:t>
            </w:r>
            <w:r w:rsidR="002076F6" w:rsidRPr="00D16E04">
              <w:rPr>
                <w:szCs w:val="28"/>
              </w:rPr>
              <w:t xml:space="preserve">hecklist </w:t>
            </w:r>
            <w:r>
              <w:rPr>
                <w:szCs w:val="28"/>
              </w:rPr>
              <w:t>review h</w:t>
            </w:r>
            <w:r w:rsidR="002076F6" w:rsidRPr="00D16E04">
              <w:rPr>
                <w:szCs w:val="28"/>
              </w:rPr>
              <w:t>earing by inserting to the letter box at Address 2</w:t>
            </w:r>
          </w:p>
          <w:p w:rsidR="002076F6" w:rsidRPr="00D16E04" w:rsidRDefault="002076F6" w:rsidP="008B6C2F">
            <w:pPr>
              <w:tabs>
                <w:tab w:val="clear" w:pos="1440"/>
                <w:tab w:val="clear" w:pos="4320"/>
                <w:tab w:val="clear" w:pos="9072"/>
              </w:tabs>
              <w:snapToGrid/>
              <w:spacing w:line="360" w:lineRule="auto"/>
              <w:jc w:val="both"/>
              <w:rPr>
                <w:szCs w:val="28"/>
              </w:rPr>
            </w:pPr>
          </w:p>
          <w:p w:rsidR="002076F6" w:rsidRPr="00D16E04" w:rsidRDefault="00F12171" w:rsidP="008B6C2F">
            <w:pPr>
              <w:tabs>
                <w:tab w:val="clear" w:pos="1440"/>
                <w:tab w:val="clear" w:pos="4320"/>
                <w:tab w:val="clear" w:pos="9072"/>
              </w:tabs>
              <w:snapToGrid/>
              <w:spacing w:line="360" w:lineRule="auto"/>
              <w:jc w:val="both"/>
              <w:rPr>
                <w:szCs w:val="28"/>
              </w:rPr>
            </w:pPr>
            <w:r>
              <w:rPr>
                <w:szCs w:val="28"/>
              </w:rPr>
              <w:t>Service of the amended writ of summons and notice of checklist review h</w:t>
            </w:r>
            <w:r w:rsidR="002076F6" w:rsidRPr="00D16E04">
              <w:rPr>
                <w:szCs w:val="28"/>
              </w:rPr>
              <w:t>earing by inserting to the letter box at Address 3</w:t>
            </w:r>
          </w:p>
          <w:p w:rsidR="002076F6" w:rsidRPr="00D16E04" w:rsidRDefault="002076F6" w:rsidP="008B6C2F">
            <w:pPr>
              <w:tabs>
                <w:tab w:val="clear" w:pos="1440"/>
                <w:tab w:val="clear" w:pos="4320"/>
                <w:tab w:val="clear" w:pos="9072"/>
              </w:tabs>
              <w:snapToGrid/>
              <w:spacing w:line="360" w:lineRule="auto"/>
              <w:jc w:val="both"/>
              <w:rPr>
                <w:szCs w:val="28"/>
              </w:rPr>
            </w:pPr>
          </w:p>
        </w:tc>
      </w:tr>
      <w:tr w:rsidR="002076F6" w:rsidRPr="00A85ACA" w:rsidTr="00190DE3">
        <w:tc>
          <w:tcPr>
            <w:tcW w:w="1800" w:type="dxa"/>
          </w:tcPr>
          <w:p w:rsidR="002076F6" w:rsidRPr="00D16E04" w:rsidRDefault="002076F6" w:rsidP="008B6C2F">
            <w:pPr>
              <w:tabs>
                <w:tab w:val="clear" w:pos="1440"/>
                <w:tab w:val="clear" w:pos="4320"/>
                <w:tab w:val="clear" w:pos="9072"/>
              </w:tabs>
              <w:snapToGrid/>
              <w:spacing w:line="360" w:lineRule="auto"/>
              <w:jc w:val="both"/>
              <w:rPr>
                <w:szCs w:val="28"/>
              </w:rPr>
            </w:pPr>
            <w:r w:rsidRPr="00D16E04">
              <w:rPr>
                <w:szCs w:val="28"/>
              </w:rPr>
              <w:t>25/5/2016</w:t>
            </w:r>
          </w:p>
        </w:tc>
        <w:tc>
          <w:tcPr>
            <w:tcW w:w="5781" w:type="dxa"/>
          </w:tcPr>
          <w:p w:rsidR="002076F6" w:rsidRPr="00D16E04" w:rsidRDefault="00F12171" w:rsidP="008B6C2F">
            <w:pPr>
              <w:tabs>
                <w:tab w:val="clear" w:pos="1440"/>
                <w:tab w:val="clear" w:pos="4320"/>
                <w:tab w:val="clear" w:pos="9072"/>
              </w:tabs>
              <w:snapToGrid/>
              <w:spacing w:line="360" w:lineRule="auto"/>
              <w:jc w:val="both"/>
              <w:rPr>
                <w:szCs w:val="28"/>
              </w:rPr>
            </w:pPr>
            <w:r>
              <w:rPr>
                <w:szCs w:val="28"/>
              </w:rPr>
              <w:t>Re-amended writ of s</w:t>
            </w:r>
            <w:r w:rsidR="002076F6" w:rsidRPr="00D16E04">
              <w:rPr>
                <w:szCs w:val="28"/>
              </w:rPr>
              <w:t>ummons (with a general endorsement) issued</w:t>
            </w:r>
          </w:p>
          <w:p w:rsidR="002076F6" w:rsidRPr="00D16E04" w:rsidRDefault="002076F6" w:rsidP="008B6C2F">
            <w:pPr>
              <w:tabs>
                <w:tab w:val="clear" w:pos="1440"/>
                <w:tab w:val="clear" w:pos="4320"/>
                <w:tab w:val="clear" w:pos="9072"/>
              </w:tabs>
              <w:snapToGrid/>
              <w:spacing w:line="360" w:lineRule="auto"/>
              <w:jc w:val="both"/>
              <w:rPr>
                <w:szCs w:val="28"/>
              </w:rPr>
            </w:pPr>
          </w:p>
        </w:tc>
      </w:tr>
      <w:tr w:rsidR="002076F6" w:rsidRPr="00A85ACA" w:rsidTr="00190DE3">
        <w:tc>
          <w:tcPr>
            <w:tcW w:w="1800" w:type="dxa"/>
          </w:tcPr>
          <w:p w:rsidR="002076F6" w:rsidRPr="00D16E04" w:rsidRDefault="002076F6" w:rsidP="008B6C2F">
            <w:pPr>
              <w:tabs>
                <w:tab w:val="clear" w:pos="1440"/>
                <w:tab w:val="clear" w:pos="4320"/>
                <w:tab w:val="clear" w:pos="9072"/>
              </w:tabs>
              <w:snapToGrid/>
              <w:spacing w:line="360" w:lineRule="auto"/>
              <w:jc w:val="both"/>
              <w:rPr>
                <w:szCs w:val="28"/>
              </w:rPr>
            </w:pPr>
            <w:r w:rsidRPr="00D16E04">
              <w:rPr>
                <w:szCs w:val="28"/>
              </w:rPr>
              <w:t>16/6/2016</w:t>
            </w:r>
          </w:p>
        </w:tc>
        <w:tc>
          <w:tcPr>
            <w:tcW w:w="5781" w:type="dxa"/>
          </w:tcPr>
          <w:p w:rsidR="002076F6" w:rsidRPr="00D16E04" w:rsidRDefault="00F12171" w:rsidP="008B6C2F">
            <w:pPr>
              <w:tabs>
                <w:tab w:val="clear" w:pos="1440"/>
                <w:tab w:val="clear" w:pos="4320"/>
                <w:tab w:val="clear" w:pos="9072"/>
              </w:tabs>
              <w:snapToGrid/>
              <w:spacing w:line="360" w:lineRule="auto"/>
              <w:jc w:val="both"/>
              <w:rPr>
                <w:szCs w:val="28"/>
              </w:rPr>
            </w:pPr>
            <w:r>
              <w:rPr>
                <w:szCs w:val="28"/>
              </w:rPr>
              <w:t>Service of the re-amended writ of s</w:t>
            </w:r>
            <w:r w:rsidR="002076F6" w:rsidRPr="00D16E04">
              <w:rPr>
                <w:szCs w:val="28"/>
              </w:rPr>
              <w:t>ummons and court order by inserting to the letter box at Address 1</w:t>
            </w:r>
          </w:p>
          <w:p w:rsidR="002076F6" w:rsidRPr="00D16E04" w:rsidRDefault="002076F6" w:rsidP="008B6C2F">
            <w:pPr>
              <w:tabs>
                <w:tab w:val="clear" w:pos="1440"/>
                <w:tab w:val="clear" w:pos="4320"/>
                <w:tab w:val="clear" w:pos="9072"/>
              </w:tabs>
              <w:snapToGrid/>
              <w:spacing w:line="360" w:lineRule="auto"/>
              <w:jc w:val="both"/>
              <w:rPr>
                <w:szCs w:val="28"/>
              </w:rPr>
            </w:pPr>
          </w:p>
          <w:p w:rsidR="002076F6" w:rsidRPr="00D16E04" w:rsidRDefault="00F12171" w:rsidP="008B6C2F">
            <w:pPr>
              <w:tabs>
                <w:tab w:val="clear" w:pos="1440"/>
                <w:tab w:val="clear" w:pos="4320"/>
                <w:tab w:val="clear" w:pos="9072"/>
              </w:tabs>
              <w:snapToGrid/>
              <w:spacing w:line="360" w:lineRule="auto"/>
              <w:jc w:val="both"/>
              <w:rPr>
                <w:szCs w:val="28"/>
              </w:rPr>
            </w:pPr>
            <w:r>
              <w:rPr>
                <w:szCs w:val="28"/>
              </w:rPr>
              <w:t>Service of the re-amended writ of s</w:t>
            </w:r>
            <w:r w:rsidR="002076F6" w:rsidRPr="00D16E04">
              <w:rPr>
                <w:szCs w:val="28"/>
              </w:rPr>
              <w:t>ummons and court order by inserting to the letter box at Address 2</w:t>
            </w:r>
          </w:p>
          <w:p w:rsidR="002076F6" w:rsidRPr="00D16E04" w:rsidRDefault="002076F6" w:rsidP="008B6C2F">
            <w:pPr>
              <w:tabs>
                <w:tab w:val="clear" w:pos="1440"/>
                <w:tab w:val="clear" w:pos="4320"/>
                <w:tab w:val="clear" w:pos="9072"/>
              </w:tabs>
              <w:snapToGrid/>
              <w:spacing w:line="360" w:lineRule="auto"/>
              <w:jc w:val="both"/>
              <w:rPr>
                <w:szCs w:val="28"/>
              </w:rPr>
            </w:pPr>
          </w:p>
          <w:p w:rsidR="002076F6" w:rsidRPr="00D16E04" w:rsidRDefault="002076F6" w:rsidP="008B6C2F">
            <w:pPr>
              <w:tabs>
                <w:tab w:val="clear" w:pos="1440"/>
                <w:tab w:val="clear" w:pos="4320"/>
                <w:tab w:val="clear" w:pos="9072"/>
              </w:tabs>
              <w:snapToGrid/>
              <w:spacing w:line="360" w:lineRule="auto"/>
              <w:jc w:val="both"/>
              <w:rPr>
                <w:szCs w:val="28"/>
              </w:rPr>
            </w:pPr>
            <w:r w:rsidRPr="00D16E04">
              <w:rPr>
                <w:szCs w:val="28"/>
              </w:rPr>
              <w:t xml:space="preserve">Service of the </w:t>
            </w:r>
            <w:r w:rsidR="00F12171">
              <w:rPr>
                <w:szCs w:val="28"/>
              </w:rPr>
              <w:t>re-amended w</w:t>
            </w:r>
            <w:r w:rsidRPr="00D16E04">
              <w:rPr>
                <w:szCs w:val="28"/>
              </w:rPr>
              <w:t xml:space="preserve">rit of </w:t>
            </w:r>
            <w:r w:rsidR="00F12171">
              <w:rPr>
                <w:szCs w:val="28"/>
              </w:rPr>
              <w:t>s</w:t>
            </w:r>
            <w:r w:rsidRPr="00D16E04">
              <w:rPr>
                <w:szCs w:val="28"/>
              </w:rPr>
              <w:t>ummons and court order by inserting to the letter box at Address 3</w:t>
            </w:r>
          </w:p>
          <w:p w:rsidR="002076F6" w:rsidRPr="00D16E04" w:rsidRDefault="002076F6" w:rsidP="008B6C2F">
            <w:pPr>
              <w:tabs>
                <w:tab w:val="clear" w:pos="1440"/>
                <w:tab w:val="clear" w:pos="4320"/>
                <w:tab w:val="clear" w:pos="9072"/>
              </w:tabs>
              <w:snapToGrid/>
              <w:spacing w:line="360" w:lineRule="auto"/>
              <w:jc w:val="both"/>
              <w:rPr>
                <w:szCs w:val="28"/>
              </w:rPr>
            </w:pPr>
          </w:p>
        </w:tc>
      </w:tr>
      <w:tr w:rsidR="002076F6" w:rsidRPr="00A85ACA" w:rsidTr="00190DE3">
        <w:tc>
          <w:tcPr>
            <w:tcW w:w="1800" w:type="dxa"/>
          </w:tcPr>
          <w:p w:rsidR="002076F6" w:rsidRPr="00D16E04" w:rsidRDefault="002076F6" w:rsidP="008B6C2F">
            <w:pPr>
              <w:tabs>
                <w:tab w:val="clear" w:pos="1440"/>
                <w:tab w:val="clear" w:pos="4320"/>
                <w:tab w:val="clear" w:pos="9072"/>
              </w:tabs>
              <w:snapToGrid/>
              <w:spacing w:line="360" w:lineRule="auto"/>
              <w:jc w:val="both"/>
              <w:rPr>
                <w:szCs w:val="28"/>
              </w:rPr>
            </w:pPr>
            <w:r w:rsidRPr="00D16E04">
              <w:rPr>
                <w:szCs w:val="28"/>
              </w:rPr>
              <w:lastRenderedPageBreak/>
              <w:t>9/9/2016</w:t>
            </w:r>
          </w:p>
        </w:tc>
        <w:tc>
          <w:tcPr>
            <w:tcW w:w="5781" w:type="dxa"/>
          </w:tcPr>
          <w:p w:rsidR="002076F6" w:rsidRPr="00D16E04" w:rsidRDefault="002076F6" w:rsidP="00BB5699">
            <w:pPr>
              <w:tabs>
                <w:tab w:val="clear" w:pos="1440"/>
                <w:tab w:val="clear" w:pos="4320"/>
                <w:tab w:val="clear" w:pos="9072"/>
              </w:tabs>
              <w:snapToGrid/>
              <w:spacing w:line="360" w:lineRule="auto"/>
              <w:jc w:val="both"/>
              <w:rPr>
                <w:szCs w:val="28"/>
              </w:rPr>
            </w:pPr>
            <w:r w:rsidRPr="00D16E04">
              <w:rPr>
                <w:szCs w:val="28"/>
              </w:rPr>
              <w:t>Interlocutory judgment with damages to be assessed w</w:t>
            </w:r>
            <w:r w:rsidR="00F12171">
              <w:rPr>
                <w:szCs w:val="28"/>
              </w:rPr>
              <w:t>as entered against Wong</w:t>
            </w:r>
            <w:bookmarkStart w:id="0" w:name="_GoBack"/>
            <w:bookmarkEnd w:id="0"/>
          </w:p>
        </w:tc>
      </w:tr>
    </w:tbl>
    <w:p w:rsidR="002076F6" w:rsidRPr="00A126E4" w:rsidRDefault="002076F6" w:rsidP="008B6C2F">
      <w:pPr>
        <w:tabs>
          <w:tab w:val="clear" w:pos="1440"/>
          <w:tab w:val="clear" w:pos="4320"/>
          <w:tab w:val="clear" w:pos="9072"/>
        </w:tabs>
        <w:snapToGrid/>
        <w:spacing w:line="360" w:lineRule="auto"/>
        <w:rPr>
          <w:szCs w:val="28"/>
        </w:rPr>
      </w:pPr>
    </w:p>
    <w:p w:rsidR="00A126E4" w:rsidRPr="001A441C" w:rsidRDefault="00A126E4" w:rsidP="008B6C2F">
      <w:pPr>
        <w:tabs>
          <w:tab w:val="clear" w:pos="1440"/>
          <w:tab w:val="clear" w:pos="4320"/>
          <w:tab w:val="clear" w:pos="9072"/>
        </w:tabs>
        <w:snapToGrid/>
        <w:spacing w:line="360" w:lineRule="auto"/>
        <w:rPr>
          <w:i/>
          <w:szCs w:val="28"/>
        </w:rPr>
      </w:pPr>
      <w:r w:rsidRPr="001A441C">
        <w:rPr>
          <w:i/>
          <w:szCs w:val="28"/>
        </w:rPr>
        <w:t>Wong’s contentions</w:t>
      </w:r>
    </w:p>
    <w:p w:rsidR="00A126E4" w:rsidRPr="00A126E4" w:rsidRDefault="00A126E4" w:rsidP="008B6C2F">
      <w:pPr>
        <w:tabs>
          <w:tab w:val="clear" w:pos="1440"/>
          <w:tab w:val="clear" w:pos="4320"/>
          <w:tab w:val="clear" w:pos="9072"/>
        </w:tabs>
        <w:snapToGrid/>
        <w:spacing w:line="360" w:lineRule="auto"/>
        <w:rPr>
          <w:szCs w:val="28"/>
        </w:rPr>
      </w:pPr>
    </w:p>
    <w:p w:rsidR="00A126E4" w:rsidRPr="00A126E4" w:rsidRDefault="00A126E4" w:rsidP="003A323B">
      <w:pPr>
        <w:pStyle w:val="ListParagraph"/>
        <w:numPr>
          <w:ilvl w:val="0"/>
          <w:numId w:val="3"/>
        </w:numPr>
        <w:tabs>
          <w:tab w:val="clear" w:pos="4320"/>
          <w:tab w:val="clear" w:pos="9072"/>
        </w:tabs>
        <w:spacing w:line="360" w:lineRule="auto"/>
        <w:ind w:left="0" w:firstLine="0"/>
        <w:jc w:val="both"/>
        <w:rPr>
          <w:szCs w:val="28"/>
        </w:rPr>
      </w:pPr>
      <w:r w:rsidRPr="00A126E4">
        <w:rPr>
          <w:szCs w:val="28"/>
        </w:rPr>
        <w:t>Wong says that the default judgment obtained by the plaintiff in each of the 3 actions has to be set aside, for (a) the default judgment is an irregular judgment, and (b) alternatively, he has a meritorious defence.</w:t>
      </w:r>
    </w:p>
    <w:p w:rsidR="00A126E4" w:rsidRPr="001A441C" w:rsidRDefault="00A126E4" w:rsidP="008B6C2F">
      <w:pPr>
        <w:tabs>
          <w:tab w:val="clear" w:pos="4320"/>
          <w:tab w:val="clear" w:pos="9072"/>
        </w:tabs>
        <w:spacing w:line="360" w:lineRule="auto"/>
        <w:jc w:val="both"/>
        <w:rPr>
          <w:szCs w:val="28"/>
        </w:rPr>
      </w:pPr>
    </w:p>
    <w:p w:rsidR="00A126E4" w:rsidRDefault="00A126E4" w:rsidP="003A323B">
      <w:pPr>
        <w:pStyle w:val="ListParagraph"/>
        <w:numPr>
          <w:ilvl w:val="0"/>
          <w:numId w:val="3"/>
        </w:numPr>
        <w:tabs>
          <w:tab w:val="clear" w:pos="4320"/>
          <w:tab w:val="clear" w:pos="9072"/>
        </w:tabs>
        <w:spacing w:line="360" w:lineRule="auto"/>
        <w:ind w:left="0" w:firstLine="0"/>
        <w:jc w:val="both"/>
        <w:rPr>
          <w:szCs w:val="28"/>
        </w:rPr>
      </w:pPr>
      <w:r w:rsidRPr="00A126E4">
        <w:rPr>
          <w:szCs w:val="28"/>
        </w:rPr>
        <w:t>Wong contends that all the 3 default judgments are irregular judgments, for he did not have any notice of the writs in these 3 actions.  His contentions are as follows:</w:t>
      </w:r>
      <w:r w:rsidR="001A441C">
        <w:rPr>
          <w:szCs w:val="28"/>
        </w:rPr>
        <w:t>-</w:t>
      </w:r>
    </w:p>
    <w:p w:rsidR="001A441C" w:rsidRPr="001A441C" w:rsidRDefault="001A441C" w:rsidP="008B6C2F">
      <w:pPr>
        <w:pStyle w:val="ListParagraph"/>
        <w:spacing w:line="360" w:lineRule="auto"/>
        <w:rPr>
          <w:szCs w:val="28"/>
        </w:rPr>
      </w:pPr>
    </w:p>
    <w:p w:rsidR="00A126E4" w:rsidRDefault="00A126E4" w:rsidP="003A323B">
      <w:pPr>
        <w:numPr>
          <w:ilvl w:val="0"/>
          <w:numId w:val="7"/>
        </w:numPr>
        <w:tabs>
          <w:tab w:val="clear" w:pos="1440"/>
          <w:tab w:val="clear" w:pos="4320"/>
          <w:tab w:val="clear" w:pos="9072"/>
          <w:tab w:val="left" w:pos="2160"/>
        </w:tabs>
        <w:snapToGrid/>
        <w:spacing w:line="360" w:lineRule="auto"/>
        <w:ind w:left="2160" w:hanging="720"/>
        <w:jc w:val="both"/>
        <w:rPr>
          <w:szCs w:val="28"/>
        </w:rPr>
      </w:pPr>
      <w:r w:rsidRPr="00A126E4">
        <w:rPr>
          <w:szCs w:val="28"/>
        </w:rPr>
        <w:t>He was not living at Address 1, Address 2 or Address</w:t>
      </w:r>
      <w:r w:rsidR="00436C8E">
        <w:rPr>
          <w:szCs w:val="28"/>
        </w:rPr>
        <w:t> </w:t>
      </w:r>
      <w:r w:rsidRPr="00A126E4">
        <w:rPr>
          <w:szCs w:val="28"/>
        </w:rPr>
        <w:t>3 (“the 3 Addresses”) at the time of respective attempts of service by the plaintiffs, ie the period from 14</w:t>
      </w:r>
      <w:r w:rsidR="001A441C">
        <w:rPr>
          <w:szCs w:val="28"/>
        </w:rPr>
        <w:t> </w:t>
      </w:r>
      <w:r w:rsidRPr="00A126E4">
        <w:rPr>
          <w:szCs w:val="28"/>
        </w:rPr>
        <w:t>December 2015 to 23 Ju</w:t>
      </w:r>
      <w:r w:rsidR="000F61AA">
        <w:rPr>
          <w:szCs w:val="28"/>
        </w:rPr>
        <w:t>ne 2016</w:t>
      </w:r>
      <w:r w:rsidRPr="00A126E4">
        <w:rPr>
          <w:szCs w:val="28"/>
        </w:rPr>
        <w:t xml:space="preserve">.  He had not received the writs whether on his own or through any </w:t>
      </w:r>
      <w:r w:rsidRPr="00A126E4">
        <w:rPr>
          <w:szCs w:val="28"/>
        </w:rPr>
        <w:lastRenderedPageBreak/>
        <w:t>persons, and he had not been informed of the writs or the current proceedings by any persons.</w:t>
      </w:r>
    </w:p>
    <w:p w:rsidR="001A441C" w:rsidRPr="00A126E4" w:rsidRDefault="001A441C" w:rsidP="008B6C2F">
      <w:pPr>
        <w:tabs>
          <w:tab w:val="clear" w:pos="1440"/>
          <w:tab w:val="clear" w:pos="4320"/>
          <w:tab w:val="clear" w:pos="9072"/>
          <w:tab w:val="left" w:pos="2160"/>
        </w:tabs>
        <w:snapToGrid/>
        <w:spacing w:line="360" w:lineRule="auto"/>
        <w:jc w:val="both"/>
        <w:rPr>
          <w:szCs w:val="28"/>
        </w:rPr>
      </w:pPr>
    </w:p>
    <w:p w:rsidR="00A126E4" w:rsidRDefault="00A126E4" w:rsidP="003A323B">
      <w:pPr>
        <w:numPr>
          <w:ilvl w:val="0"/>
          <w:numId w:val="7"/>
        </w:numPr>
        <w:tabs>
          <w:tab w:val="clear" w:pos="1440"/>
          <w:tab w:val="clear" w:pos="4320"/>
          <w:tab w:val="clear" w:pos="9072"/>
          <w:tab w:val="left" w:pos="2160"/>
        </w:tabs>
        <w:snapToGrid/>
        <w:spacing w:line="360" w:lineRule="auto"/>
        <w:ind w:left="2160" w:hanging="720"/>
        <w:jc w:val="both"/>
        <w:rPr>
          <w:szCs w:val="28"/>
        </w:rPr>
      </w:pPr>
      <w:r w:rsidRPr="00A126E4">
        <w:rPr>
          <w:szCs w:val="28"/>
        </w:rPr>
        <w:t>He no longer has any interest in Address 1 after transferring his half share interest to his ex-wife on 8</w:t>
      </w:r>
      <w:r w:rsidR="001A441C">
        <w:rPr>
          <w:szCs w:val="28"/>
        </w:rPr>
        <w:t> </w:t>
      </w:r>
      <w:r w:rsidRPr="00A126E4">
        <w:rPr>
          <w:szCs w:val="28"/>
        </w:rPr>
        <w:t>January 2015 during their divorce proceedings.  Wong and his ex-wife have not contacted each other since their divorce in around June 2015.</w:t>
      </w:r>
    </w:p>
    <w:p w:rsidR="001A441C" w:rsidRDefault="001A441C" w:rsidP="008B6C2F">
      <w:pPr>
        <w:pStyle w:val="ListParagraph"/>
        <w:spacing w:line="360" w:lineRule="auto"/>
        <w:rPr>
          <w:szCs w:val="28"/>
        </w:rPr>
      </w:pPr>
    </w:p>
    <w:p w:rsidR="00A126E4" w:rsidRDefault="00A126E4" w:rsidP="003A323B">
      <w:pPr>
        <w:numPr>
          <w:ilvl w:val="0"/>
          <w:numId w:val="7"/>
        </w:numPr>
        <w:tabs>
          <w:tab w:val="clear" w:pos="1440"/>
          <w:tab w:val="clear" w:pos="4320"/>
          <w:tab w:val="clear" w:pos="9072"/>
          <w:tab w:val="left" w:pos="2160"/>
        </w:tabs>
        <w:snapToGrid/>
        <w:spacing w:line="360" w:lineRule="auto"/>
        <w:ind w:left="2160" w:hanging="720"/>
        <w:jc w:val="both"/>
        <w:rPr>
          <w:szCs w:val="28"/>
        </w:rPr>
      </w:pPr>
      <w:r w:rsidRPr="00A126E4">
        <w:rPr>
          <w:szCs w:val="28"/>
        </w:rPr>
        <w:t xml:space="preserve">Wong no longer has any interest in </w:t>
      </w:r>
      <w:r w:rsidR="00300A80">
        <w:rPr>
          <w:szCs w:val="28"/>
        </w:rPr>
        <w:t xml:space="preserve">the property at </w:t>
      </w:r>
      <w:r w:rsidRPr="00A126E4">
        <w:rPr>
          <w:szCs w:val="28"/>
        </w:rPr>
        <w:t>Address 2 after selling it out on 18 August 2014.</w:t>
      </w:r>
    </w:p>
    <w:p w:rsidR="001A441C" w:rsidRDefault="001A441C" w:rsidP="008B6C2F">
      <w:pPr>
        <w:pStyle w:val="ListParagraph"/>
        <w:spacing w:line="360" w:lineRule="auto"/>
        <w:rPr>
          <w:szCs w:val="28"/>
        </w:rPr>
      </w:pPr>
    </w:p>
    <w:p w:rsidR="00A126E4" w:rsidRDefault="00A126E4" w:rsidP="003A323B">
      <w:pPr>
        <w:numPr>
          <w:ilvl w:val="0"/>
          <w:numId w:val="7"/>
        </w:numPr>
        <w:tabs>
          <w:tab w:val="clear" w:pos="1440"/>
          <w:tab w:val="clear" w:pos="4320"/>
          <w:tab w:val="clear" w:pos="9072"/>
          <w:tab w:val="left" w:pos="2160"/>
        </w:tabs>
        <w:snapToGrid/>
        <w:spacing w:line="360" w:lineRule="auto"/>
        <w:ind w:left="2160" w:hanging="720"/>
        <w:jc w:val="both"/>
        <w:rPr>
          <w:szCs w:val="28"/>
        </w:rPr>
      </w:pPr>
      <w:r w:rsidRPr="00A126E4">
        <w:rPr>
          <w:szCs w:val="28"/>
        </w:rPr>
        <w:t>Although the property at Address 3 was and is owned by Wong, that property was let to a tenant Ms Wang Pong Yun (“Wang”) from 20 July 2013 to 19 July 2017.  Wang had always known Wong by his English name “Daniel Wong” instead of “Wong Wai Chung” to which the writs were addressed.  Wang had no idea as to who was “Wong Wai Chung”.  On the first two occasions of receiving mails addressed to “Wong Wai Chung” at Address 3, Wang returned the mails by putting them inside a postbox nearby and marked “return to sender” on the envelopes.  However, similar letters were continuously coming in.  Wang just threw them away.</w:t>
      </w:r>
      <w:r w:rsidR="001A441C">
        <w:rPr>
          <w:szCs w:val="28"/>
        </w:rPr>
        <w:t xml:space="preserve">  </w:t>
      </w:r>
      <w:r w:rsidRPr="00A126E4">
        <w:rPr>
          <w:szCs w:val="28"/>
        </w:rPr>
        <w:t>It never occurred to Wang that the mails containing the writs were aimed to be sent to Wong until Wong made enquiries with her about those mails on 8 May 2017.</w:t>
      </w:r>
    </w:p>
    <w:p w:rsidR="001A441C" w:rsidRDefault="001A441C" w:rsidP="008B6C2F">
      <w:pPr>
        <w:pStyle w:val="ListParagraph"/>
        <w:spacing w:line="360" w:lineRule="auto"/>
        <w:rPr>
          <w:szCs w:val="28"/>
        </w:rPr>
      </w:pPr>
    </w:p>
    <w:p w:rsidR="00A126E4" w:rsidRPr="00A126E4" w:rsidRDefault="00A126E4" w:rsidP="003A323B">
      <w:pPr>
        <w:numPr>
          <w:ilvl w:val="0"/>
          <w:numId w:val="7"/>
        </w:numPr>
        <w:tabs>
          <w:tab w:val="clear" w:pos="1440"/>
          <w:tab w:val="clear" w:pos="4320"/>
          <w:tab w:val="clear" w:pos="9072"/>
          <w:tab w:val="left" w:pos="2160"/>
        </w:tabs>
        <w:snapToGrid/>
        <w:spacing w:line="360" w:lineRule="auto"/>
        <w:ind w:left="2160" w:hanging="720"/>
        <w:jc w:val="both"/>
        <w:rPr>
          <w:szCs w:val="28"/>
        </w:rPr>
      </w:pPr>
      <w:r w:rsidRPr="00A126E4">
        <w:rPr>
          <w:szCs w:val="28"/>
        </w:rPr>
        <w:t>Since around July 2013, Wong has been living at No</w:t>
      </w:r>
      <w:r w:rsidR="001A441C">
        <w:rPr>
          <w:szCs w:val="28"/>
        </w:rPr>
        <w:t> </w:t>
      </w:r>
      <w:r w:rsidRPr="00A126E4">
        <w:rPr>
          <w:szCs w:val="28"/>
        </w:rPr>
        <w:t>164 Kam Shan Village, Tai Po, New Territories (“the Tai Po Address”).</w:t>
      </w:r>
    </w:p>
    <w:p w:rsidR="00A126E4" w:rsidRPr="00A126E4" w:rsidRDefault="00A126E4" w:rsidP="008B6C2F">
      <w:pPr>
        <w:tabs>
          <w:tab w:val="clear" w:pos="1440"/>
          <w:tab w:val="clear" w:pos="4320"/>
          <w:tab w:val="clear" w:pos="9072"/>
        </w:tabs>
        <w:snapToGrid/>
        <w:spacing w:line="360" w:lineRule="auto"/>
        <w:ind w:left="720"/>
        <w:rPr>
          <w:szCs w:val="28"/>
        </w:rPr>
      </w:pPr>
    </w:p>
    <w:p w:rsidR="00A126E4" w:rsidRDefault="00A126E4" w:rsidP="003A323B">
      <w:pPr>
        <w:pStyle w:val="ListParagraph"/>
        <w:numPr>
          <w:ilvl w:val="0"/>
          <w:numId w:val="3"/>
        </w:numPr>
        <w:tabs>
          <w:tab w:val="clear" w:pos="4320"/>
          <w:tab w:val="clear" w:pos="9072"/>
        </w:tabs>
        <w:spacing w:line="360" w:lineRule="auto"/>
        <w:ind w:left="0" w:firstLine="0"/>
        <w:jc w:val="both"/>
        <w:rPr>
          <w:szCs w:val="28"/>
        </w:rPr>
      </w:pPr>
      <w:r w:rsidRPr="00A126E4">
        <w:rPr>
          <w:szCs w:val="28"/>
        </w:rPr>
        <w:t>Wong also contends that he has a meritorious defence to the claim in each of the 3 actions.</w:t>
      </w:r>
    </w:p>
    <w:p w:rsidR="001A441C" w:rsidRPr="001A441C" w:rsidRDefault="001A441C" w:rsidP="008B6C2F">
      <w:pPr>
        <w:tabs>
          <w:tab w:val="clear" w:pos="4320"/>
          <w:tab w:val="clear" w:pos="9072"/>
        </w:tabs>
        <w:spacing w:line="360" w:lineRule="auto"/>
        <w:jc w:val="both"/>
        <w:rPr>
          <w:szCs w:val="28"/>
        </w:rPr>
      </w:pPr>
    </w:p>
    <w:p w:rsidR="00A126E4" w:rsidRDefault="00A126E4" w:rsidP="003A323B">
      <w:pPr>
        <w:numPr>
          <w:ilvl w:val="0"/>
          <w:numId w:val="8"/>
        </w:numPr>
        <w:tabs>
          <w:tab w:val="clear" w:pos="1440"/>
          <w:tab w:val="clear" w:pos="4320"/>
          <w:tab w:val="clear" w:pos="9072"/>
          <w:tab w:val="left" w:pos="2160"/>
        </w:tabs>
        <w:snapToGrid/>
        <w:spacing w:line="360" w:lineRule="auto"/>
        <w:ind w:left="2160" w:hanging="720"/>
        <w:jc w:val="both"/>
        <w:rPr>
          <w:szCs w:val="28"/>
        </w:rPr>
      </w:pPr>
      <w:r w:rsidRPr="00A126E4">
        <w:rPr>
          <w:szCs w:val="28"/>
        </w:rPr>
        <w:t>He was found not guilty on Charge 1 by MCHK.</w:t>
      </w:r>
    </w:p>
    <w:p w:rsidR="001A441C" w:rsidRPr="00A126E4" w:rsidRDefault="001A441C" w:rsidP="008B6C2F">
      <w:pPr>
        <w:tabs>
          <w:tab w:val="clear" w:pos="1440"/>
          <w:tab w:val="clear" w:pos="4320"/>
          <w:tab w:val="clear" w:pos="9072"/>
          <w:tab w:val="left" w:pos="2160"/>
        </w:tabs>
        <w:snapToGrid/>
        <w:spacing w:line="360" w:lineRule="auto"/>
        <w:jc w:val="both"/>
        <w:rPr>
          <w:szCs w:val="28"/>
        </w:rPr>
      </w:pPr>
    </w:p>
    <w:p w:rsidR="00A126E4" w:rsidRPr="00A126E4" w:rsidRDefault="00A126E4" w:rsidP="003A323B">
      <w:pPr>
        <w:numPr>
          <w:ilvl w:val="0"/>
          <w:numId w:val="8"/>
        </w:numPr>
        <w:tabs>
          <w:tab w:val="clear" w:pos="1440"/>
          <w:tab w:val="clear" w:pos="4320"/>
          <w:tab w:val="clear" w:pos="9072"/>
          <w:tab w:val="left" w:pos="2160"/>
        </w:tabs>
        <w:snapToGrid/>
        <w:spacing w:line="360" w:lineRule="auto"/>
        <w:ind w:left="2160" w:hanging="720"/>
        <w:jc w:val="both"/>
        <w:rPr>
          <w:szCs w:val="28"/>
        </w:rPr>
      </w:pPr>
      <w:r w:rsidRPr="00A126E4">
        <w:rPr>
          <w:szCs w:val="28"/>
        </w:rPr>
        <w:t>Although he was found guilty on Charge 2 and Charge</w:t>
      </w:r>
      <w:r w:rsidR="00D16E04">
        <w:rPr>
          <w:szCs w:val="28"/>
        </w:rPr>
        <w:t> </w:t>
      </w:r>
      <w:r w:rsidRPr="00A126E4">
        <w:rPr>
          <w:szCs w:val="28"/>
        </w:rPr>
        <w:t>3, Kwok and Cheng have adduced no evidence to prove the alleged loss and damage caused by Wong’s improper prescription.</w:t>
      </w:r>
    </w:p>
    <w:p w:rsidR="00A126E4" w:rsidRPr="00A126E4" w:rsidRDefault="00A126E4" w:rsidP="008B6C2F">
      <w:pPr>
        <w:tabs>
          <w:tab w:val="clear" w:pos="1440"/>
          <w:tab w:val="clear" w:pos="4320"/>
          <w:tab w:val="clear" w:pos="9072"/>
        </w:tabs>
        <w:snapToGrid/>
        <w:spacing w:line="360" w:lineRule="auto"/>
        <w:rPr>
          <w:szCs w:val="28"/>
        </w:rPr>
      </w:pPr>
    </w:p>
    <w:p w:rsidR="00A126E4" w:rsidRPr="001A441C" w:rsidRDefault="00A126E4" w:rsidP="008B6C2F">
      <w:pPr>
        <w:tabs>
          <w:tab w:val="clear" w:pos="1440"/>
          <w:tab w:val="clear" w:pos="4320"/>
          <w:tab w:val="clear" w:pos="9072"/>
        </w:tabs>
        <w:snapToGrid/>
        <w:spacing w:line="360" w:lineRule="auto"/>
        <w:rPr>
          <w:i/>
          <w:szCs w:val="28"/>
        </w:rPr>
      </w:pPr>
      <w:r w:rsidRPr="001A441C">
        <w:rPr>
          <w:i/>
          <w:szCs w:val="28"/>
        </w:rPr>
        <w:t>The principles</w:t>
      </w:r>
    </w:p>
    <w:p w:rsidR="00A126E4" w:rsidRPr="00A126E4" w:rsidRDefault="00A126E4" w:rsidP="008B6C2F">
      <w:pPr>
        <w:tabs>
          <w:tab w:val="clear" w:pos="1440"/>
          <w:tab w:val="clear" w:pos="4320"/>
          <w:tab w:val="clear" w:pos="9072"/>
        </w:tabs>
        <w:snapToGrid/>
        <w:spacing w:line="360" w:lineRule="auto"/>
        <w:rPr>
          <w:szCs w:val="28"/>
        </w:rPr>
      </w:pPr>
    </w:p>
    <w:p w:rsidR="00A126E4" w:rsidRPr="00A126E4" w:rsidRDefault="00A126E4" w:rsidP="003A323B">
      <w:pPr>
        <w:pStyle w:val="ListParagraph"/>
        <w:numPr>
          <w:ilvl w:val="0"/>
          <w:numId w:val="3"/>
        </w:numPr>
        <w:tabs>
          <w:tab w:val="clear" w:pos="4320"/>
          <w:tab w:val="clear" w:pos="9072"/>
        </w:tabs>
        <w:spacing w:line="360" w:lineRule="auto"/>
        <w:ind w:left="0" w:firstLine="0"/>
        <w:jc w:val="both"/>
        <w:rPr>
          <w:szCs w:val="28"/>
        </w:rPr>
      </w:pPr>
      <w:r w:rsidRPr="00A126E4">
        <w:rPr>
          <w:szCs w:val="28"/>
        </w:rPr>
        <w:t xml:space="preserve">The principles concerning setting aside a default judgment are well known.  The starting point is effective service means the proceedings have been brought to the notice of the defendant and not merely delivery of the writ to his usual or last known address.  However, when service of proceedings has been effected in accordance with Order 10 rule 1(2), if the defendant claims that he does not have notice of the proceedings, he bears the burden to prove this by convincing evidence.  The court is not bound to accept his bare allegation but is entitled to review the evidence provided by him critically.  See </w:t>
      </w:r>
      <w:r w:rsidRPr="00A126E4">
        <w:rPr>
          <w:i/>
          <w:szCs w:val="28"/>
        </w:rPr>
        <w:t>New York Life Insurance Worldwide Ltd v Chan Wai Man Anthony</w:t>
      </w:r>
      <w:r w:rsidRPr="00A126E4">
        <w:rPr>
          <w:szCs w:val="28"/>
        </w:rPr>
        <w:t xml:space="preserve"> (DCCJ 3843/2008, 29 March 2011), per HH Judge Wilson Chan (as he then was):</w:t>
      </w:r>
      <w:r w:rsidR="001A441C">
        <w:rPr>
          <w:szCs w:val="28"/>
        </w:rPr>
        <w:t>-</w:t>
      </w:r>
    </w:p>
    <w:p w:rsidR="00A126E4" w:rsidRPr="00A126E4" w:rsidRDefault="00A126E4" w:rsidP="008B6C2F">
      <w:pPr>
        <w:tabs>
          <w:tab w:val="clear" w:pos="1440"/>
          <w:tab w:val="clear" w:pos="4320"/>
          <w:tab w:val="clear" w:pos="9072"/>
        </w:tabs>
        <w:snapToGrid/>
        <w:spacing w:line="360" w:lineRule="auto"/>
        <w:rPr>
          <w:szCs w:val="28"/>
        </w:rPr>
      </w:pPr>
    </w:p>
    <w:p w:rsidR="00A126E4" w:rsidRPr="001A441C" w:rsidRDefault="00A126E4" w:rsidP="00D16E04">
      <w:pPr>
        <w:tabs>
          <w:tab w:val="clear" w:pos="1440"/>
          <w:tab w:val="clear" w:pos="4320"/>
          <w:tab w:val="clear" w:pos="9072"/>
          <w:tab w:val="left" w:pos="2160"/>
        </w:tabs>
        <w:snapToGrid/>
        <w:ind w:left="1440" w:right="749"/>
        <w:jc w:val="both"/>
        <w:rPr>
          <w:sz w:val="24"/>
          <w:szCs w:val="24"/>
        </w:rPr>
      </w:pPr>
      <w:r w:rsidRPr="001A441C">
        <w:rPr>
          <w:sz w:val="24"/>
          <w:szCs w:val="24"/>
        </w:rPr>
        <w:t>“5.</w:t>
      </w:r>
      <w:r w:rsidRPr="001A441C">
        <w:rPr>
          <w:sz w:val="24"/>
          <w:szCs w:val="24"/>
        </w:rPr>
        <w:tab/>
        <w:t xml:space="preserve">In </w:t>
      </w:r>
      <w:r w:rsidRPr="001A441C">
        <w:rPr>
          <w:i/>
          <w:sz w:val="24"/>
          <w:szCs w:val="24"/>
        </w:rPr>
        <w:t>Cosec Nominees Limited v Lau Hon Ming Alan</w:t>
      </w:r>
      <w:r w:rsidRPr="001A441C">
        <w:rPr>
          <w:sz w:val="24"/>
          <w:szCs w:val="24"/>
        </w:rPr>
        <w:t xml:space="preserve"> [2001] 3 HKC 290, Deputy High Court Judge Jeremy Poon (as he then was) held that under Order 10, rule 1(2) of the Rules of the High Court, service of proceedings is duly effected when the proceedings are brought to the notice of a defendant and not on merely delivery of the Writ to his last known address.</w:t>
      </w:r>
    </w:p>
    <w:p w:rsidR="00A126E4" w:rsidRPr="001A441C" w:rsidRDefault="00A126E4" w:rsidP="00D16E04">
      <w:pPr>
        <w:tabs>
          <w:tab w:val="clear" w:pos="1440"/>
          <w:tab w:val="clear" w:pos="4320"/>
          <w:tab w:val="clear" w:pos="9072"/>
          <w:tab w:val="left" w:pos="2160"/>
        </w:tabs>
        <w:snapToGrid/>
        <w:ind w:left="1440" w:right="749"/>
        <w:jc w:val="both"/>
        <w:rPr>
          <w:sz w:val="24"/>
          <w:szCs w:val="24"/>
        </w:rPr>
      </w:pPr>
    </w:p>
    <w:p w:rsidR="00A126E4" w:rsidRPr="001A441C" w:rsidRDefault="00A126E4" w:rsidP="00D16E04">
      <w:pPr>
        <w:tabs>
          <w:tab w:val="clear" w:pos="1440"/>
          <w:tab w:val="clear" w:pos="4320"/>
          <w:tab w:val="clear" w:pos="9072"/>
          <w:tab w:val="left" w:pos="2160"/>
        </w:tabs>
        <w:snapToGrid/>
        <w:ind w:left="1440" w:right="749"/>
        <w:jc w:val="both"/>
        <w:rPr>
          <w:sz w:val="24"/>
          <w:szCs w:val="24"/>
        </w:rPr>
      </w:pPr>
      <w:r w:rsidRPr="001A441C">
        <w:rPr>
          <w:sz w:val="24"/>
          <w:szCs w:val="24"/>
        </w:rPr>
        <w:t>6.</w:t>
      </w:r>
      <w:r w:rsidRPr="001A441C">
        <w:rPr>
          <w:sz w:val="24"/>
          <w:szCs w:val="24"/>
        </w:rPr>
        <w:tab/>
        <w:t>In paragraph 17 of the Master’s Decision, the learned Master set out an often-quoted passage from the Hong Kong Civil Procedure, saying that in a case where a defendant deposes that he had not received the Writ through the post, the court has little option but to believe this, save where there is sufficient material to cast doubt upon the defendant’s credibility to enable the court to disbelieve him.</w:t>
      </w:r>
    </w:p>
    <w:p w:rsidR="00A126E4" w:rsidRPr="001A441C" w:rsidRDefault="00A126E4" w:rsidP="00D16E04">
      <w:pPr>
        <w:tabs>
          <w:tab w:val="clear" w:pos="1440"/>
          <w:tab w:val="clear" w:pos="4320"/>
          <w:tab w:val="clear" w:pos="9072"/>
          <w:tab w:val="left" w:pos="2160"/>
        </w:tabs>
        <w:snapToGrid/>
        <w:ind w:left="1440" w:right="749"/>
        <w:jc w:val="both"/>
        <w:rPr>
          <w:sz w:val="24"/>
          <w:szCs w:val="24"/>
        </w:rPr>
      </w:pPr>
    </w:p>
    <w:p w:rsidR="00A126E4" w:rsidRPr="001A441C" w:rsidRDefault="00A126E4" w:rsidP="00D16E04">
      <w:pPr>
        <w:tabs>
          <w:tab w:val="clear" w:pos="1440"/>
          <w:tab w:val="clear" w:pos="4320"/>
          <w:tab w:val="clear" w:pos="9072"/>
          <w:tab w:val="left" w:pos="2160"/>
        </w:tabs>
        <w:snapToGrid/>
        <w:ind w:left="1440" w:right="749"/>
        <w:jc w:val="both"/>
        <w:rPr>
          <w:sz w:val="24"/>
          <w:szCs w:val="24"/>
        </w:rPr>
      </w:pPr>
      <w:r w:rsidRPr="001A441C">
        <w:rPr>
          <w:sz w:val="24"/>
          <w:szCs w:val="24"/>
        </w:rPr>
        <w:t>7.</w:t>
      </w:r>
      <w:r w:rsidRPr="001A441C">
        <w:rPr>
          <w:sz w:val="24"/>
          <w:szCs w:val="24"/>
        </w:rPr>
        <w:tab/>
        <w:t xml:space="preserve">I think this may have put the matter too much in favour of a defendant. In </w:t>
      </w:r>
      <w:r w:rsidRPr="001A441C">
        <w:rPr>
          <w:i/>
          <w:sz w:val="24"/>
          <w:szCs w:val="24"/>
        </w:rPr>
        <w:t>Bank of China (Hong Kong) Limited v Cheung King Fung</w:t>
      </w:r>
      <w:r w:rsidRPr="001A441C">
        <w:rPr>
          <w:sz w:val="24"/>
          <w:szCs w:val="24"/>
        </w:rPr>
        <w:t xml:space="preserve"> [2007] 1 HKLRD 462, at paragraphs 33 and 34, after referring to the same passage in the Hong Kong Civil Procedure, Tang JA (as he then was) had this to say: </w:t>
      </w:r>
    </w:p>
    <w:p w:rsidR="001B556B" w:rsidRDefault="001B556B" w:rsidP="00D16E04">
      <w:pPr>
        <w:tabs>
          <w:tab w:val="clear" w:pos="1440"/>
          <w:tab w:val="clear" w:pos="4320"/>
          <w:tab w:val="clear" w:pos="9072"/>
          <w:tab w:val="left" w:pos="2160"/>
        </w:tabs>
        <w:snapToGrid/>
        <w:ind w:left="2160" w:right="749"/>
        <w:jc w:val="both"/>
        <w:rPr>
          <w:sz w:val="24"/>
          <w:szCs w:val="24"/>
        </w:rPr>
      </w:pPr>
    </w:p>
    <w:p w:rsidR="00A126E4" w:rsidRDefault="00A126E4" w:rsidP="00D16E04">
      <w:pPr>
        <w:tabs>
          <w:tab w:val="clear" w:pos="1440"/>
          <w:tab w:val="clear" w:pos="4320"/>
          <w:tab w:val="clear" w:pos="9072"/>
          <w:tab w:val="left" w:pos="2160"/>
          <w:tab w:val="left" w:pos="2880"/>
        </w:tabs>
        <w:snapToGrid/>
        <w:ind w:left="2160" w:right="749"/>
        <w:jc w:val="both"/>
        <w:rPr>
          <w:sz w:val="24"/>
          <w:szCs w:val="24"/>
        </w:rPr>
      </w:pPr>
      <w:r w:rsidRPr="001A441C">
        <w:rPr>
          <w:rFonts w:hint="eastAsia"/>
          <w:sz w:val="24"/>
          <w:szCs w:val="24"/>
        </w:rPr>
        <w:t>“</w:t>
      </w:r>
      <w:r w:rsidRPr="001A441C">
        <w:rPr>
          <w:sz w:val="24"/>
          <w:szCs w:val="24"/>
        </w:rPr>
        <w:t>33.</w:t>
      </w:r>
      <w:r w:rsidR="001B556B">
        <w:rPr>
          <w:sz w:val="24"/>
          <w:szCs w:val="24"/>
        </w:rPr>
        <w:tab/>
      </w:r>
      <w:r w:rsidRPr="001A441C">
        <w:rPr>
          <w:sz w:val="24"/>
          <w:szCs w:val="24"/>
        </w:rPr>
        <w:t>We do not read this as suggesting that the court must accept a defendant’s assertion no matter how improbable.</w:t>
      </w:r>
    </w:p>
    <w:p w:rsidR="001B556B" w:rsidRPr="001A441C" w:rsidRDefault="001B556B" w:rsidP="00D16E04">
      <w:pPr>
        <w:tabs>
          <w:tab w:val="clear" w:pos="1440"/>
          <w:tab w:val="clear" w:pos="4320"/>
          <w:tab w:val="clear" w:pos="9072"/>
          <w:tab w:val="left" w:pos="2160"/>
          <w:tab w:val="left" w:pos="2880"/>
        </w:tabs>
        <w:snapToGrid/>
        <w:ind w:left="2160" w:right="749"/>
        <w:jc w:val="both"/>
        <w:rPr>
          <w:sz w:val="24"/>
          <w:szCs w:val="24"/>
        </w:rPr>
      </w:pPr>
    </w:p>
    <w:p w:rsidR="00A126E4" w:rsidRPr="001A441C" w:rsidRDefault="00A126E4" w:rsidP="00D16E04">
      <w:pPr>
        <w:tabs>
          <w:tab w:val="clear" w:pos="1440"/>
          <w:tab w:val="clear" w:pos="4320"/>
          <w:tab w:val="clear" w:pos="9072"/>
          <w:tab w:val="left" w:pos="2880"/>
        </w:tabs>
        <w:snapToGrid/>
        <w:ind w:left="2160" w:right="749"/>
        <w:jc w:val="both"/>
        <w:rPr>
          <w:sz w:val="24"/>
          <w:szCs w:val="24"/>
        </w:rPr>
      </w:pPr>
      <w:r w:rsidRPr="001A441C">
        <w:rPr>
          <w:sz w:val="24"/>
          <w:szCs w:val="24"/>
        </w:rPr>
        <w:t xml:space="preserve">34.  </w:t>
      </w:r>
      <w:r w:rsidR="001B556B">
        <w:rPr>
          <w:sz w:val="24"/>
          <w:szCs w:val="24"/>
        </w:rPr>
        <w:tab/>
      </w:r>
      <w:r w:rsidRPr="001A441C">
        <w:rPr>
          <w:sz w:val="24"/>
          <w:szCs w:val="24"/>
        </w:rPr>
        <w:t xml:space="preserve">It is quite clear from </w:t>
      </w:r>
      <w:r w:rsidRPr="001A441C">
        <w:rPr>
          <w:i/>
          <w:sz w:val="24"/>
          <w:szCs w:val="24"/>
        </w:rPr>
        <w:t>Forward v West Sussex County Council &amp; Others</w:t>
      </w:r>
      <w:r w:rsidRPr="001A441C">
        <w:rPr>
          <w:sz w:val="24"/>
          <w:szCs w:val="24"/>
        </w:rPr>
        <w:t xml:space="preserve"> [1995] 1 WLR 1469, that </w:t>
      </w:r>
      <w:r w:rsidRPr="001A441C">
        <w:rPr>
          <w:b/>
          <w:sz w:val="24"/>
          <w:szCs w:val="24"/>
        </w:rPr>
        <w:t>a defendant is required to provide “convincing evidence”</w:t>
      </w:r>
      <w:r w:rsidRPr="001A441C">
        <w:rPr>
          <w:sz w:val="24"/>
          <w:szCs w:val="24"/>
        </w:rPr>
        <w:t xml:space="preserve">: at page 1473G.  The Master of the Rolls went on to say of the Judge that “He was in our view </w:t>
      </w:r>
      <w:r w:rsidRPr="001A441C">
        <w:rPr>
          <w:b/>
          <w:sz w:val="24"/>
          <w:szCs w:val="24"/>
        </w:rPr>
        <w:t>quite right to be sceptical</w:t>
      </w:r>
      <w:r w:rsidRPr="001A441C">
        <w:rPr>
          <w:sz w:val="24"/>
          <w:szCs w:val="24"/>
        </w:rPr>
        <w:t xml:space="preserve"> of the contention that the fourth defendant had not received the writ in the absence of compelling evidence to show that it had not been forwarded on to him, as would in the ordinary course be accepted”: at page 1474H.  Of course, how much evidence is required must depend on the circumstances of the particular case.”</w:t>
      </w:r>
    </w:p>
    <w:p w:rsidR="00A126E4" w:rsidRPr="001A441C" w:rsidRDefault="00A126E4" w:rsidP="00D16E04">
      <w:pPr>
        <w:tabs>
          <w:tab w:val="clear" w:pos="1440"/>
          <w:tab w:val="clear" w:pos="4320"/>
          <w:tab w:val="clear" w:pos="9072"/>
          <w:tab w:val="left" w:pos="2160"/>
        </w:tabs>
        <w:snapToGrid/>
        <w:ind w:left="1440" w:right="749"/>
        <w:jc w:val="both"/>
        <w:rPr>
          <w:sz w:val="24"/>
          <w:szCs w:val="24"/>
        </w:rPr>
      </w:pPr>
    </w:p>
    <w:p w:rsidR="00A126E4" w:rsidRPr="001A441C" w:rsidRDefault="00A126E4" w:rsidP="00D16E04">
      <w:pPr>
        <w:tabs>
          <w:tab w:val="clear" w:pos="1440"/>
          <w:tab w:val="clear" w:pos="4320"/>
          <w:tab w:val="clear" w:pos="9072"/>
          <w:tab w:val="left" w:pos="2160"/>
        </w:tabs>
        <w:snapToGrid/>
        <w:ind w:left="1440" w:right="749"/>
        <w:jc w:val="both"/>
        <w:rPr>
          <w:sz w:val="24"/>
          <w:szCs w:val="24"/>
        </w:rPr>
      </w:pPr>
      <w:r w:rsidRPr="001A441C">
        <w:rPr>
          <w:sz w:val="24"/>
          <w:szCs w:val="24"/>
        </w:rPr>
        <w:t>8.</w:t>
      </w:r>
      <w:r w:rsidRPr="001A441C">
        <w:rPr>
          <w:sz w:val="24"/>
          <w:szCs w:val="24"/>
        </w:rPr>
        <w:tab/>
        <w:t xml:space="preserve">Thus, where service has been properly effected under Order 10, rule 1(2), </w:t>
      </w:r>
      <w:r w:rsidRPr="001A441C">
        <w:rPr>
          <w:b/>
          <w:sz w:val="24"/>
          <w:szCs w:val="24"/>
        </w:rPr>
        <w:t>the burden is on the defendant</w:t>
      </w:r>
      <w:r w:rsidRPr="001A441C">
        <w:rPr>
          <w:sz w:val="24"/>
          <w:szCs w:val="24"/>
        </w:rPr>
        <w:t xml:space="preserve"> to show that the proceedings were not brought to his notice.” (Emphasis added) </w:t>
      </w:r>
    </w:p>
    <w:p w:rsidR="00A126E4" w:rsidRPr="00A126E4" w:rsidRDefault="00A126E4" w:rsidP="008B6C2F">
      <w:pPr>
        <w:tabs>
          <w:tab w:val="clear" w:pos="1440"/>
          <w:tab w:val="clear" w:pos="4320"/>
          <w:tab w:val="clear" w:pos="9072"/>
        </w:tabs>
        <w:snapToGrid/>
        <w:spacing w:line="360" w:lineRule="auto"/>
        <w:rPr>
          <w:szCs w:val="28"/>
        </w:rPr>
      </w:pPr>
    </w:p>
    <w:p w:rsidR="00A126E4" w:rsidRPr="00A126E4" w:rsidRDefault="00A126E4" w:rsidP="009E60CD">
      <w:pPr>
        <w:pStyle w:val="ListParagraph"/>
        <w:keepNext/>
        <w:keepLines/>
        <w:widowControl w:val="0"/>
        <w:numPr>
          <w:ilvl w:val="0"/>
          <w:numId w:val="3"/>
        </w:numPr>
        <w:tabs>
          <w:tab w:val="clear" w:pos="4320"/>
          <w:tab w:val="clear" w:pos="9072"/>
        </w:tabs>
        <w:spacing w:line="360" w:lineRule="auto"/>
        <w:ind w:left="0" w:firstLine="0"/>
        <w:jc w:val="both"/>
        <w:rPr>
          <w:szCs w:val="28"/>
        </w:rPr>
      </w:pPr>
      <w:r w:rsidRPr="00A126E4">
        <w:rPr>
          <w:szCs w:val="28"/>
        </w:rPr>
        <w:lastRenderedPageBreak/>
        <w:t xml:space="preserve">The phrase “usual or last known address” in Order 10 rule 1(2) should be read disjunctively.  That address does not confine to the defendant’s residence, but means a location where the defendant may be reached or where written communication could be established.  See </w:t>
      </w:r>
      <w:r w:rsidRPr="00A126E4">
        <w:rPr>
          <w:i/>
          <w:szCs w:val="28"/>
        </w:rPr>
        <w:t>Lau Ying Sau Sailing &amp; anor v Wan Kwan Cheung</w:t>
      </w:r>
      <w:r w:rsidRPr="00A126E4">
        <w:rPr>
          <w:szCs w:val="28"/>
        </w:rPr>
        <w:t xml:space="preserve"> (DCCJ 1405/2010, 7 March 2012), per DDJ Grace Chan (as she then was):</w:t>
      </w:r>
      <w:r w:rsidR="001B556B">
        <w:rPr>
          <w:szCs w:val="28"/>
        </w:rPr>
        <w:t>-</w:t>
      </w:r>
    </w:p>
    <w:p w:rsidR="00A126E4" w:rsidRPr="00A126E4" w:rsidRDefault="00A126E4" w:rsidP="008B6C2F">
      <w:pPr>
        <w:tabs>
          <w:tab w:val="clear" w:pos="1440"/>
          <w:tab w:val="clear" w:pos="4320"/>
          <w:tab w:val="clear" w:pos="9072"/>
        </w:tabs>
        <w:snapToGrid/>
        <w:spacing w:line="360" w:lineRule="auto"/>
        <w:rPr>
          <w:szCs w:val="28"/>
        </w:rPr>
      </w:pPr>
    </w:p>
    <w:p w:rsidR="00A126E4" w:rsidRPr="001B556B" w:rsidRDefault="00A126E4" w:rsidP="00D16E04">
      <w:pPr>
        <w:tabs>
          <w:tab w:val="clear" w:pos="1440"/>
          <w:tab w:val="clear" w:pos="4320"/>
          <w:tab w:val="clear" w:pos="9072"/>
          <w:tab w:val="left" w:pos="2160"/>
        </w:tabs>
        <w:snapToGrid/>
        <w:ind w:left="1440" w:right="749"/>
        <w:jc w:val="both"/>
        <w:rPr>
          <w:sz w:val="24"/>
          <w:szCs w:val="24"/>
        </w:rPr>
      </w:pPr>
      <w:r w:rsidRPr="001B556B">
        <w:rPr>
          <w:sz w:val="24"/>
          <w:szCs w:val="24"/>
        </w:rPr>
        <w:t>“15.</w:t>
      </w:r>
      <w:r w:rsidRPr="001B556B">
        <w:rPr>
          <w:sz w:val="24"/>
          <w:szCs w:val="24"/>
        </w:rPr>
        <w:tab/>
        <w:t xml:space="preserve">It is established law that “usual or last known address” in Order 10 rule 1(2) should be read disjunctively, which means that a defendant may be served at either his “usual” or his “last known” address. The word “address” does not confine to a person’s residence, but essentially means </w:t>
      </w:r>
      <w:r w:rsidRPr="001B556B">
        <w:rPr>
          <w:b/>
          <w:sz w:val="24"/>
          <w:szCs w:val="24"/>
        </w:rPr>
        <w:t>a location where a person may be reached or where contact or communication in written form, such as letter, could be established</w:t>
      </w:r>
      <w:r w:rsidRPr="001B556B">
        <w:rPr>
          <w:sz w:val="24"/>
          <w:szCs w:val="24"/>
        </w:rPr>
        <w:t xml:space="preserve">.  A defendant may have a number of last known addresses as well as a number of usual addresses, but there is no need for the plaintiff to effect service of the originating process on all of such addresses. Proper service of the originating process on any one of the defendant’s last known addresses or any one of his usual addresses will suffice: </w:t>
      </w:r>
      <w:r w:rsidRPr="001B556B">
        <w:rPr>
          <w:i/>
          <w:sz w:val="24"/>
          <w:szCs w:val="24"/>
        </w:rPr>
        <w:t>The Hong Kong Mortgage Corporation Limited v Ching Kit Yu &amp; anor</w:t>
      </w:r>
      <w:r w:rsidRPr="001B556B">
        <w:rPr>
          <w:sz w:val="24"/>
          <w:szCs w:val="24"/>
        </w:rPr>
        <w:t xml:space="preserve"> HCMP 2226/2002, per Deputy High Court Judge To (as he then was).”</w:t>
      </w:r>
    </w:p>
    <w:p w:rsidR="00A126E4" w:rsidRPr="00A126E4" w:rsidRDefault="00A126E4" w:rsidP="008B6C2F">
      <w:pPr>
        <w:tabs>
          <w:tab w:val="clear" w:pos="1440"/>
          <w:tab w:val="clear" w:pos="4320"/>
          <w:tab w:val="clear" w:pos="9072"/>
        </w:tabs>
        <w:snapToGrid/>
        <w:spacing w:line="360" w:lineRule="auto"/>
        <w:rPr>
          <w:szCs w:val="28"/>
        </w:rPr>
      </w:pPr>
    </w:p>
    <w:p w:rsidR="00A126E4" w:rsidRDefault="00A126E4" w:rsidP="003A323B">
      <w:pPr>
        <w:pStyle w:val="ListParagraph"/>
        <w:numPr>
          <w:ilvl w:val="0"/>
          <w:numId w:val="3"/>
        </w:numPr>
        <w:tabs>
          <w:tab w:val="clear" w:pos="4320"/>
          <w:tab w:val="clear" w:pos="9072"/>
        </w:tabs>
        <w:spacing w:line="360" w:lineRule="auto"/>
        <w:ind w:left="0" w:firstLine="0"/>
        <w:jc w:val="both"/>
        <w:rPr>
          <w:szCs w:val="28"/>
        </w:rPr>
      </w:pPr>
      <w:r w:rsidRPr="00A126E4">
        <w:rPr>
          <w:szCs w:val="28"/>
        </w:rPr>
        <w:t xml:space="preserve">If the default judgment is a regular one, the defendant has to adduce evidence carrying some degree of conviction to show that he has a real prospect of success (not just merely an arguable defence) if he is given a chance to defend the case.  See </w:t>
      </w:r>
      <w:r w:rsidRPr="00A126E4">
        <w:rPr>
          <w:i/>
          <w:szCs w:val="28"/>
        </w:rPr>
        <w:t>Premier Fashion Wears Ltd v Li Hing</w:t>
      </w:r>
      <w:r w:rsidR="001B556B">
        <w:rPr>
          <w:i/>
          <w:szCs w:val="28"/>
        </w:rPr>
        <w:t xml:space="preserve"> C</w:t>
      </w:r>
      <w:r w:rsidRPr="00A126E4">
        <w:rPr>
          <w:i/>
          <w:szCs w:val="28"/>
        </w:rPr>
        <w:t>hung</w:t>
      </w:r>
      <w:r w:rsidRPr="00A126E4">
        <w:rPr>
          <w:szCs w:val="28"/>
        </w:rPr>
        <w:t xml:space="preserve"> [1994] 1 HKLR 377, per Godfrey JA </w:t>
      </w:r>
      <w:r w:rsidR="00300A80">
        <w:rPr>
          <w:szCs w:val="28"/>
        </w:rPr>
        <w:t xml:space="preserve">(as he then was) </w:t>
      </w:r>
      <w:r w:rsidRPr="00A126E4">
        <w:rPr>
          <w:szCs w:val="28"/>
        </w:rPr>
        <w:t>at 383:</w:t>
      </w:r>
      <w:r w:rsidR="001B556B">
        <w:rPr>
          <w:szCs w:val="28"/>
        </w:rPr>
        <w:t>-</w:t>
      </w:r>
    </w:p>
    <w:p w:rsidR="001B556B" w:rsidRPr="001B556B" w:rsidRDefault="001B556B" w:rsidP="008B6C2F">
      <w:pPr>
        <w:tabs>
          <w:tab w:val="clear" w:pos="4320"/>
          <w:tab w:val="clear" w:pos="9072"/>
        </w:tabs>
        <w:spacing w:line="360" w:lineRule="auto"/>
        <w:jc w:val="both"/>
        <w:rPr>
          <w:szCs w:val="28"/>
        </w:rPr>
      </w:pPr>
    </w:p>
    <w:p w:rsidR="00A126E4" w:rsidRPr="001B556B" w:rsidRDefault="00A126E4" w:rsidP="00D16E04">
      <w:pPr>
        <w:tabs>
          <w:tab w:val="clear" w:pos="1440"/>
          <w:tab w:val="clear" w:pos="4320"/>
          <w:tab w:val="clear" w:pos="9072"/>
          <w:tab w:val="left" w:pos="2160"/>
        </w:tabs>
        <w:snapToGrid/>
        <w:ind w:left="1440" w:right="749"/>
        <w:jc w:val="both"/>
        <w:rPr>
          <w:sz w:val="24"/>
          <w:szCs w:val="24"/>
        </w:rPr>
      </w:pPr>
      <w:r w:rsidRPr="001B556B">
        <w:rPr>
          <w:sz w:val="24"/>
          <w:szCs w:val="24"/>
        </w:rPr>
        <w:t xml:space="preserve">“Of the modern cases, I would single out </w:t>
      </w:r>
      <w:r w:rsidRPr="00300A80">
        <w:rPr>
          <w:i/>
          <w:sz w:val="24"/>
          <w:szCs w:val="24"/>
        </w:rPr>
        <w:t>Alpine Bulk Transport Co. Inc. v. Saudi Eagle Shipping Co. Inc.</w:t>
      </w:r>
      <w:r w:rsidRPr="001B556B">
        <w:rPr>
          <w:sz w:val="24"/>
          <w:szCs w:val="24"/>
        </w:rPr>
        <w:t xml:space="preserve"> [1986] 2 Lloyd's Rep 221. This, I believe, shows that for the purposes of O.13 r.9 it is generally not sufficient for a defendant merely to show an arguable defence, although that alone would justify leave to defend being given under O.14. A defendant who seeks to set aside a regular judgment must at least show that his case has a real prospect of success. To do so he must satisfy the court that his case, and the evidence he has adduced in support of it, carries </w:t>
      </w:r>
      <w:r w:rsidRPr="001B556B">
        <w:rPr>
          <w:sz w:val="24"/>
          <w:szCs w:val="24"/>
        </w:rPr>
        <w:lastRenderedPageBreak/>
        <w:t>some degree of conviction. It seems to me that unless potentially credible affidavit evidence from the defendant has demonstrated a real likelihood that he will succeed on fact, he cannot have shown that he has a real prospect of success.  …………  The court still has to form a provisional view of the probable outcome of the action.”</w:t>
      </w:r>
    </w:p>
    <w:p w:rsidR="00A126E4" w:rsidRPr="00A126E4" w:rsidRDefault="00A126E4" w:rsidP="008B6C2F">
      <w:pPr>
        <w:tabs>
          <w:tab w:val="clear" w:pos="1440"/>
          <w:tab w:val="clear" w:pos="4320"/>
          <w:tab w:val="clear" w:pos="9072"/>
        </w:tabs>
        <w:snapToGrid/>
        <w:spacing w:line="360" w:lineRule="auto"/>
        <w:rPr>
          <w:szCs w:val="28"/>
        </w:rPr>
      </w:pPr>
    </w:p>
    <w:p w:rsidR="00A126E4" w:rsidRPr="00A126E4" w:rsidRDefault="00A126E4" w:rsidP="003A323B">
      <w:pPr>
        <w:pStyle w:val="ListParagraph"/>
        <w:numPr>
          <w:ilvl w:val="0"/>
          <w:numId w:val="3"/>
        </w:numPr>
        <w:tabs>
          <w:tab w:val="clear" w:pos="4320"/>
          <w:tab w:val="clear" w:pos="9072"/>
        </w:tabs>
        <w:spacing w:line="360" w:lineRule="auto"/>
        <w:ind w:left="0" w:firstLine="0"/>
        <w:jc w:val="both"/>
        <w:rPr>
          <w:szCs w:val="28"/>
        </w:rPr>
      </w:pPr>
      <w:r w:rsidRPr="00A126E4">
        <w:rPr>
          <w:szCs w:val="28"/>
        </w:rPr>
        <w:t>With these principles in mind, I turn to analyze the arguments advanced by both sides.</w:t>
      </w:r>
    </w:p>
    <w:p w:rsidR="00A126E4" w:rsidRPr="00A126E4" w:rsidRDefault="00A126E4" w:rsidP="008B6C2F">
      <w:pPr>
        <w:tabs>
          <w:tab w:val="clear" w:pos="1440"/>
          <w:tab w:val="clear" w:pos="4320"/>
          <w:tab w:val="clear" w:pos="9072"/>
        </w:tabs>
        <w:snapToGrid/>
        <w:spacing w:line="360" w:lineRule="auto"/>
        <w:rPr>
          <w:szCs w:val="28"/>
        </w:rPr>
      </w:pPr>
    </w:p>
    <w:p w:rsidR="00A126E4" w:rsidRPr="001B556B" w:rsidRDefault="00A126E4" w:rsidP="008B6C2F">
      <w:pPr>
        <w:tabs>
          <w:tab w:val="clear" w:pos="1440"/>
          <w:tab w:val="clear" w:pos="4320"/>
          <w:tab w:val="clear" w:pos="9072"/>
        </w:tabs>
        <w:snapToGrid/>
        <w:spacing w:line="360" w:lineRule="auto"/>
        <w:rPr>
          <w:i/>
          <w:szCs w:val="28"/>
        </w:rPr>
      </w:pPr>
      <w:r w:rsidRPr="001B556B">
        <w:rPr>
          <w:i/>
          <w:szCs w:val="28"/>
        </w:rPr>
        <w:t>Regular or irregular judgment?</w:t>
      </w:r>
    </w:p>
    <w:p w:rsidR="00A126E4" w:rsidRPr="00A126E4" w:rsidRDefault="00A126E4" w:rsidP="008B6C2F">
      <w:pPr>
        <w:tabs>
          <w:tab w:val="clear" w:pos="1440"/>
          <w:tab w:val="clear" w:pos="4320"/>
          <w:tab w:val="clear" w:pos="9072"/>
        </w:tabs>
        <w:snapToGrid/>
        <w:spacing w:line="360" w:lineRule="auto"/>
        <w:rPr>
          <w:szCs w:val="28"/>
        </w:rPr>
      </w:pPr>
    </w:p>
    <w:p w:rsidR="00A126E4" w:rsidRDefault="00A126E4" w:rsidP="003A323B">
      <w:pPr>
        <w:pStyle w:val="ListParagraph"/>
        <w:numPr>
          <w:ilvl w:val="0"/>
          <w:numId w:val="3"/>
        </w:numPr>
        <w:tabs>
          <w:tab w:val="clear" w:pos="4320"/>
          <w:tab w:val="clear" w:pos="9072"/>
        </w:tabs>
        <w:spacing w:line="360" w:lineRule="auto"/>
        <w:ind w:left="0" w:firstLine="0"/>
        <w:jc w:val="both"/>
        <w:rPr>
          <w:szCs w:val="28"/>
        </w:rPr>
      </w:pPr>
      <w:r w:rsidRPr="00A126E4">
        <w:rPr>
          <w:szCs w:val="28"/>
        </w:rPr>
        <w:t>Ms Chan argues that there is no valid service of the writ in each of the 3 actions.  Ms Chan submits:</w:t>
      </w:r>
      <w:r w:rsidR="001B556B">
        <w:rPr>
          <w:szCs w:val="28"/>
        </w:rPr>
        <w:t>-</w:t>
      </w:r>
    </w:p>
    <w:p w:rsidR="001B556B" w:rsidRPr="001B556B" w:rsidRDefault="001B556B" w:rsidP="008B6C2F">
      <w:pPr>
        <w:tabs>
          <w:tab w:val="clear" w:pos="4320"/>
          <w:tab w:val="clear" w:pos="9072"/>
        </w:tabs>
        <w:spacing w:line="360" w:lineRule="auto"/>
        <w:jc w:val="both"/>
        <w:rPr>
          <w:szCs w:val="28"/>
        </w:rPr>
      </w:pPr>
    </w:p>
    <w:p w:rsidR="00A126E4" w:rsidRDefault="00A126E4" w:rsidP="003A323B">
      <w:pPr>
        <w:numPr>
          <w:ilvl w:val="0"/>
          <w:numId w:val="9"/>
        </w:numPr>
        <w:tabs>
          <w:tab w:val="clear" w:pos="1440"/>
          <w:tab w:val="clear" w:pos="4320"/>
          <w:tab w:val="clear" w:pos="9072"/>
          <w:tab w:val="left" w:pos="2160"/>
        </w:tabs>
        <w:snapToGrid/>
        <w:spacing w:line="360" w:lineRule="auto"/>
        <w:ind w:left="2160" w:hanging="720"/>
        <w:jc w:val="both"/>
        <w:rPr>
          <w:szCs w:val="28"/>
        </w:rPr>
      </w:pPr>
      <w:r w:rsidRPr="00A126E4">
        <w:rPr>
          <w:szCs w:val="28"/>
        </w:rPr>
        <w:t>Hou, Cheng and Kwok got the 3 Addresses from the affirmation of the assistant secretary made on 30</w:t>
      </w:r>
      <w:r w:rsidR="001B556B">
        <w:rPr>
          <w:szCs w:val="28"/>
        </w:rPr>
        <w:t> </w:t>
      </w:r>
      <w:r w:rsidRPr="00A126E4">
        <w:rPr>
          <w:szCs w:val="28"/>
        </w:rPr>
        <w:t>January 2014 for the purpose of the disciplinary inquiry of MCHK.  Given the lapse of time of about 2</w:t>
      </w:r>
      <w:r w:rsidR="00436C8E">
        <w:rPr>
          <w:szCs w:val="28"/>
        </w:rPr>
        <w:t> </w:t>
      </w:r>
      <w:r w:rsidRPr="00A126E4">
        <w:rPr>
          <w:szCs w:val="28"/>
        </w:rPr>
        <w:t>years since that affirmation, it was unreasonable for Hou, Cheng and Kwok to rely upon the information in that affirmation to serve the writs on Wong in late 2015 and in 2016.</w:t>
      </w:r>
    </w:p>
    <w:p w:rsidR="001B556B" w:rsidRPr="00A126E4" w:rsidRDefault="001B556B" w:rsidP="008B6C2F">
      <w:pPr>
        <w:tabs>
          <w:tab w:val="clear" w:pos="1440"/>
          <w:tab w:val="clear" w:pos="4320"/>
          <w:tab w:val="clear" w:pos="9072"/>
          <w:tab w:val="left" w:pos="2160"/>
        </w:tabs>
        <w:snapToGrid/>
        <w:spacing w:line="360" w:lineRule="auto"/>
        <w:jc w:val="both"/>
        <w:rPr>
          <w:szCs w:val="28"/>
        </w:rPr>
      </w:pPr>
    </w:p>
    <w:p w:rsidR="00A126E4" w:rsidRDefault="00A126E4" w:rsidP="003A323B">
      <w:pPr>
        <w:numPr>
          <w:ilvl w:val="0"/>
          <w:numId w:val="9"/>
        </w:numPr>
        <w:tabs>
          <w:tab w:val="clear" w:pos="1440"/>
          <w:tab w:val="clear" w:pos="4320"/>
          <w:tab w:val="clear" w:pos="9072"/>
          <w:tab w:val="left" w:pos="2160"/>
        </w:tabs>
        <w:snapToGrid/>
        <w:spacing w:line="360" w:lineRule="auto"/>
        <w:ind w:left="2160" w:hanging="720"/>
        <w:jc w:val="both"/>
        <w:rPr>
          <w:szCs w:val="28"/>
        </w:rPr>
      </w:pPr>
      <w:r w:rsidRPr="00A126E4">
        <w:rPr>
          <w:szCs w:val="28"/>
        </w:rPr>
        <w:t>According to an affirmation of service (“the affirmation of service”) filed by Hou in DCPI 96/2015 on 31</w:t>
      </w:r>
      <w:r w:rsidR="001B556B">
        <w:rPr>
          <w:szCs w:val="28"/>
        </w:rPr>
        <w:t> </w:t>
      </w:r>
      <w:r w:rsidRPr="00A126E4">
        <w:rPr>
          <w:szCs w:val="28"/>
        </w:rPr>
        <w:t>December 2015,</w:t>
      </w:r>
      <w:r w:rsidR="00300A80">
        <w:rPr>
          <w:szCs w:val="28"/>
        </w:rPr>
        <w:t xml:space="preserve"> after the writ of summons</w:t>
      </w:r>
      <w:r w:rsidRPr="00A126E4">
        <w:rPr>
          <w:szCs w:val="28"/>
        </w:rPr>
        <w:t xml:space="preserve"> in that action served at Address 1 was returned, his solicitors (also representing Cheng and Kwok in the 2 other actions) conducted a land search on the 3 Addresses on 18 December 2015, which revealed that Wong was no </w:t>
      </w:r>
      <w:r w:rsidRPr="00A126E4">
        <w:rPr>
          <w:szCs w:val="28"/>
        </w:rPr>
        <w:lastRenderedPageBreak/>
        <w:t>longer the owner of the property at Address 1 and the property at Address 2.</w:t>
      </w:r>
    </w:p>
    <w:p w:rsidR="001B556B" w:rsidRDefault="001B556B" w:rsidP="008B6C2F">
      <w:pPr>
        <w:pStyle w:val="ListParagraph"/>
        <w:spacing w:line="360" w:lineRule="auto"/>
        <w:rPr>
          <w:szCs w:val="28"/>
        </w:rPr>
      </w:pPr>
    </w:p>
    <w:p w:rsidR="00A126E4" w:rsidRDefault="00A126E4" w:rsidP="003A323B">
      <w:pPr>
        <w:numPr>
          <w:ilvl w:val="0"/>
          <w:numId w:val="9"/>
        </w:numPr>
        <w:tabs>
          <w:tab w:val="clear" w:pos="1440"/>
          <w:tab w:val="clear" w:pos="4320"/>
          <w:tab w:val="clear" w:pos="9072"/>
          <w:tab w:val="left" w:pos="2160"/>
        </w:tabs>
        <w:snapToGrid/>
        <w:spacing w:line="360" w:lineRule="auto"/>
        <w:ind w:left="2160" w:hanging="720"/>
        <w:jc w:val="both"/>
        <w:rPr>
          <w:szCs w:val="28"/>
        </w:rPr>
      </w:pPr>
      <w:r w:rsidRPr="00A126E4">
        <w:rPr>
          <w:szCs w:val="28"/>
        </w:rPr>
        <w:t xml:space="preserve">In the circumstances, Hou, Cheng and Kwok must have known that Address 1 and Address 2 could no longer be regarded as the Wong’s usual or last known address.  There is no reason for them to believe that a writ left at Address 1 and </w:t>
      </w:r>
      <w:r w:rsidR="00300A80">
        <w:rPr>
          <w:szCs w:val="28"/>
        </w:rPr>
        <w:t xml:space="preserve">a writ left at </w:t>
      </w:r>
      <w:r w:rsidRPr="00A126E4">
        <w:rPr>
          <w:szCs w:val="28"/>
        </w:rPr>
        <w:t>Address 2 would reach Wong.</w:t>
      </w:r>
    </w:p>
    <w:p w:rsidR="001B556B" w:rsidRDefault="001B556B" w:rsidP="008B6C2F">
      <w:pPr>
        <w:pStyle w:val="ListParagraph"/>
        <w:spacing w:line="360" w:lineRule="auto"/>
        <w:rPr>
          <w:szCs w:val="28"/>
        </w:rPr>
      </w:pPr>
    </w:p>
    <w:p w:rsidR="00A126E4" w:rsidRPr="00A126E4" w:rsidRDefault="00A126E4" w:rsidP="003A323B">
      <w:pPr>
        <w:numPr>
          <w:ilvl w:val="0"/>
          <w:numId w:val="9"/>
        </w:numPr>
        <w:tabs>
          <w:tab w:val="clear" w:pos="1440"/>
          <w:tab w:val="clear" w:pos="4320"/>
          <w:tab w:val="clear" w:pos="9072"/>
          <w:tab w:val="left" w:pos="2160"/>
        </w:tabs>
        <w:snapToGrid/>
        <w:spacing w:line="360" w:lineRule="auto"/>
        <w:ind w:left="2160" w:hanging="720"/>
        <w:jc w:val="both"/>
        <w:rPr>
          <w:szCs w:val="28"/>
        </w:rPr>
      </w:pPr>
      <w:r w:rsidRPr="00A126E4">
        <w:rPr>
          <w:szCs w:val="28"/>
        </w:rPr>
        <w:t>In the 2 assignments concerning the transfer of the property at Address 1 and the property at Address 2, the Tai Po Address is stated as Wong’s address.  Accordingly, Hou, Cheng and Kwok should know that the Tai Po Address is Wong’s usual or last known address.  However, no writ of summons has been delivered to that address.</w:t>
      </w:r>
    </w:p>
    <w:p w:rsidR="00A126E4" w:rsidRPr="00A126E4" w:rsidRDefault="00A126E4" w:rsidP="008B6C2F">
      <w:pPr>
        <w:tabs>
          <w:tab w:val="clear" w:pos="1440"/>
          <w:tab w:val="clear" w:pos="4320"/>
          <w:tab w:val="clear" w:pos="9072"/>
        </w:tabs>
        <w:snapToGrid/>
        <w:spacing w:line="360" w:lineRule="auto"/>
        <w:rPr>
          <w:szCs w:val="28"/>
        </w:rPr>
      </w:pPr>
    </w:p>
    <w:p w:rsidR="00A126E4" w:rsidRPr="00A126E4" w:rsidRDefault="00A126E4" w:rsidP="003A323B">
      <w:pPr>
        <w:pStyle w:val="ListParagraph"/>
        <w:numPr>
          <w:ilvl w:val="0"/>
          <w:numId w:val="3"/>
        </w:numPr>
        <w:tabs>
          <w:tab w:val="clear" w:pos="4320"/>
          <w:tab w:val="clear" w:pos="9072"/>
        </w:tabs>
        <w:spacing w:line="360" w:lineRule="auto"/>
        <w:ind w:left="0" w:firstLine="0"/>
        <w:jc w:val="both"/>
        <w:rPr>
          <w:szCs w:val="28"/>
        </w:rPr>
      </w:pPr>
      <w:r w:rsidRPr="00A126E4">
        <w:rPr>
          <w:szCs w:val="28"/>
        </w:rPr>
        <w:t>There is force in these submissions.  However, one question remains unanswered, ie why Address 3 cannot be regarded as Wong’s usual or last known Address.  Hou, Cheng and Kwok came to know Address 3 by reading the assistance secretary’s affirmation.  As set out in the affirmation of se</w:t>
      </w:r>
      <w:r w:rsidR="00300A80">
        <w:rPr>
          <w:szCs w:val="28"/>
        </w:rPr>
        <w:t xml:space="preserve">rvice, the land search done on </w:t>
      </w:r>
      <w:r w:rsidRPr="00A126E4">
        <w:rPr>
          <w:szCs w:val="28"/>
        </w:rPr>
        <w:t>1</w:t>
      </w:r>
      <w:r w:rsidR="00300A80">
        <w:rPr>
          <w:szCs w:val="28"/>
        </w:rPr>
        <w:t>8</w:t>
      </w:r>
      <w:r w:rsidRPr="00A126E4">
        <w:rPr>
          <w:szCs w:val="28"/>
        </w:rPr>
        <w:t xml:space="preserve"> December 2015 shows that Wong remains as the owner of the property at Address 3.  Bearing in mind that a usual or last known address merely means a location where a person may be reached or where contact or communication in written form could be established, while Wong is the owner of the property at Address 3, naturally Address 3 can be regarded as a usual or last known </w:t>
      </w:r>
      <w:r w:rsidRPr="00A126E4">
        <w:rPr>
          <w:szCs w:val="28"/>
        </w:rPr>
        <w:lastRenderedPageBreak/>
        <w:t xml:space="preserve">address of Wong.  The fact that Wong has an address in Tai Po does not prevent Address 3 from being Wong’s usual or last known address, for a person may have more than one usual or last known address.  See </w:t>
      </w:r>
      <w:r w:rsidRPr="00A126E4">
        <w:rPr>
          <w:i/>
          <w:szCs w:val="28"/>
        </w:rPr>
        <w:t xml:space="preserve">Hong Kong Mortgage Corporation Limited v Ching Kit Yu </w:t>
      </w:r>
      <w:r w:rsidRPr="00A126E4">
        <w:rPr>
          <w:szCs w:val="28"/>
        </w:rPr>
        <w:t>(HCMP 2226/2002, 15 April 2003), [12] and [13].</w:t>
      </w:r>
    </w:p>
    <w:p w:rsidR="00A126E4" w:rsidRPr="00A126E4" w:rsidRDefault="00A126E4" w:rsidP="008B6C2F">
      <w:pPr>
        <w:tabs>
          <w:tab w:val="clear" w:pos="1440"/>
          <w:tab w:val="clear" w:pos="4320"/>
          <w:tab w:val="clear" w:pos="9072"/>
        </w:tabs>
        <w:snapToGrid/>
        <w:spacing w:line="360" w:lineRule="auto"/>
        <w:ind w:left="720"/>
        <w:rPr>
          <w:szCs w:val="28"/>
        </w:rPr>
      </w:pPr>
    </w:p>
    <w:p w:rsidR="00A126E4" w:rsidRPr="00A126E4" w:rsidRDefault="00A126E4" w:rsidP="003A323B">
      <w:pPr>
        <w:pStyle w:val="ListParagraph"/>
        <w:numPr>
          <w:ilvl w:val="0"/>
          <w:numId w:val="3"/>
        </w:numPr>
        <w:tabs>
          <w:tab w:val="clear" w:pos="4320"/>
          <w:tab w:val="clear" w:pos="9072"/>
        </w:tabs>
        <w:spacing w:line="360" w:lineRule="auto"/>
        <w:ind w:left="0" w:firstLine="0"/>
        <w:jc w:val="both"/>
        <w:rPr>
          <w:szCs w:val="28"/>
        </w:rPr>
      </w:pPr>
      <w:r w:rsidRPr="00A126E4">
        <w:rPr>
          <w:szCs w:val="28"/>
        </w:rPr>
        <w:t>I hold that by inserting the re-amended writ into the letter box at Address 3 on 16 June 2016, the plaintiff in each action has served the re-amended writ on Wong in accordance with Order 10 rule 1(2).  That being the case, Wong bears the burden to show that notwithstanding all these, the proceedings have not been brought to his attention prior to the entering of the default judgments.</w:t>
      </w:r>
    </w:p>
    <w:p w:rsidR="00A126E4" w:rsidRPr="001B556B" w:rsidRDefault="00A126E4" w:rsidP="008B6C2F">
      <w:pPr>
        <w:tabs>
          <w:tab w:val="clear" w:pos="4320"/>
          <w:tab w:val="clear" w:pos="9072"/>
        </w:tabs>
        <w:spacing w:line="360" w:lineRule="auto"/>
        <w:jc w:val="both"/>
        <w:rPr>
          <w:szCs w:val="28"/>
        </w:rPr>
      </w:pPr>
    </w:p>
    <w:p w:rsidR="00A126E4" w:rsidRPr="00A126E4" w:rsidRDefault="00A126E4" w:rsidP="003A323B">
      <w:pPr>
        <w:pStyle w:val="ListParagraph"/>
        <w:numPr>
          <w:ilvl w:val="0"/>
          <w:numId w:val="3"/>
        </w:numPr>
        <w:tabs>
          <w:tab w:val="clear" w:pos="4320"/>
          <w:tab w:val="clear" w:pos="9072"/>
        </w:tabs>
        <w:spacing w:line="360" w:lineRule="auto"/>
        <w:ind w:left="0" w:firstLine="0"/>
        <w:jc w:val="both"/>
        <w:rPr>
          <w:szCs w:val="28"/>
        </w:rPr>
      </w:pPr>
      <w:r w:rsidRPr="00A126E4">
        <w:rPr>
          <w:szCs w:val="28"/>
        </w:rPr>
        <w:t>In respect of the service at Address 3, Wong’s contentions are those summarized in §12(d) above, and the evidence in support of these contentions are the affirmation made by Wang.  In that affirmation, Wang also said that although in the 2 tenancy agreement</w:t>
      </w:r>
      <w:r w:rsidR="004C226A">
        <w:rPr>
          <w:szCs w:val="28"/>
        </w:rPr>
        <w:t>s</w:t>
      </w:r>
      <w:r w:rsidRPr="00A126E4">
        <w:rPr>
          <w:szCs w:val="28"/>
        </w:rPr>
        <w:t xml:space="preserve"> between Wong as the landlord and she herself as the tenant, Won</w:t>
      </w:r>
      <w:r w:rsidR="004C226A">
        <w:rPr>
          <w:szCs w:val="28"/>
        </w:rPr>
        <w:t>g’s full name “Wong Wai Chung” wa</w:t>
      </w:r>
      <w:r w:rsidRPr="00A126E4">
        <w:rPr>
          <w:szCs w:val="28"/>
        </w:rPr>
        <w:t>s stated in these 2 tenancy agreements, she did not remember this and only knew that her landlord was “Daniel Wong”.  The 2 tenancy agreements have been produced by Wong, one was signed on 11 July 2013 (“the 2013 TA”) and the other was signed on 17 July 2015 (“the 2015 TA”).</w:t>
      </w:r>
    </w:p>
    <w:p w:rsidR="00A126E4" w:rsidRPr="00EB2DEA" w:rsidRDefault="00A126E4" w:rsidP="008B6C2F">
      <w:pPr>
        <w:tabs>
          <w:tab w:val="clear" w:pos="4320"/>
          <w:tab w:val="clear" w:pos="9072"/>
        </w:tabs>
        <w:spacing w:line="360" w:lineRule="auto"/>
        <w:jc w:val="both"/>
        <w:rPr>
          <w:szCs w:val="28"/>
        </w:rPr>
      </w:pPr>
    </w:p>
    <w:p w:rsidR="00A126E4" w:rsidRDefault="00A126E4" w:rsidP="003A323B">
      <w:pPr>
        <w:pStyle w:val="ListParagraph"/>
        <w:numPr>
          <w:ilvl w:val="0"/>
          <w:numId w:val="3"/>
        </w:numPr>
        <w:tabs>
          <w:tab w:val="clear" w:pos="4320"/>
          <w:tab w:val="clear" w:pos="9072"/>
        </w:tabs>
        <w:spacing w:line="360" w:lineRule="auto"/>
        <w:ind w:left="0" w:firstLine="0"/>
        <w:jc w:val="both"/>
        <w:rPr>
          <w:szCs w:val="28"/>
        </w:rPr>
      </w:pPr>
      <w:r w:rsidRPr="00A126E4">
        <w:rPr>
          <w:szCs w:val="28"/>
        </w:rPr>
        <w:t>I am of the view that Wang’s evidence is unbelievable.</w:t>
      </w:r>
    </w:p>
    <w:p w:rsidR="00EB2DEA" w:rsidRPr="00EB2DEA" w:rsidRDefault="00EB2DEA" w:rsidP="008B6C2F">
      <w:pPr>
        <w:pStyle w:val="ListParagraph"/>
        <w:spacing w:line="360" w:lineRule="auto"/>
        <w:rPr>
          <w:szCs w:val="28"/>
        </w:rPr>
      </w:pPr>
    </w:p>
    <w:p w:rsidR="00764626" w:rsidRDefault="00764626" w:rsidP="003A323B">
      <w:pPr>
        <w:numPr>
          <w:ilvl w:val="0"/>
          <w:numId w:val="10"/>
        </w:numPr>
        <w:tabs>
          <w:tab w:val="clear" w:pos="1440"/>
          <w:tab w:val="clear" w:pos="4320"/>
          <w:tab w:val="clear" w:pos="9072"/>
          <w:tab w:val="left" w:pos="2160"/>
        </w:tabs>
        <w:snapToGrid/>
        <w:spacing w:line="360" w:lineRule="auto"/>
        <w:ind w:left="2160" w:hanging="720"/>
        <w:jc w:val="both"/>
        <w:rPr>
          <w:szCs w:val="28"/>
        </w:rPr>
      </w:pPr>
      <w:r>
        <w:rPr>
          <w:szCs w:val="28"/>
        </w:rPr>
        <w:t>Ms Chan confirms with the court that the name of Wong on the HKID Card is “Wong Wai Chung”.  The name “Daniel” does not appear on his HKID Card.</w:t>
      </w:r>
    </w:p>
    <w:p w:rsidR="00764626" w:rsidRDefault="00764626" w:rsidP="00764626">
      <w:pPr>
        <w:tabs>
          <w:tab w:val="clear" w:pos="1440"/>
          <w:tab w:val="clear" w:pos="4320"/>
          <w:tab w:val="clear" w:pos="9072"/>
          <w:tab w:val="left" w:pos="2160"/>
        </w:tabs>
        <w:snapToGrid/>
        <w:spacing w:line="360" w:lineRule="auto"/>
        <w:ind w:left="2160"/>
        <w:jc w:val="both"/>
        <w:rPr>
          <w:szCs w:val="28"/>
        </w:rPr>
      </w:pPr>
    </w:p>
    <w:p w:rsidR="00A126E4" w:rsidRDefault="00A126E4" w:rsidP="003A323B">
      <w:pPr>
        <w:numPr>
          <w:ilvl w:val="0"/>
          <w:numId w:val="10"/>
        </w:numPr>
        <w:tabs>
          <w:tab w:val="clear" w:pos="1440"/>
          <w:tab w:val="clear" w:pos="4320"/>
          <w:tab w:val="clear" w:pos="9072"/>
          <w:tab w:val="left" w:pos="2160"/>
        </w:tabs>
        <w:snapToGrid/>
        <w:spacing w:line="360" w:lineRule="auto"/>
        <w:ind w:left="2160" w:hanging="720"/>
        <w:jc w:val="both"/>
        <w:rPr>
          <w:szCs w:val="28"/>
        </w:rPr>
      </w:pPr>
      <w:r w:rsidRPr="00A126E4">
        <w:rPr>
          <w:szCs w:val="28"/>
        </w:rPr>
        <w:t>The name “Wong Wai Chung” is clearly and unambiguously set out both in the 2013 TA and in the 2015 TA.  Further, in the 2013 TA, Wang is required to pay a deposit of HK$64,000 and a monthly rental payment of HK$32,000.  In the 2015 TA, Wang is required to pay a deposit of HK$68,000 and a monthly rental payment of HK$34,000.  Naturally, all these payments would be made by Wang by either drawing cheques payable to Wong (in doing so, Wang has to put down the name “Wong Wai Chung” on the cheques), or depositing or transferring money to Wong’s account (in doing so, Wang has to check to make sure that the account holder is “Wong Wai Chung”</w:t>
      </w:r>
      <w:r w:rsidR="004C226A">
        <w:rPr>
          <w:rStyle w:val="FootnoteReference"/>
          <w:szCs w:val="28"/>
        </w:rPr>
        <w:footnoteReference w:id="1"/>
      </w:r>
      <w:r w:rsidRPr="00A126E4">
        <w:rPr>
          <w:szCs w:val="28"/>
        </w:rPr>
        <w:t>).  In these circumstances, to say that she had no memory of the name “Wong Wai Chung” is unbelievable.</w:t>
      </w:r>
    </w:p>
    <w:p w:rsidR="00EB2DEA" w:rsidRPr="00A126E4" w:rsidRDefault="00EB2DEA" w:rsidP="008B6C2F">
      <w:pPr>
        <w:tabs>
          <w:tab w:val="clear" w:pos="1440"/>
          <w:tab w:val="clear" w:pos="4320"/>
          <w:tab w:val="clear" w:pos="9072"/>
          <w:tab w:val="left" w:pos="2160"/>
        </w:tabs>
        <w:snapToGrid/>
        <w:spacing w:line="360" w:lineRule="auto"/>
        <w:jc w:val="both"/>
        <w:rPr>
          <w:szCs w:val="28"/>
        </w:rPr>
      </w:pPr>
    </w:p>
    <w:p w:rsidR="00A126E4" w:rsidRDefault="00A126E4" w:rsidP="003A323B">
      <w:pPr>
        <w:numPr>
          <w:ilvl w:val="0"/>
          <w:numId w:val="10"/>
        </w:numPr>
        <w:tabs>
          <w:tab w:val="clear" w:pos="1440"/>
          <w:tab w:val="clear" w:pos="4320"/>
          <w:tab w:val="clear" w:pos="9072"/>
          <w:tab w:val="left" w:pos="2160"/>
        </w:tabs>
        <w:snapToGrid/>
        <w:spacing w:line="360" w:lineRule="auto"/>
        <w:ind w:left="2160" w:hanging="720"/>
        <w:jc w:val="both"/>
        <w:rPr>
          <w:szCs w:val="28"/>
        </w:rPr>
      </w:pPr>
      <w:r w:rsidRPr="00A126E4">
        <w:rPr>
          <w:szCs w:val="28"/>
        </w:rPr>
        <w:t xml:space="preserve">It was not just one single mail </w:t>
      </w:r>
      <w:r w:rsidR="00764626">
        <w:rPr>
          <w:szCs w:val="28"/>
        </w:rPr>
        <w:t xml:space="preserve">being </w:t>
      </w:r>
      <w:r w:rsidRPr="00A126E4">
        <w:rPr>
          <w:szCs w:val="28"/>
        </w:rPr>
        <w:t>sent to Address 3, but mails came in continuously, and the addressees of all these mails are the same person with the surname “Wong”.  Wang knew that her landlord was one Mr</w:t>
      </w:r>
      <w:r w:rsidR="00D16E04">
        <w:rPr>
          <w:szCs w:val="28"/>
        </w:rPr>
        <w:t> </w:t>
      </w:r>
      <w:r w:rsidRPr="00A126E4">
        <w:rPr>
          <w:szCs w:val="28"/>
        </w:rPr>
        <w:t xml:space="preserve">Wong.  Wang should realize that these mails may well be mails to her landlord or someone connected with her landlord.  If she has any genuine doubt, she can always take out copies of the 2013 TA and the 2015 TA in her possession to check, or she may simply </w:t>
      </w:r>
      <w:r w:rsidRPr="00A126E4">
        <w:rPr>
          <w:szCs w:val="28"/>
        </w:rPr>
        <w:lastRenderedPageBreak/>
        <w:t>contact Wong to make enquiries.  Instead of doing all these, save for the first two occasions, she just threw away the mails.  This defies common sense.</w:t>
      </w:r>
    </w:p>
    <w:p w:rsidR="00EB2DEA" w:rsidRDefault="00EB2DEA" w:rsidP="008B6C2F">
      <w:pPr>
        <w:pStyle w:val="ListParagraph"/>
        <w:spacing w:line="360" w:lineRule="auto"/>
        <w:rPr>
          <w:szCs w:val="28"/>
        </w:rPr>
      </w:pPr>
    </w:p>
    <w:p w:rsidR="00A126E4" w:rsidRPr="00A126E4" w:rsidRDefault="00A126E4" w:rsidP="003A323B">
      <w:pPr>
        <w:keepLines/>
        <w:widowControl w:val="0"/>
        <w:numPr>
          <w:ilvl w:val="0"/>
          <w:numId w:val="10"/>
        </w:numPr>
        <w:tabs>
          <w:tab w:val="clear" w:pos="1440"/>
          <w:tab w:val="clear" w:pos="4320"/>
          <w:tab w:val="clear" w:pos="9072"/>
          <w:tab w:val="left" w:pos="2160"/>
        </w:tabs>
        <w:snapToGrid/>
        <w:spacing w:line="360" w:lineRule="auto"/>
        <w:ind w:left="2160" w:hanging="720"/>
        <w:jc w:val="both"/>
        <w:rPr>
          <w:szCs w:val="28"/>
        </w:rPr>
      </w:pPr>
      <w:r w:rsidRPr="00A126E4">
        <w:rPr>
          <w:szCs w:val="28"/>
        </w:rPr>
        <w:t>Wang said that on the first two occasions, she returned the mails by putting them inside a postbox and marked “return to sender” on the envelopes.  However, in the assistant secretary’s affirmation, the assistant secretary said that the notice of inquiry sent to Address 3 had not been returned to MCHK.  Also, none of the mails sent by the plaintiffs to Address 3 has ever been returned.  Wang’s evidence is contradicted by all these, including the evidence given by the assistant secretary, who has no interest in these proceedings</w:t>
      </w:r>
      <w:r w:rsidR="00764626">
        <w:rPr>
          <w:szCs w:val="28"/>
        </w:rPr>
        <w:t xml:space="preserve"> and whose evidence is not disputed by Ms Chan</w:t>
      </w:r>
      <w:r w:rsidRPr="00A126E4">
        <w:rPr>
          <w:szCs w:val="28"/>
        </w:rPr>
        <w:t>.</w:t>
      </w:r>
    </w:p>
    <w:p w:rsidR="00A126E4" w:rsidRPr="00A126E4" w:rsidRDefault="00A126E4" w:rsidP="002E5C42">
      <w:pPr>
        <w:tabs>
          <w:tab w:val="clear" w:pos="4320"/>
          <w:tab w:val="clear" w:pos="9072"/>
        </w:tabs>
        <w:spacing w:line="360" w:lineRule="auto"/>
        <w:jc w:val="both"/>
        <w:rPr>
          <w:szCs w:val="28"/>
        </w:rPr>
      </w:pPr>
    </w:p>
    <w:p w:rsidR="00A126E4" w:rsidRPr="00A126E4" w:rsidRDefault="00A126E4" w:rsidP="003A323B">
      <w:pPr>
        <w:pStyle w:val="ListParagraph"/>
        <w:numPr>
          <w:ilvl w:val="0"/>
          <w:numId w:val="3"/>
        </w:numPr>
        <w:tabs>
          <w:tab w:val="clear" w:pos="4320"/>
          <w:tab w:val="clear" w:pos="9072"/>
        </w:tabs>
        <w:spacing w:line="360" w:lineRule="auto"/>
        <w:ind w:left="0" w:firstLine="0"/>
        <w:jc w:val="both"/>
        <w:rPr>
          <w:szCs w:val="28"/>
        </w:rPr>
      </w:pPr>
      <w:r w:rsidRPr="00A126E4">
        <w:rPr>
          <w:szCs w:val="28"/>
        </w:rPr>
        <w:t>I reject Wang’s evidence.  Wong has not produced any convincing evidence to substantiate his contentions as summarized in §12(d) above.  Accordingly, there is no evidence showing that notwithstanding the proper service of the writs at Address 3 under Order 10 rule 1(2), the proceedings have not be</w:t>
      </w:r>
      <w:r w:rsidR="00D16E04">
        <w:rPr>
          <w:szCs w:val="28"/>
        </w:rPr>
        <w:t>en brought to Wong’s attention.</w:t>
      </w:r>
    </w:p>
    <w:p w:rsidR="00A126E4" w:rsidRPr="00EB2DEA" w:rsidRDefault="00A126E4" w:rsidP="008B6C2F">
      <w:pPr>
        <w:tabs>
          <w:tab w:val="clear" w:pos="4320"/>
          <w:tab w:val="clear" w:pos="9072"/>
        </w:tabs>
        <w:spacing w:line="360" w:lineRule="auto"/>
        <w:jc w:val="both"/>
        <w:rPr>
          <w:szCs w:val="28"/>
        </w:rPr>
      </w:pPr>
    </w:p>
    <w:p w:rsidR="00A126E4" w:rsidRPr="00A126E4" w:rsidRDefault="00A126E4" w:rsidP="003A323B">
      <w:pPr>
        <w:pStyle w:val="ListParagraph"/>
        <w:numPr>
          <w:ilvl w:val="0"/>
          <w:numId w:val="3"/>
        </w:numPr>
        <w:tabs>
          <w:tab w:val="clear" w:pos="4320"/>
          <w:tab w:val="clear" w:pos="9072"/>
        </w:tabs>
        <w:spacing w:line="360" w:lineRule="auto"/>
        <w:ind w:left="0" w:firstLine="0"/>
        <w:jc w:val="both"/>
        <w:rPr>
          <w:szCs w:val="28"/>
        </w:rPr>
      </w:pPr>
      <w:r w:rsidRPr="00A126E4">
        <w:rPr>
          <w:szCs w:val="28"/>
        </w:rPr>
        <w:t xml:space="preserve">In my judgment, the default judgment obtained by the plaintiff in each of these actions is a regular judgment. </w:t>
      </w:r>
    </w:p>
    <w:p w:rsidR="00A126E4" w:rsidRPr="00A126E4" w:rsidRDefault="00A126E4" w:rsidP="008B6C2F">
      <w:pPr>
        <w:tabs>
          <w:tab w:val="clear" w:pos="1440"/>
          <w:tab w:val="clear" w:pos="4320"/>
          <w:tab w:val="clear" w:pos="9072"/>
        </w:tabs>
        <w:snapToGrid/>
        <w:spacing w:line="360" w:lineRule="auto"/>
        <w:rPr>
          <w:szCs w:val="28"/>
        </w:rPr>
      </w:pPr>
    </w:p>
    <w:p w:rsidR="00A126E4" w:rsidRPr="00EB2DEA" w:rsidRDefault="00A126E4" w:rsidP="002E5C42">
      <w:pPr>
        <w:keepNext/>
        <w:widowControl w:val="0"/>
        <w:tabs>
          <w:tab w:val="clear" w:pos="1440"/>
          <w:tab w:val="clear" w:pos="4320"/>
          <w:tab w:val="clear" w:pos="9072"/>
        </w:tabs>
        <w:snapToGrid/>
        <w:spacing w:line="360" w:lineRule="auto"/>
        <w:rPr>
          <w:i/>
          <w:szCs w:val="28"/>
        </w:rPr>
      </w:pPr>
      <w:r w:rsidRPr="00EB2DEA">
        <w:rPr>
          <w:i/>
          <w:szCs w:val="28"/>
        </w:rPr>
        <w:lastRenderedPageBreak/>
        <w:t>Any real prospect of success?</w:t>
      </w:r>
    </w:p>
    <w:p w:rsidR="00A126E4" w:rsidRPr="00A126E4" w:rsidRDefault="00A126E4" w:rsidP="002E5C42">
      <w:pPr>
        <w:keepNext/>
        <w:widowControl w:val="0"/>
        <w:tabs>
          <w:tab w:val="clear" w:pos="1440"/>
          <w:tab w:val="clear" w:pos="4320"/>
          <w:tab w:val="clear" w:pos="9072"/>
        </w:tabs>
        <w:snapToGrid/>
        <w:spacing w:line="360" w:lineRule="auto"/>
        <w:rPr>
          <w:szCs w:val="28"/>
        </w:rPr>
      </w:pPr>
    </w:p>
    <w:p w:rsidR="00A126E4" w:rsidRPr="00A126E4" w:rsidRDefault="00A126E4" w:rsidP="003A323B">
      <w:pPr>
        <w:pStyle w:val="ListParagraph"/>
        <w:numPr>
          <w:ilvl w:val="0"/>
          <w:numId w:val="3"/>
        </w:numPr>
        <w:tabs>
          <w:tab w:val="clear" w:pos="4320"/>
          <w:tab w:val="clear" w:pos="9072"/>
        </w:tabs>
        <w:spacing w:line="360" w:lineRule="auto"/>
        <w:ind w:left="0" w:firstLine="0"/>
        <w:jc w:val="both"/>
        <w:rPr>
          <w:szCs w:val="28"/>
        </w:rPr>
      </w:pPr>
      <w:r w:rsidRPr="00A126E4">
        <w:rPr>
          <w:szCs w:val="28"/>
        </w:rPr>
        <w:t xml:space="preserve">Since the default judgment in each of these actions is a regular judgment, Wong may only set aside the judgment if he can show that he has a real prospect of success if he is given a chance to defend the case.  </w:t>
      </w:r>
    </w:p>
    <w:p w:rsidR="00A126E4" w:rsidRPr="00A126E4" w:rsidRDefault="00A126E4" w:rsidP="008B6C2F">
      <w:pPr>
        <w:tabs>
          <w:tab w:val="clear" w:pos="1440"/>
          <w:tab w:val="clear" w:pos="4320"/>
          <w:tab w:val="clear" w:pos="9072"/>
        </w:tabs>
        <w:snapToGrid/>
        <w:spacing w:line="360" w:lineRule="auto"/>
        <w:ind w:left="720"/>
        <w:rPr>
          <w:szCs w:val="28"/>
        </w:rPr>
      </w:pPr>
    </w:p>
    <w:p w:rsidR="00A126E4" w:rsidRPr="00A126E4" w:rsidRDefault="00A126E4" w:rsidP="003A323B">
      <w:pPr>
        <w:pStyle w:val="ListParagraph"/>
        <w:keepLines/>
        <w:widowControl w:val="0"/>
        <w:numPr>
          <w:ilvl w:val="0"/>
          <w:numId w:val="3"/>
        </w:numPr>
        <w:tabs>
          <w:tab w:val="clear" w:pos="4320"/>
          <w:tab w:val="clear" w:pos="9072"/>
        </w:tabs>
        <w:spacing w:line="360" w:lineRule="auto"/>
        <w:ind w:left="0" w:firstLine="0"/>
        <w:jc w:val="both"/>
        <w:rPr>
          <w:szCs w:val="28"/>
        </w:rPr>
      </w:pPr>
      <w:r w:rsidRPr="00A126E4">
        <w:rPr>
          <w:szCs w:val="28"/>
        </w:rPr>
        <w:t>Each of the default judgment is an interlocutory judgment on liability with damages to be assessed.  The court has not yet made any determination on the quantum of damages in each action.  In the 3 actions, Hou, Cheng and Kwok are prepared to claim damages in the amount of about HK$17 million, HK$6.9 million, and HK$6.1 million respectively.  They have made applications to transfer these proceedings to the Court of First Instance.  Whether they can recover any substantial amounts, and if yes, what should be the appropriate awards, are question</w:t>
      </w:r>
      <w:r w:rsidR="00764626">
        <w:rPr>
          <w:szCs w:val="28"/>
        </w:rPr>
        <w:t>s</w:t>
      </w:r>
      <w:r w:rsidRPr="00A126E4">
        <w:rPr>
          <w:szCs w:val="28"/>
        </w:rPr>
        <w:t xml:space="preserve"> to be determined in the assessments of damages.  At present, on the question whether Wong has a real prospect of success, it means whether Wong has a real prospect of success in challenging liability.  Wong bears the burden to produce evidence carrying some degree of conviction to show a real prospect of success. </w:t>
      </w:r>
    </w:p>
    <w:p w:rsidR="00A126E4" w:rsidRPr="00EB2DEA" w:rsidRDefault="00A126E4" w:rsidP="008B6C2F">
      <w:pPr>
        <w:tabs>
          <w:tab w:val="clear" w:pos="4320"/>
          <w:tab w:val="clear" w:pos="9072"/>
        </w:tabs>
        <w:spacing w:line="360" w:lineRule="auto"/>
        <w:jc w:val="both"/>
        <w:rPr>
          <w:szCs w:val="28"/>
        </w:rPr>
      </w:pPr>
    </w:p>
    <w:p w:rsidR="00A126E4" w:rsidRPr="00A126E4" w:rsidRDefault="00A126E4" w:rsidP="003A323B">
      <w:pPr>
        <w:pStyle w:val="ListParagraph"/>
        <w:numPr>
          <w:ilvl w:val="0"/>
          <w:numId w:val="3"/>
        </w:numPr>
        <w:tabs>
          <w:tab w:val="clear" w:pos="4320"/>
          <w:tab w:val="clear" w:pos="9072"/>
        </w:tabs>
        <w:spacing w:line="360" w:lineRule="auto"/>
        <w:ind w:left="0" w:firstLine="0"/>
        <w:jc w:val="both"/>
        <w:rPr>
          <w:szCs w:val="28"/>
        </w:rPr>
      </w:pPr>
      <w:r w:rsidRPr="00EB2DEA">
        <w:rPr>
          <w:rFonts w:hint="eastAsia"/>
          <w:szCs w:val="28"/>
        </w:rPr>
        <w:t>In respect of Cheng and Kwok, Wong merely says that they have not adduced any evidence to prove their loss and damage.</w:t>
      </w:r>
      <w:r w:rsidRPr="00EB2DEA">
        <w:rPr>
          <w:szCs w:val="28"/>
        </w:rPr>
        <w:t xml:space="preserve">  This point is misconceived.  Cheng and Kwok would have to produce evidence to prove their loss and damage in the assessments of damages in future, and Wong would have opportunities to challenge their evidence in the assessment exercises.  These are issues concerning quantum, not issues concerning liability.</w:t>
      </w:r>
    </w:p>
    <w:p w:rsidR="00A126E4" w:rsidRPr="00EB2DEA" w:rsidRDefault="00A126E4" w:rsidP="008B6C2F">
      <w:pPr>
        <w:tabs>
          <w:tab w:val="clear" w:pos="4320"/>
          <w:tab w:val="clear" w:pos="9072"/>
        </w:tabs>
        <w:spacing w:line="360" w:lineRule="auto"/>
        <w:jc w:val="both"/>
        <w:rPr>
          <w:szCs w:val="28"/>
        </w:rPr>
      </w:pPr>
    </w:p>
    <w:p w:rsidR="00764626" w:rsidRDefault="00A126E4" w:rsidP="003A323B">
      <w:pPr>
        <w:pStyle w:val="ListParagraph"/>
        <w:numPr>
          <w:ilvl w:val="0"/>
          <w:numId w:val="3"/>
        </w:numPr>
        <w:tabs>
          <w:tab w:val="clear" w:pos="4320"/>
          <w:tab w:val="clear" w:pos="9072"/>
        </w:tabs>
        <w:spacing w:line="360" w:lineRule="auto"/>
        <w:ind w:left="0" w:firstLine="0"/>
        <w:jc w:val="both"/>
        <w:rPr>
          <w:szCs w:val="28"/>
        </w:rPr>
      </w:pPr>
      <w:r w:rsidRPr="00A126E4">
        <w:rPr>
          <w:szCs w:val="28"/>
        </w:rPr>
        <w:lastRenderedPageBreak/>
        <w:t>In respect of Hou, Wong says that he has been foun</w:t>
      </w:r>
      <w:r w:rsidR="00764626">
        <w:rPr>
          <w:szCs w:val="28"/>
        </w:rPr>
        <w:t>d not guilty by MCHK on Charge 1.  MCHK found that Charge 1</w:t>
      </w:r>
      <w:r w:rsidRPr="00A126E4">
        <w:rPr>
          <w:szCs w:val="28"/>
        </w:rPr>
        <w:t xml:space="preserve"> had not been proved because evidence in support of that charge was only given by Hou’s father (whose evidence was not doubted by MCHK, but the father was not present in any consultation in which Hou was being attended by Wong), and there was no evidence from Hou in the inquiry.  MCHK considered that there was no sufficient</w:t>
      </w:r>
      <w:r w:rsidR="00764626">
        <w:rPr>
          <w:szCs w:val="28"/>
        </w:rPr>
        <w:t xml:space="preserve"> evidence in support of Charge 1</w:t>
      </w:r>
      <w:r w:rsidRPr="00A126E4">
        <w:rPr>
          <w:szCs w:val="28"/>
        </w:rPr>
        <w:t xml:space="preserve">.  Apart from referring to the “not guilty” verdict by MCHK, Wong has not produced any </w:t>
      </w:r>
      <w:r w:rsidR="00764626">
        <w:rPr>
          <w:szCs w:val="28"/>
        </w:rPr>
        <w:t xml:space="preserve">satisfactory </w:t>
      </w:r>
      <w:r w:rsidRPr="00A126E4">
        <w:rPr>
          <w:szCs w:val="28"/>
        </w:rPr>
        <w:t xml:space="preserve">evidence showing that he should not be liable to Hou.  </w:t>
      </w:r>
      <w:r w:rsidR="00764626">
        <w:rPr>
          <w:szCs w:val="28"/>
        </w:rPr>
        <w:t>Wong merely said that he only prescribed Rohypnol to Hou after doing proper examination.  However, he has not said what examination was conducted before prescribing Rophynol to Hou, what was or were the reason(s) for giving the prescription.</w:t>
      </w:r>
    </w:p>
    <w:p w:rsidR="00A126E4" w:rsidRPr="00EB2DEA" w:rsidRDefault="00A126E4" w:rsidP="008B6C2F">
      <w:pPr>
        <w:tabs>
          <w:tab w:val="clear" w:pos="4320"/>
          <w:tab w:val="clear" w:pos="9072"/>
        </w:tabs>
        <w:spacing w:line="360" w:lineRule="auto"/>
        <w:jc w:val="both"/>
        <w:rPr>
          <w:szCs w:val="28"/>
        </w:rPr>
      </w:pPr>
    </w:p>
    <w:p w:rsidR="00A126E4" w:rsidRPr="00A126E4" w:rsidRDefault="00A126E4" w:rsidP="003A323B">
      <w:pPr>
        <w:pStyle w:val="ListParagraph"/>
        <w:numPr>
          <w:ilvl w:val="0"/>
          <w:numId w:val="3"/>
        </w:numPr>
        <w:tabs>
          <w:tab w:val="clear" w:pos="4320"/>
          <w:tab w:val="clear" w:pos="9072"/>
        </w:tabs>
        <w:spacing w:line="360" w:lineRule="auto"/>
        <w:ind w:left="0" w:firstLine="0"/>
        <w:jc w:val="both"/>
        <w:rPr>
          <w:szCs w:val="28"/>
        </w:rPr>
      </w:pPr>
      <w:r w:rsidRPr="00A126E4">
        <w:rPr>
          <w:szCs w:val="28"/>
        </w:rPr>
        <w:t>I hold that Wong has not demonstrated a real prospect of success in defending the claim in each of these actions.</w:t>
      </w:r>
    </w:p>
    <w:p w:rsidR="00A126E4" w:rsidRPr="00A126E4" w:rsidRDefault="00A126E4" w:rsidP="008B6C2F">
      <w:pPr>
        <w:tabs>
          <w:tab w:val="clear" w:pos="1440"/>
          <w:tab w:val="clear" w:pos="4320"/>
          <w:tab w:val="clear" w:pos="9072"/>
        </w:tabs>
        <w:snapToGrid/>
        <w:spacing w:line="360" w:lineRule="auto"/>
        <w:rPr>
          <w:szCs w:val="28"/>
        </w:rPr>
      </w:pPr>
    </w:p>
    <w:p w:rsidR="00A126E4" w:rsidRPr="00DD0307" w:rsidRDefault="00A126E4" w:rsidP="008B6C2F">
      <w:pPr>
        <w:tabs>
          <w:tab w:val="clear" w:pos="1440"/>
          <w:tab w:val="clear" w:pos="4320"/>
          <w:tab w:val="clear" w:pos="9072"/>
        </w:tabs>
        <w:snapToGrid/>
        <w:spacing w:line="360" w:lineRule="auto"/>
        <w:rPr>
          <w:i/>
          <w:szCs w:val="28"/>
        </w:rPr>
      </w:pPr>
      <w:r w:rsidRPr="00DD0307">
        <w:rPr>
          <w:i/>
          <w:szCs w:val="28"/>
        </w:rPr>
        <w:t>Disposition</w:t>
      </w:r>
    </w:p>
    <w:p w:rsidR="00A126E4" w:rsidRPr="00A126E4" w:rsidRDefault="00A126E4" w:rsidP="008B6C2F">
      <w:pPr>
        <w:tabs>
          <w:tab w:val="clear" w:pos="1440"/>
          <w:tab w:val="clear" w:pos="4320"/>
          <w:tab w:val="clear" w:pos="9072"/>
        </w:tabs>
        <w:snapToGrid/>
        <w:spacing w:line="360" w:lineRule="auto"/>
        <w:rPr>
          <w:szCs w:val="28"/>
        </w:rPr>
      </w:pPr>
    </w:p>
    <w:p w:rsidR="00A126E4" w:rsidRPr="00A126E4" w:rsidRDefault="00A126E4" w:rsidP="003A323B">
      <w:pPr>
        <w:pStyle w:val="ListParagraph"/>
        <w:numPr>
          <w:ilvl w:val="0"/>
          <w:numId w:val="3"/>
        </w:numPr>
        <w:tabs>
          <w:tab w:val="clear" w:pos="4320"/>
          <w:tab w:val="clear" w:pos="9072"/>
        </w:tabs>
        <w:spacing w:line="360" w:lineRule="auto"/>
        <w:ind w:left="0" w:firstLine="0"/>
        <w:jc w:val="both"/>
        <w:rPr>
          <w:szCs w:val="28"/>
        </w:rPr>
      </w:pPr>
      <w:r w:rsidRPr="00A126E4">
        <w:rPr>
          <w:szCs w:val="28"/>
        </w:rPr>
        <w:t>As the default judgment obtained by the plaintiff in each action is a regular judgment and Wong has failed to demonstrate a real prospect of success, the setting aside summons in each action must be dismissed.  I so order.</w:t>
      </w:r>
    </w:p>
    <w:p w:rsidR="00A126E4" w:rsidRPr="00A126E4" w:rsidRDefault="00A126E4" w:rsidP="002E5C42">
      <w:pPr>
        <w:tabs>
          <w:tab w:val="clear" w:pos="1440"/>
          <w:tab w:val="clear" w:pos="4320"/>
          <w:tab w:val="clear" w:pos="9072"/>
        </w:tabs>
        <w:snapToGrid/>
        <w:spacing w:line="360" w:lineRule="auto"/>
        <w:rPr>
          <w:szCs w:val="28"/>
        </w:rPr>
      </w:pPr>
    </w:p>
    <w:p w:rsidR="00A126E4" w:rsidRPr="00A126E4" w:rsidRDefault="00764626" w:rsidP="003A323B">
      <w:pPr>
        <w:pStyle w:val="ListParagraph"/>
        <w:numPr>
          <w:ilvl w:val="0"/>
          <w:numId w:val="3"/>
        </w:numPr>
        <w:tabs>
          <w:tab w:val="clear" w:pos="4320"/>
          <w:tab w:val="clear" w:pos="9072"/>
        </w:tabs>
        <w:spacing w:line="360" w:lineRule="auto"/>
        <w:ind w:left="0" w:firstLine="0"/>
        <w:jc w:val="both"/>
        <w:rPr>
          <w:szCs w:val="28"/>
        </w:rPr>
      </w:pPr>
      <w:r>
        <w:rPr>
          <w:szCs w:val="28"/>
        </w:rPr>
        <w:t>The parties agree that costs should follow the event, with a certificate for counsel.</w:t>
      </w:r>
      <w:r w:rsidR="00A126E4" w:rsidRPr="00A126E4">
        <w:rPr>
          <w:szCs w:val="28"/>
        </w:rPr>
        <w:t xml:space="preserve">  I make a costs order in each action that costs of the setting aside summons (including all costs reserved, if any) be to the plaintiff in that action forthwith, with a certificate for counsel, to be taxed </w:t>
      </w:r>
      <w:r w:rsidR="00A126E4" w:rsidRPr="00A126E4">
        <w:rPr>
          <w:szCs w:val="28"/>
        </w:rPr>
        <w:lastRenderedPageBreak/>
        <w:t>if not agreed.</w:t>
      </w:r>
      <w:r>
        <w:rPr>
          <w:szCs w:val="28"/>
        </w:rPr>
        <w:t xml:space="preserve">  In DCPI 439/2015, I further order that the plaintiff’s own costs be taxed in accordance with the Legal Aid Regulations.</w:t>
      </w:r>
    </w:p>
    <w:p w:rsidR="00A126E4" w:rsidRPr="00A126E4" w:rsidRDefault="00A126E4" w:rsidP="002E5C42">
      <w:pPr>
        <w:tabs>
          <w:tab w:val="clear" w:pos="1440"/>
          <w:tab w:val="clear" w:pos="4320"/>
          <w:tab w:val="clear" w:pos="9072"/>
        </w:tabs>
        <w:snapToGrid/>
        <w:spacing w:line="360" w:lineRule="auto"/>
        <w:rPr>
          <w:szCs w:val="28"/>
        </w:rPr>
      </w:pPr>
    </w:p>
    <w:p w:rsidR="00A126E4" w:rsidRPr="00A126E4" w:rsidRDefault="00A126E4" w:rsidP="003A323B">
      <w:pPr>
        <w:pStyle w:val="ListParagraph"/>
        <w:numPr>
          <w:ilvl w:val="0"/>
          <w:numId w:val="3"/>
        </w:numPr>
        <w:tabs>
          <w:tab w:val="clear" w:pos="4320"/>
          <w:tab w:val="clear" w:pos="9072"/>
        </w:tabs>
        <w:spacing w:line="360" w:lineRule="auto"/>
        <w:ind w:left="0" w:firstLine="0"/>
        <w:jc w:val="both"/>
        <w:rPr>
          <w:szCs w:val="28"/>
        </w:rPr>
      </w:pPr>
      <w:r w:rsidRPr="00A126E4">
        <w:rPr>
          <w:szCs w:val="28"/>
        </w:rPr>
        <w:t xml:space="preserve">I thank Mr Gidwani and Ms Chan for the helpful assistance provided to the court.  </w:t>
      </w:r>
    </w:p>
    <w:p w:rsidR="00A126E4" w:rsidRPr="00A126E4" w:rsidRDefault="00A126E4" w:rsidP="008B6C2F">
      <w:pPr>
        <w:tabs>
          <w:tab w:val="clear" w:pos="1440"/>
          <w:tab w:val="clear" w:pos="4320"/>
          <w:tab w:val="clear" w:pos="9072"/>
        </w:tabs>
        <w:snapToGrid/>
        <w:spacing w:line="360" w:lineRule="auto"/>
        <w:rPr>
          <w:szCs w:val="28"/>
        </w:rPr>
      </w:pPr>
    </w:p>
    <w:p w:rsidR="00A126E4" w:rsidRDefault="00A126E4" w:rsidP="008B6C2F">
      <w:pPr>
        <w:spacing w:line="360" w:lineRule="auto"/>
        <w:jc w:val="both"/>
        <w:rPr>
          <w:szCs w:val="28"/>
        </w:rPr>
      </w:pPr>
    </w:p>
    <w:p w:rsidR="00AE4F80" w:rsidRDefault="00AE4F80" w:rsidP="008B6C2F">
      <w:pPr>
        <w:pStyle w:val="Level1"/>
        <w:tabs>
          <w:tab w:val="left" w:pos="1440"/>
        </w:tabs>
        <w:spacing w:line="360" w:lineRule="auto"/>
        <w:jc w:val="both"/>
        <w:rPr>
          <w:rFonts w:eastAsia="宋体"/>
          <w:sz w:val="28"/>
          <w:szCs w:val="28"/>
          <w:lang w:eastAsia="zh-CN"/>
        </w:rPr>
      </w:pPr>
    </w:p>
    <w:p w:rsidR="001B52F8" w:rsidRPr="004B3773" w:rsidRDefault="001B52F8" w:rsidP="008B6C2F">
      <w:pPr>
        <w:pStyle w:val="Level1"/>
        <w:tabs>
          <w:tab w:val="left" w:pos="1440"/>
        </w:tabs>
        <w:spacing w:line="360" w:lineRule="auto"/>
        <w:jc w:val="both"/>
        <w:rPr>
          <w:rFonts w:eastAsia="宋体"/>
          <w:sz w:val="28"/>
          <w:szCs w:val="28"/>
          <w:lang w:eastAsia="zh-CN"/>
        </w:rPr>
      </w:pPr>
    </w:p>
    <w:p w:rsidR="00AE4F80" w:rsidRPr="004B3773" w:rsidRDefault="00AE4F80" w:rsidP="008B6C2F">
      <w:pPr>
        <w:pStyle w:val="Level1"/>
        <w:tabs>
          <w:tab w:val="left" w:pos="1440"/>
        </w:tabs>
        <w:spacing w:line="360" w:lineRule="auto"/>
        <w:jc w:val="both"/>
        <w:rPr>
          <w:rFonts w:eastAsia="宋体"/>
          <w:sz w:val="28"/>
          <w:szCs w:val="28"/>
          <w:lang w:val="en-GB" w:eastAsia="zh-CN"/>
        </w:rPr>
      </w:pPr>
    </w:p>
    <w:p w:rsidR="0089643F" w:rsidRPr="004B3773" w:rsidRDefault="0089643F" w:rsidP="00D16E04">
      <w:pPr>
        <w:tabs>
          <w:tab w:val="clear" w:pos="4320"/>
          <w:tab w:val="clear" w:pos="9072"/>
          <w:tab w:val="center" w:pos="6480"/>
        </w:tabs>
        <w:jc w:val="both"/>
        <w:rPr>
          <w:rFonts w:eastAsia="PMingLiU"/>
          <w:szCs w:val="28"/>
        </w:rPr>
      </w:pPr>
      <w:r w:rsidRPr="004B3773">
        <w:rPr>
          <w:rFonts w:eastAsia="PMingLiU"/>
          <w:szCs w:val="28"/>
        </w:rPr>
        <w:tab/>
      </w:r>
      <w:r w:rsidRPr="004B3773">
        <w:rPr>
          <w:rFonts w:eastAsia="PMingLiU"/>
          <w:szCs w:val="28"/>
        </w:rPr>
        <w:tab/>
        <w:t xml:space="preserve">( </w:t>
      </w:r>
      <w:r w:rsidR="00B6049E" w:rsidRPr="004B3773">
        <w:rPr>
          <w:rFonts w:eastAsia="PMingLiU"/>
          <w:szCs w:val="28"/>
        </w:rPr>
        <w:t>MK Liu</w:t>
      </w:r>
      <w:r w:rsidRPr="004B3773">
        <w:rPr>
          <w:rFonts w:eastAsia="PMingLiU"/>
          <w:szCs w:val="28"/>
        </w:rPr>
        <w:t xml:space="preserve"> )</w:t>
      </w:r>
    </w:p>
    <w:p w:rsidR="0089643F" w:rsidRPr="004B3773" w:rsidRDefault="0089643F" w:rsidP="00D16E04">
      <w:pPr>
        <w:tabs>
          <w:tab w:val="clear" w:pos="4320"/>
          <w:tab w:val="clear" w:pos="9072"/>
          <w:tab w:val="center" w:pos="6480"/>
        </w:tabs>
        <w:jc w:val="both"/>
        <w:rPr>
          <w:rFonts w:eastAsia="PMingLiU"/>
          <w:bCs/>
          <w:szCs w:val="28"/>
        </w:rPr>
      </w:pPr>
      <w:r w:rsidRPr="004B3773">
        <w:rPr>
          <w:rFonts w:eastAsia="PMingLiU"/>
          <w:szCs w:val="28"/>
        </w:rPr>
        <w:tab/>
      </w:r>
      <w:r w:rsidRPr="004B3773">
        <w:rPr>
          <w:rFonts w:eastAsia="PMingLiU"/>
          <w:szCs w:val="28"/>
        </w:rPr>
        <w:tab/>
        <w:t>District Judge</w:t>
      </w:r>
    </w:p>
    <w:p w:rsidR="007745A1" w:rsidRPr="004B3773" w:rsidRDefault="007745A1" w:rsidP="00D16E04">
      <w:pPr>
        <w:jc w:val="both"/>
        <w:rPr>
          <w:rFonts w:eastAsia="PMingLiU"/>
          <w:szCs w:val="28"/>
        </w:rPr>
      </w:pPr>
    </w:p>
    <w:p w:rsidR="004B3773" w:rsidRPr="004B3773" w:rsidRDefault="004B3773" w:rsidP="00D16E04">
      <w:pPr>
        <w:jc w:val="both"/>
        <w:rPr>
          <w:rFonts w:eastAsia="PMingLiU"/>
          <w:szCs w:val="28"/>
        </w:rPr>
      </w:pPr>
    </w:p>
    <w:p w:rsidR="00BF6467" w:rsidRDefault="00BC74B5" w:rsidP="00D16E04">
      <w:pPr>
        <w:jc w:val="both"/>
        <w:rPr>
          <w:rFonts w:eastAsia="PMingLiU"/>
          <w:szCs w:val="28"/>
        </w:rPr>
      </w:pPr>
      <w:r>
        <w:rPr>
          <w:rFonts w:eastAsia="PMingLiU"/>
          <w:szCs w:val="28"/>
        </w:rPr>
        <w:t>Mr Victor Gidwani</w:t>
      </w:r>
      <w:r w:rsidR="00E36D65" w:rsidRPr="004B3773">
        <w:rPr>
          <w:rFonts w:eastAsia="PMingLiU"/>
          <w:szCs w:val="28"/>
        </w:rPr>
        <w:t xml:space="preserve">, instructed by </w:t>
      </w:r>
      <w:r w:rsidR="005B40A8">
        <w:rPr>
          <w:rFonts w:eastAsia="PMingLiU"/>
          <w:szCs w:val="28"/>
        </w:rPr>
        <w:t>KCL &amp; Partners</w:t>
      </w:r>
      <w:r w:rsidR="00E36D65" w:rsidRPr="004B3773">
        <w:rPr>
          <w:rFonts w:eastAsia="PMingLiU"/>
          <w:szCs w:val="28"/>
        </w:rPr>
        <w:t xml:space="preserve">, assigned by </w:t>
      </w:r>
      <w:r w:rsidR="00B6049E" w:rsidRPr="004B3773">
        <w:rPr>
          <w:rFonts w:eastAsia="PMingLiU"/>
          <w:szCs w:val="28"/>
        </w:rPr>
        <w:t>the Director of Legal Aid</w:t>
      </w:r>
      <w:r w:rsidR="001F4589" w:rsidRPr="004B3773">
        <w:rPr>
          <w:rFonts w:eastAsia="PMingLiU"/>
          <w:szCs w:val="28"/>
        </w:rPr>
        <w:t>,</w:t>
      </w:r>
      <w:r w:rsidR="00B6049E" w:rsidRPr="004B3773">
        <w:rPr>
          <w:rFonts w:eastAsia="PMingLiU"/>
          <w:szCs w:val="28"/>
        </w:rPr>
        <w:t xml:space="preserve"> for the plaintiff</w:t>
      </w:r>
      <w:r w:rsidR="005B40A8">
        <w:rPr>
          <w:rFonts w:eastAsia="PMingLiU"/>
          <w:szCs w:val="28"/>
        </w:rPr>
        <w:t xml:space="preserve"> (DCPI 439/2015)</w:t>
      </w:r>
    </w:p>
    <w:p w:rsidR="005B40A8" w:rsidRDefault="005B40A8" w:rsidP="00D16E04">
      <w:pPr>
        <w:jc w:val="both"/>
        <w:rPr>
          <w:rFonts w:eastAsia="PMingLiU"/>
          <w:szCs w:val="28"/>
        </w:rPr>
      </w:pPr>
    </w:p>
    <w:p w:rsidR="005B40A8" w:rsidRDefault="00BC74B5" w:rsidP="00D16E04">
      <w:pPr>
        <w:jc w:val="both"/>
        <w:rPr>
          <w:rFonts w:eastAsia="PMingLiU"/>
          <w:szCs w:val="28"/>
        </w:rPr>
      </w:pPr>
      <w:r>
        <w:rPr>
          <w:rFonts w:eastAsia="PMingLiU"/>
          <w:szCs w:val="28"/>
        </w:rPr>
        <w:t>Mr Victor Gidwani</w:t>
      </w:r>
      <w:r w:rsidR="005B40A8" w:rsidRPr="004B3773">
        <w:rPr>
          <w:rFonts w:eastAsia="PMingLiU"/>
          <w:szCs w:val="28"/>
        </w:rPr>
        <w:t xml:space="preserve">, instructed by </w:t>
      </w:r>
      <w:r w:rsidR="005B40A8">
        <w:rPr>
          <w:rFonts w:eastAsia="PMingLiU"/>
          <w:szCs w:val="28"/>
        </w:rPr>
        <w:t>KCL &amp; Partners</w:t>
      </w:r>
      <w:r w:rsidR="005B40A8" w:rsidRPr="004B3773">
        <w:rPr>
          <w:rFonts w:eastAsia="PMingLiU"/>
          <w:szCs w:val="28"/>
        </w:rPr>
        <w:t>, for the plaintiff</w:t>
      </w:r>
      <w:r w:rsidR="005B40A8">
        <w:rPr>
          <w:rFonts w:eastAsia="PMingLiU"/>
          <w:szCs w:val="28"/>
        </w:rPr>
        <w:t xml:space="preserve"> (DCPI 96/2015 and DCPI 476/2015)</w:t>
      </w:r>
    </w:p>
    <w:p w:rsidR="00AE4F80" w:rsidRPr="004B3773" w:rsidRDefault="00AE4F80" w:rsidP="00D16E04">
      <w:pPr>
        <w:tabs>
          <w:tab w:val="center" w:pos="4253"/>
          <w:tab w:val="right" w:pos="8505"/>
        </w:tabs>
        <w:jc w:val="both"/>
        <w:rPr>
          <w:szCs w:val="28"/>
        </w:rPr>
      </w:pPr>
    </w:p>
    <w:p w:rsidR="00CA2B1C" w:rsidRPr="004B3773" w:rsidRDefault="00BC74B5" w:rsidP="00D16E04">
      <w:pPr>
        <w:tabs>
          <w:tab w:val="center" w:pos="4253"/>
          <w:tab w:val="right" w:pos="8505"/>
        </w:tabs>
        <w:jc w:val="both"/>
        <w:rPr>
          <w:szCs w:val="28"/>
        </w:rPr>
      </w:pPr>
      <w:r>
        <w:rPr>
          <w:szCs w:val="28"/>
        </w:rPr>
        <w:t>Miss Joyce M Y Chan</w:t>
      </w:r>
      <w:r w:rsidR="00B42A2B" w:rsidRPr="004B3773">
        <w:rPr>
          <w:szCs w:val="28"/>
        </w:rPr>
        <w:t xml:space="preserve">, instructed by </w:t>
      </w:r>
      <w:r w:rsidR="00A126E4">
        <w:rPr>
          <w:szCs w:val="28"/>
        </w:rPr>
        <w:t>Pansy Leung Tang &amp; Chua</w:t>
      </w:r>
      <w:r w:rsidR="00B42A2B" w:rsidRPr="004B3773">
        <w:rPr>
          <w:szCs w:val="28"/>
        </w:rPr>
        <w:t>,</w:t>
      </w:r>
      <w:r w:rsidR="00CA2B1C" w:rsidRPr="004B3773">
        <w:rPr>
          <w:szCs w:val="28"/>
        </w:rPr>
        <w:t xml:space="preserve"> for the defendant</w:t>
      </w:r>
      <w:r w:rsidR="00BB0582">
        <w:rPr>
          <w:szCs w:val="28"/>
        </w:rPr>
        <w:t xml:space="preserve"> (DCPI 96/2015, DCPI 439/2015 and DCPI 476/2015)</w:t>
      </w:r>
    </w:p>
    <w:p w:rsidR="00F42672" w:rsidRPr="004B3773" w:rsidRDefault="00F42672" w:rsidP="00D16E04">
      <w:pPr>
        <w:tabs>
          <w:tab w:val="clear" w:pos="4320"/>
          <w:tab w:val="clear" w:pos="9072"/>
        </w:tabs>
        <w:jc w:val="both"/>
        <w:rPr>
          <w:rFonts w:eastAsia="PMingLiU"/>
          <w:bCs/>
          <w:szCs w:val="28"/>
        </w:rPr>
      </w:pPr>
    </w:p>
    <w:sectPr w:rsidR="00F42672" w:rsidRPr="004B3773" w:rsidSect="00AA0F11">
      <w:headerReference w:type="default" r:id="rId11"/>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1DA6" w:rsidRDefault="00BC1DA6">
      <w:r>
        <w:separator/>
      </w:r>
    </w:p>
  </w:endnote>
  <w:endnote w:type="continuationSeparator" w:id="0">
    <w:p w:rsidR="00BC1DA6" w:rsidRDefault="00BC1D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76F6" w:rsidRDefault="002076F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076F6" w:rsidRDefault="002076F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76F6" w:rsidRDefault="002076F6">
    <w:pPr>
      <w:pStyle w:val="Footer"/>
      <w:framePr w:wrap="around" w:vAnchor="text" w:hAnchor="margin" w:xAlign="right" w:y="1"/>
      <w:rPr>
        <w:rStyle w:val="PageNumber"/>
      </w:rPr>
    </w:pPr>
  </w:p>
  <w:p w:rsidR="002076F6" w:rsidRDefault="002076F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1DA6" w:rsidRDefault="00BC1DA6">
      <w:r>
        <w:separator/>
      </w:r>
    </w:p>
  </w:footnote>
  <w:footnote w:type="continuationSeparator" w:id="0">
    <w:p w:rsidR="00BC1DA6" w:rsidRDefault="00BC1DA6">
      <w:r>
        <w:continuationSeparator/>
      </w:r>
    </w:p>
  </w:footnote>
  <w:footnote w:id="1">
    <w:p w:rsidR="004C226A" w:rsidRDefault="004C226A" w:rsidP="002E5C42">
      <w:pPr>
        <w:pStyle w:val="FootnoteText"/>
        <w:ind w:left="180" w:hanging="180"/>
        <w:jc w:val="both"/>
      </w:pPr>
      <w:r>
        <w:rPr>
          <w:rStyle w:val="FootnoteReference"/>
        </w:rPr>
        <w:footnoteRef/>
      </w:r>
      <w:r>
        <w:t xml:space="preserve"> </w:t>
      </w:r>
      <w:r>
        <w:rPr>
          <w:rFonts w:hint="eastAsia"/>
        </w:rPr>
        <w:t xml:space="preserve"> While pa</w:t>
      </w:r>
      <w:r>
        <w:t>rts of the full name of Wong may be redacted on the deposit slips, it would not be difficult to see on the deposit slips that the full name of the account holder consists of 3 words and the first alphabet of each word.</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76F6" w:rsidRDefault="002076F6">
    <w:pPr>
      <w:pStyle w:val="Header"/>
    </w:pPr>
    <w:r w:rsidRPr="00D54FEA">
      <w:rPr>
        <w:noProof/>
        <w:sz w:val="20"/>
        <w:lang w:val="en-US" w:eastAsia="zh-CN"/>
      </w:rPr>
      <mc:AlternateContent>
        <mc:Choice Requires="wps">
          <w:drawing>
            <wp:anchor distT="0" distB="0" distL="114300" distR="114300" simplePos="0" relativeHeight="251656192" behindDoc="0" locked="0" layoutInCell="0" allowOverlap="1" wp14:anchorId="784DC512" wp14:editId="5A8E2C53">
              <wp:simplePos x="0" y="0"/>
              <wp:positionH relativeFrom="column">
                <wp:posOffset>5843905</wp:posOffset>
              </wp:positionH>
              <wp:positionV relativeFrom="paragraph">
                <wp:posOffset>155575</wp:posOffset>
              </wp:positionV>
              <wp:extent cx="414020" cy="10058400"/>
              <wp:effectExtent l="0" t="0" r="508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076F6" w:rsidRDefault="002076F6">
                          <w:pPr>
                            <w:rPr>
                              <w:b/>
                              <w:sz w:val="20"/>
                            </w:rPr>
                          </w:pPr>
                          <w:r>
                            <w:rPr>
                              <w:rFonts w:hint="eastAsia"/>
                              <w:b/>
                              <w:sz w:val="20"/>
                            </w:rPr>
                            <w:t>A</w:t>
                          </w:r>
                        </w:p>
                        <w:p w:rsidR="002076F6" w:rsidRDefault="002076F6">
                          <w:pPr>
                            <w:rPr>
                              <w:b/>
                              <w:sz w:val="10"/>
                            </w:rPr>
                          </w:pPr>
                        </w:p>
                        <w:p w:rsidR="002076F6" w:rsidRDefault="002076F6">
                          <w:pPr>
                            <w:rPr>
                              <w:b/>
                              <w:sz w:val="16"/>
                            </w:rPr>
                          </w:pPr>
                        </w:p>
                        <w:p w:rsidR="002076F6" w:rsidRDefault="002076F6">
                          <w:pPr>
                            <w:rPr>
                              <w:b/>
                              <w:sz w:val="16"/>
                            </w:rPr>
                          </w:pPr>
                        </w:p>
                        <w:p w:rsidR="002076F6" w:rsidRDefault="002076F6">
                          <w:pPr>
                            <w:rPr>
                              <w:b/>
                              <w:sz w:val="20"/>
                            </w:rPr>
                          </w:pPr>
                          <w:r>
                            <w:rPr>
                              <w:rFonts w:hint="eastAsia"/>
                              <w:b/>
                              <w:sz w:val="20"/>
                            </w:rPr>
                            <w:t>B</w:t>
                          </w:r>
                        </w:p>
                        <w:p w:rsidR="002076F6" w:rsidRDefault="002076F6">
                          <w:pPr>
                            <w:rPr>
                              <w:b/>
                              <w:sz w:val="10"/>
                            </w:rPr>
                          </w:pPr>
                        </w:p>
                        <w:p w:rsidR="002076F6" w:rsidRDefault="002076F6">
                          <w:pPr>
                            <w:rPr>
                              <w:b/>
                              <w:sz w:val="16"/>
                            </w:rPr>
                          </w:pPr>
                        </w:p>
                        <w:p w:rsidR="002076F6" w:rsidRDefault="002076F6">
                          <w:pPr>
                            <w:rPr>
                              <w:b/>
                              <w:sz w:val="16"/>
                            </w:rPr>
                          </w:pPr>
                        </w:p>
                        <w:p w:rsidR="002076F6" w:rsidRDefault="002076F6">
                          <w:pPr>
                            <w:rPr>
                              <w:b/>
                              <w:sz w:val="16"/>
                            </w:rPr>
                          </w:pPr>
                          <w:r>
                            <w:rPr>
                              <w:rFonts w:hint="eastAsia"/>
                              <w:b/>
                              <w:sz w:val="20"/>
                            </w:rPr>
                            <w:t>C</w:t>
                          </w:r>
                        </w:p>
                        <w:p w:rsidR="002076F6" w:rsidRDefault="002076F6">
                          <w:pPr>
                            <w:rPr>
                              <w:b/>
                              <w:sz w:val="10"/>
                            </w:rPr>
                          </w:pPr>
                        </w:p>
                        <w:p w:rsidR="002076F6" w:rsidRDefault="002076F6">
                          <w:pPr>
                            <w:rPr>
                              <w:b/>
                              <w:sz w:val="16"/>
                            </w:rPr>
                          </w:pPr>
                        </w:p>
                        <w:p w:rsidR="002076F6" w:rsidRDefault="002076F6">
                          <w:pPr>
                            <w:rPr>
                              <w:b/>
                              <w:sz w:val="16"/>
                            </w:rPr>
                          </w:pPr>
                        </w:p>
                        <w:p w:rsidR="002076F6" w:rsidRDefault="002076F6">
                          <w:pPr>
                            <w:pStyle w:val="Heading2"/>
                            <w:rPr>
                              <w:sz w:val="16"/>
                            </w:rPr>
                          </w:pPr>
                          <w:r>
                            <w:rPr>
                              <w:rFonts w:hint="eastAsia"/>
                            </w:rPr>
                            <w:t>D</w:t>
                          </w:r>
                        </w:p>
                        <w:p w:rsidR="002076F6" w:rsidRDefault="002076F6">
                          <w:pPr>
                            <w:rPr>
                              <w:b/>
                              <w:sz w:val="10"/>
                            </w:rPr>
                          </w:pPr>
                        </w:p>
                        <w:p w:rsidR="002076F6" w:rsidRDefault="002076F6">
                          <w:pPr>
                            <w:rPr>
                              <w:b/>
                              <w:sz w:val="16"/>
                            </w:rPr>
                          </w:pPr>
                        </w:p>
                        <w:p w:rsidR="002076F6" w:rsidRDefault="002076F6">
                          <w:pPr>
                            <w:rPr>
                              <w:b/>
                              <w:sz w:val="16"/>
                            </w:rPr>
                          </w:pPr>
                        </w:p>
                        <w:p w:rsidR="002076F6" w:rsidRDefault="002076F6">
                          <w:pPr>
                            <w:rPr>
                              <w:b/>
                              <w:sz w:val="16"/>
                            </w:rPr>
                          </w:pPr>
                          <w:r>
                            <w:rPr>
                              <w:rFonts w:hint="eastAsia"/>
                              <w:b/>
                              <w:sz w:val="20"/>
                            </w:rPr>
                            <w:t>E</w:t>
                          </w:r>
                        </w:p>
                        <w:p w:rsidR="002076F6" w:rsidRDefault="002076F6">
                          <w:pPr>
                            <w:rPr>
                              <w:b/>
                              <w:sz w:val="10"/>
                            </w:rPr>
                          </w:pPr>
                        </w:p>
                        <w:p w:rsidR="002076F6" w:rsidRDefault="002076F6">
                          <w:pPr>
                            <w:rPr>
                              <w:b/>
                              <w:sz w:val="16"/>
                            </w:rPr>
                          </w:pPr>
                        </w:p>
                        <w:p w:rsidR="002076F6" w:rsidRDefault="002076F6">
                          <w:pPr>
                            <w:rPr>
                              <w:b/>
                              <w:sz w:val="16"/>
                            </w:rPr>
                          </w:pPr>
                        </w:p>
                        <w:p w:rsidR="002076F6" w:rsidRDefault="002076F6">
                          <w:pPr>
                            <w:rPr>
                              <w:b/>
                              <w:sz w:val="20"/>
                            </w:rPr>
                          </w:pPr>
                          <w:r>
                            <w:rPr>
                              <w:rFonts w:hint="eastAsia"/>
                              <w:b/>
                              <w:sz w:val="20"/>
                            </w:rPr>
                            <w:t>F</w:t>
                          </w:r>
                        </w:p>
                        <w:p w:rsidR="002076F6" w:rsidRDefault="002076F6">
                          <w:pPr>
                            <w:rPr>
                              <w:b/>
                              <w:sz w:val="10"/>
                            </w:rPr>
                          </w:pPr>
                        </w:p>
                        <w:p w:rsidR="002076F6" w:rsidRDefault="002076F6">
                          <w:pPr>
                            <w:rPr>
                              <w:b/>
                              <w:sz w:val="16"/>
                            </w:rPr>
                          </w:pPr>
                        </w:p>
                        <w:p w:rsidR="002076F6" w:rsidRDefault="002076F6">
                          <w:pPr>
                            <w:rPr>
                              <w:b/>
                              <w:sz w:val="16"/>
                            </w:rPr>
                          </w:pPr>
                        </w:p>
                        <w:p w:rsidR="002076F6" w:rsidRDefault="002076F6">
                          <w:pPr>
                            <w:rPr>
                              <w:b/>
                              <w:sz w:val="16"/>
                            </w:rPr>
                          </w:pPr>
                          <w:r>
                            <w:rPr>
                              <w:rFonts w:hint="eastAsia"/>
                              <w:b/>
                              <w:sz w:val="20"/>
                            </w:rPr>
                            <w:t>G</w:t>
                          </w:r>
                        </w:p>
                        <w:p w:rsidR="002076F6" w:rsidRDefault="002076F6">
                          <w:pPr>
                            <w:rPr>
                              <w:b/>
                              <w:sz w:val="10"/>
                            </w:rPr>
                          </w:pPr>
                        </w:p>
                        <w:p w:rsidR="002076F6" w:rsidRDefault="002076F6">
                          <w:pPr>
                            <w:rPr>
                              <w:b/>
                              <w:sz w:val="16"/>
                            </w:rPr>
                          </w:pPr>
                        </w:p>
                        <w:p w:rsidR="002076F6" w:rsidRDefault="002076F6">
                          <w:pPr>
                            <w:rPr>
                              <w:b/>
                              <w:sz w:val="16"/>
                            </w:rPr>
                          </w:pPr>
                        </w:p>
                        <w:p w:rsidR="002076F6" w:rsidRDefault="002076F6">
                          <w:pPr>
                            <w:rPr>
                              <w:b/>
                              <w:sz w:val="16"/>
                            </w:rPr>
                          </w:pPr>
                          <w:r>
                            <w:rPr>
                              <w:rFonts w:hint="eastAsia"/>
                              <w:b/>
                              <w:sz w:val="20"/>
                            </w:rPr>
                            <w:t>H</w:t>
                          </w:r>
                        </w:p>
                        <w:p w:rsidR="002076F6" w:rsidRDefault="002076F6">
                          <w:pPr>
                            <w:rPr>
                              <w:b/>
                              <w:sz w:val="10"/>
                            </w:rPr>
                          </w:pPr>
                        </w:p>
                        <w:p w:rsidR="002076F6" w:rsidRDefault="002076F6">
                          <w:pPr>
                            <w:rPr>
                              <w:b/>
                              <w:sz w:val="16"/>
                            </w:rPr>
                          </w:pPr>
                        </w:p>
                        <w:p w:rsidR="002076F6" w:rsidRDefault="002076F6">
                          <w:pPr>
                            <w:rPr>
                              <w:b/>
                              <w:sz w:val="16"/>
                            </w:rPr>
                          </w:pPr>
                        </w:p>
                        <w:p w:rsidR="002076F6" w:rsidRDefault="002076F6">
                          <w:pPr>
                            <w:rPr>
                              <w:b/>
                              <w:sz w:val="16"/>
                            </w:rPr>
                          </w:pPr>
                          <w:r>
                            <w:rPr>
                              <w:rFonts w:hint="eastAsia"/>
                              <w:b/>
                              <w:sz w:val="20"/>
                            </w:rPr>
                            <w:t>I</w:t>
                          </w:r>
                        </w:p>
                        <w:p w:rsidR="002076F6" w:rsidRDefault="002076F6">
                          <w:pPr>
                            <w:rPr>
                              <w:b/>
                              <w:sz w:val="10"/>
                            </w:rPr>
                          </w:pPr>
                        </w:p>
                        <w:p w:rsidR="002076F6" w:rsidRDefault="002076F6">
                          <w:pPr>
                            <w:rPr>
                              <w:b/>
                              <w:sz w:val="16"/>
                            </w:rPr>
                          </w:pPr>
                        </w:p>
                        <w:p w:rsidR="002076F6" w:rsidRDefault="002076F6">
                          <w:pPr>
                            <w:rPr>
                              <w:b/>
                              <w:sz w:val="16"/>
                            </w:rPr>
                          </w:pPr>
                        </w:p>
                        <w:p w:rsidR="002076F6" w:rsidRDefault="002076F6">
                          <w:pPr>
                            <w:rPr>
                              <w:b/>
                              <w:sz w:val="16"/>
                            </w:rPr>
                          </w:pPr>
                          <w:r>
                            <w:rPr>
                              <w:rFonts w:hint="eastAsia"/>
                              <w:b/>
                              <w:sz w:val="20"/>
                            </w:rPr>
                            <w:t>J</w:t>
                          </w:r>
                        </w:p>
                        <w:p w:rsidR="002076F6" w:rsidRDefault="002076F6">
                          <w:pPr>
                            <w:rPr>
                              <w:b/>
                              <w:sz w:val="10"/>
                            </w:rPr>
                          </w:pPr>
                        </w:p>
                        <w:p w:rsidR="002076F6" w:rsidRDefault="002076F6">
                          <w:pPr>
                            <w:rPr>
                              <w:b/>
                              <w:sz w:val="16"/>
                            </w:rPr>
                          </w:pPr>
                        </w:p>
                        <w:p w:rsidR="002076F6" w:rsidRDefault="002076F6">
                          <w:pPr>
                            <w:rPr>
                              <w:b/>
                              <w:sz w:val="16"/>
                            </w:rPr>
                          </w:pPr>
                        </w:p>
                        <w:p w:rsidR="002076F6" w:rsidRDefault="002076F6">
                          <w:pPr>
                            <w:rPr>
                              <w:b/>
                              <w:sz w:val="16"/>
                            </w:rPr>
                          </w:pPr>
                          <w:r>
                            <w:rPr>
                              <w:rFonts w:hint="eastAsia"/>
                              <w:b/>
                              <w:sz w:val="20"/>
                            </w:rPr>
                            <w:t>K</w:t>
                          </w:r>
                        </w:p>
                        <w:p w:rsidR="002076F6" w:rsidRDefault="002076F6">
                          <w:pPr>
                            <w:rPr>
                              <w:b/>
                              <w:sz w:val="10"/>
                            </w:rPr>
                          </w:pPr>
                        </w:p>
                        <w:p w:rsidR="002076F6" w:rsidRDefault="002076F6">
                          <w:pPr>
                            <w:rPr>
                              <w:b/>
                              <w:sz w:val="16"/>
                            </w:rPr>
                          </w:pPr>
                        </w:p>
                        <w:p w:rsidR="002076F6" w:rsidRDefault="002076F6">
                          <w:pPr>
                            <w:rPr>
                              <w:b/>
                              <w:sz w:val="16"/>
                            </w:rPr>
                          </w:pPr>
                        </w:p>
                        <w:p w:rsidR="002076F6" w:rsidRDefault="002076F6">
                          <w:pPr>
                            <w:rPr>
                              <w:b/>
                              <w:sz w:val="16"/>
                            </w:rPr>
                          </w:pPr>
                          <w:r>
                            <w:rPr>
                              <w:rFonts w:hint="eastAsia"/>
                              <w:b/>
                              <w:sz w:val="20"/>
                            </w:rPr>
                            <w:t>L</w:t>
                          </w:r>
                        </w:p>
                        <w:p w:rsidR="002076F6" w:rsidRDefault="002076F6">
                          <w:pPr>
                            <w:rPr>
                              <w:b/>
                              <w:sz w:val="10"/>
                            </w:rPr>
                          </w:pPr>
                        </w:p>
                        <w:p w:rsidR="002076F6" w:rsidRDefault="002076F6">
                          <w:pPr>
                            <w:rPr>
                              <w:b/>
                              <w:sz w:val="16"/>
                            </w:rPr>
                          </w:pPr>
                        </w:p>
                        <w:p w:rsidR="002076F6" w:rsidRDefault="002076F6">
                          <w:pPr>
                            <w:rPr>
                              <w:b/>
                              <w:sz w:val="16"/>
                            </w:rPr>
                          </w:pPr>
                        </w:p>
                        <w:p w:rsidR="002076F6" w:rsidRDefault="002076F6">
                          <w:pPr>
                            <w:rPr>
                              <w:b/>
                              <w:sz w:val="16"/>
                            </w:rPr>
                          </w:pPr>
                          <w:r>
                            <w:rPr>
                              <w:rFonts w:hint="eastAsia"/>
                              <w:b/>
                              <w:sz w:val="20"/>
                            </w:rPr>
                            <w:t>M</w:t>
                          </w:r>
                        </w:p>
                        <w:p w:rsidR="002076F6" w:rsidRDefault="002076F6">
                          <w:pPr>
                            <w:rPr>
                              <w:b/>
                              <w:sz w:val="10"/>
                            </w:rPr>
                          </w:pPr>
                        </w:p>
                        <w:p w:rsidR="002076F6" w:rsidRDefault="002076F6">
                          <w:pPr>
                            <w:rPr>
                              <w:b/>
                              <w:sz w:val="16"/>
                            </w:rPr>
                          </w:pPr>
                        </w:p>
                        <w:p w:rsidR="002076F6" w:rsidRDefault="002076F6">
                          <w:pPr>
                            <w:rPr>
                              <w:b/>
                              <w:sz w:val="16"/>
                            </w:rPr>
                          </w:pPr>
                        </w:p>
                        <w:p w:rsidR="002076F6" w:rsidRDefault="002076F6">
                          <w:pPr>
                            <w:rPr>
                              <w:b/>
                              <w:sz w:val="16"/>
                            </w:rPr>
                          </w:pPr>
                          <w:r>
                            <w:rPr>
                              <w:rFonts w:hint="eastAsia"/>
                              <w:b/>
                              <w:sz w:val="20"/>
                            </w:rPr>
                            <w:t>N</w:t>
                          </w:r>
                        </w:p>
                        <w:p w:rsidR="002076F6" w:rsidRDefault="002076F6">
                          <w:pPr>
                            <w:rPr>
                              <w:b/>
                              <w:sz w:val="10"/>
                            </w:rPr>
                          </w:pPr>
                        </w:p>
                        <w:p w:rsidR="002076F6" w:rsidRDefault="002076F6">
                          <w:pPr>
                            <w:rPr>
                              <w:b/>
                              <w:sz w:val="16"/>
                            </w:rPr>
                          </w:pPr>
                        </w:p>
                        <w:p w:rsidR="002076F6" w:rsidRDefault="002076F6">
                          <w:pPr>
                            <w:rPr>
                              <w:b/>
                              <w:sz w:val="16"/>
                            </w:rPr>
                          </w:pPr>
                        </w:p>
                        <w:p w:rsidR="002076F6" w:rsidRDefault="002076F6">
                          <w:pPr>
                            <w:rPr>
                              <w:b/>
                              <w:sz w:val="16"/>
                            </w:rPr>
                          </w:pPr>
                          <w:r>
                            <w:rPr>
                              <w:rFonts w:hint="eastAsia"/>
                              <w:b/>
                              <w:sz w:val="20"/>
                            </w:rPr>
                            <w:t>O</w:t>
                          </w:r>
                        </w:p>
                        <w:p w:rsidR="002076F6" w:rsidRDefault="002076F6">
                          <w:pPr>
                            <w:rPr>
                              <w:b/>
                              <w:sz w:val="10"/>
                            </w:rPr>
                          </w:pPr>
                        </w:p>
                        <w:p w:rsidR="002076F6" w:rsidRDefault="002076F6">
                          <w:pPr>
                            <w:rPr>
                              <w:b/>
                              <w:sz w:val="16"/>
                            </w:rPr>
                          </w:pPr>
                        </w:p>
                        <w:p w:rsidR="002076F6" w:rsidRDefault="002076F6">
                          <w:pPr>
                            <w:rPr>
                              <w:b/>
                              <w:sz w:val="16"/>
                            </w:rPr>
                          </w:pPr>
                        </w:p>
                        <w:p w:rsidR="002076F6" w:rsidRDefault="002076F6">
                          <w:pPr>
                            <w:rPr>
                              <w:b/>
                              <w:sz w:val="16"/>
                            </w:rPr>
                          </w:pPr>
                          <w:r>
                            <w:rPr>
                              <w:rFonts w:hint="eastAsia"/>
                              <w:b/>
                              <w:sz w:val="20"/>
                            </w:rPr>
                            <w:t>P</w:t>
                          </w:r>
                        </w:p>
                        <w:p w:rsidR="002076F6" w:rsidRDefault="002076F6">
                          <w:pPr>
                            <w:rPr>
                              <w:b/>
                              <w:sz w:val="10"/>
                            </w:rPr>
                          </w:pPr>
                        </w:p>
                        <w:p w:rsidR="002076F6" w:rsidRDefault="002076F6">
                          <w:pPr>
                            <w:rPr>
                              <w:b/>
                              <w:sz w:val="16"/>
                            </w:rPr>
                          </w:pPr>
                        </w:p>
                        <w:p w:rsidR="002076F6" w:rsidRDefault="002076F6">
                          <w:pPr>
                            <w:rPr>
                              <w:b/>
                              <w:sz w:val="16"/>
                            </w:rPr>
                          </w:pPr>
                        </w:p>
                        <w:p w:rsidR="002076F6" w:rsidRDefault="002076F6">
                          <w:pPr>
                            <w:rPr>
                              <w:b/>
                              <w:sz w:val="16"/>
                            </w:rPr>
                          </w:pPr>
                          <w:r>
                            <w:rPr>
                              <w:rFonts w:hint="eastAsia"/>
                              <w:b/>
                              <w:sz w:val="20"/>
                            </w:rPr>
                            <w:t>Q</w:t>
                          </w:r>
                        </w:p>
                        <w:p w:rsidR="002076F6" w:rsidRDefault="002076F6">
                          <w:pPr>
                            <w:rPr>
                              <w:b/>
                              <w:sz w:val="10"/>
                            </w:rPr>
                          </w:pPr>
                        </w:p>
                        <w:p w:rsidR="002076F6" w:rsidRDefault="002076F6">
                          <w:pPr>
                            <w:rPr>
                              <w:b/>
                              <w:sz w:val="16"/>
                            </w:rPr>
                          </w:pPr>
                        </w:p>
                        <w:p w:rsidR="002076F6" w:rsidRDefault="002076F6">
                          <w:pPr>
                            <w:rPr>
                              <w:b/>
                              <w:sz w:val="16"/>
                            </w:rPr>
                          </w:pPr>
                        </w:p>
                        <w:p w:rsidR="002076F6" w:rsidRDefault="002076F6">
                          <w:pPr>
                            <w:rPr>
                              <w:b/>
                              <w:sz w:val="16"/>
                            </w:rPr>
                          </w:pPr>
                          <w:r>
                            <w:rPr>
                              <w:rFonts w:hint="eastAsia"/>
                              <w:b/>
                              <w:sz w:val="20"/>
                            </w:rPr>
                            <w:t>R</w:t>
                          </w:r>
                        </w:p>
                        <w:p w:rsidR="002076F6" w:rsidRDefault="002076F6">
                          <w:pPr>
                            <w:rPr>
                              <w:b/>
                              <w:sz w:val="10"/>
                            </w:rPr>
                          </w:pPr>
                        </w:p>
                        <w:p w:rsidR="002076F6" w:rsidRDefault="002076F6">
                          <w:pPr>
                            <w:rPr>
                              <w:b/>
                              <w:sz w:val="16"/>
                            </w:rPr>
                          </w:pPr>
                        </w:p>
                        <w:p w:rsidR="002076F6" w:rsidRDefault="002076F6">
                          <w:pPr>
                            <w:rPr>
                              <w:b/>
                              <w:sz w:val="16"/>
                            </w:rPr>
                          </w:pPr>
                        </w:p>
                        <w:p w:rsidR="002076F6" w:rsidRDefault="002076F6">
                          <w:pPr>
                            <w:rPr>
                              <w:b/>
                              <w:sz w:val="16"/>
                            </w:rPr>
                          </w:pPr>
                          <w:r>
                            <w:rPr>
                              <w:rFonts w:hint="eastAsia"/>
                              <w:b/>
                              <w:sz w:val="20"/>
                            </w:rPr>
                            <w:t>S</w:t>
                          </w:r>
                        </w:p>
                        <w:p w:rsidR="002076F6" w:rsidRDefault="002076F6">
                          <w:pPr>
                            <w:rPr>
                              <w:b/>
                              <w:sz w:val="10"/>
                            </w:rPr>
                          </w:pPr>
                        </w:p>
                        <w:p w:rsidR="002076F6" w:rsidRDefault="002076F6">
                          <w:pPr>
                            <w:rPr>
                              <w:b/>
                              <w:sz w:val="16"/>
                            </w:rPr>
                          </w:pPr>
                        </w:p>
                        <w:p w:rsidR="002076F6" w:rsidRDefault="002076F6">
                          <w:pPr>
                            <w:rPr>
                              <w:b/>
                              <w:sz w:val="16"/>
                            </w:rPr>
                          </w:pPr>
                        </w:p>
                        <w:p w:rsidR="002076F6" w:rsidRDefault="002076F6">
                          <w:pPr>
                            <w:rPr>
                              <w:b/>
                              <w:sz w:val="16"/>
                            </w:rPr>
                          </w:pPr>
                          <w:r>
                            <w:rPr>
                              <w:rFonts w:hint="eastAsia"/>
                              <w:b/>
                              <w:sz w:val="20"/>
                            </w:rPr>
                            <w:t>T</w:t>
                          </w:r>
                        </w:p>
                        <w:p w:rsidR="002076F6" w:rsidRDefault="002076F6">
                          <w:pPr>
                            <w:rPr>
                              <w:b/>
                              <w:sz w:val="10"/>
                            </w:rPr>
                          </w:pPr>
                        </w:p>
                        <w:p w:rsidR="002076F6" w:rsidRDefault="002076F6">
                          <w:pPr>
                            <w:rPr>
                              <w:b/>
                              <w:sz w:val="16"/>
                            </w:rPr>
                          </w:pPr>
                        </w:p>
                        <w:p w:rsidR="002076F6" w:rsidRDefault="002076F6">
                          <w:pPr>
                            <w:rPr>
                              <w:b/>
                              <w:sz w:val="16"/>
                            </w:rPr>
                          </w:pPr>
                        </w:p>
                        <w:p w:rsidR="002076F6" w:rsidRDefault="002076F6">
                          <w:pPr>
                            <w:rPr>
                              <w:b/>
                              <w:sz w:val="16"/>
                            </w:rPr>
                          </w:pPr>
                          <w:r>
                            <w:rPr>
                              <w:rFonts w:hint="eastAsia"/>
                              <w:b/>
                              <w:sz w:val="20"/>
                            </w:rPr>
                            <w:t>U</w:t>
                          </w:r>
                        </w:p>
                        <w:p w:rsidR="002076F6" w:rsidRDefault="002076F6">
                          <w:pPr>
                            <w:rPr>
                              <w:b/>
                              <w:sz w:val="10"/>
                            </w:rPr>
                          </w:pPr>
                        </w:p>
                        <w:p w:rsidR="002076F6" w:rsidRDefault="002076F6">
                          <w:pPr>
                            <w:rPr>
                              <w:b/>
                              <w:sz w:val="16"/>
                            </w:rPr>
                          </w:pPr>
                        </w:p>
                        <w:p w:rsidR="002076F6" w:rsidRDefault="002076F6">
                          <w:pPr>
                            <w:rPr>
                              <w:b/>
                              <w:sz w:val="16"/>
                            </w:rPr>
                          </w:pPr>
                        </w:p>
                        <w:p w:rsidR="002076F6" w:rsidRDefault="002076F6">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4DC512" id="_x0000_t202" coordsize="21600,21600" o:spt="202" path="m,l,21600r21600,l21600,xe">
              <v:stroke joinstyle="miter"/>
              <v:path gradientshapeok="t" o:connecttype="rect"/>
            </v:shapetype>
            <v:shape id="Text Box 2" o:spid="_x0000_s1026" type="#_x0000_t202" style="position:absolute;left:0;text-align:left;margin-left:460.15pt;margin-top:12.25pt;width:32.6pt;height:11in;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" o:allowincell="f" stroked="f">
              <v:textbox>
                <w:txbxContent>
                  <w:p w:rsidR="002076F6" w:rsidRDefault="002076F6">
                    <w:pPr>
                      <w:rPr>
                        <w:b/>
                        <w:sz w:val="20"/>
                      </w:rPr>
                    </w:pPr>
                    <w:r>
                      <w:rPr>
                        <w:rFonts w:hint="eastAsia"/>
                        <w:b/>
                        <w:sz w:val="20"/>
                      </w:rPr>
                      <w:t>A</w:t>
                    </w:r>
                  </w:p>
                  <w:p w:rsidR="002076F6" w:rsidRDefault="002076F6">
                    <w:pPr>
                      <w:rPr>
                        <w:b/>
                        <w:sz w:val="10"/>
                      </w:rPr>
                    </w:pPr>
                  </w:p>
                  <w:p w:rsidR="002076F6" w:rsidRDefault="002076F6">
                    <w:pPr>
                      <w:rPr>
                        <w:b/>
                        <w:sz w:val="16"/>
                      </w:rPr>
                    </w:pPr>
                  </w:p>
                  <w:p w:rsidR="002076F6" w:rsidRDefault="002076F6">
                    <w:pPr>
                      <w:rPr>
                        <w:b/>
                        <w:sz w:val="16"/>
                      </w:rPr>
                    </w:pPr>
                  </w:p>
                  <w:p w:rsidR="002076F6" w:rsidRDefault="002076F6">
                    <w:pPr>
                      <w:rPr>
                        <w:b/>
                        <w:sz w:val="20"/>
                      </w:rPr>
                    </w:pPr>
                    <w:r>
                      <w:rPr>
                        <w:rFonts w:hint="eastAsia"/>
                        <w:b/>
                        <w:sz w:val="20"/>
                      </w:rPr>
                      <w:t>B</w:t>
                    </w:r>
                  </w:p>
                  <w:p w:rsidR="002076F6" w:rsidRDefault="002076F6">
                    <w:pPr>
                      <w:rPr>
                        <w:b/>
                        <w:sz w:val="10"/>
                      </w:rPr>
                    </w:pPr>
                  </w:p>
                  <w:p w:rsidR="002076F6" w:rsidRDefault="002076F6">
                    <w:pPr>
                      <w:rPr>
                        <w:b/>
                        <w:sz w:val="16"/>
                      </w:rPr>
                    </w:pPr>
                  </w:p>
                  <w:p w:rsidR="002076F6" w:rsidRDefault="002076F6">
                    <w:pPr>
                      <w:rPr>
                        <w:b/>
                        <w:sz w:val="16"/>
                      </w:rPr>
                    </w:pPr>
                  </w:p>
                  <w:p w:rsidR="002076F6" w:rsidRDefault="002076F6">
                    <w:pPr>
                      <w:rPr>
                        <w:b/>
                        <w:sz w:val="16"/>
                      </w:rPr>
                    </w:pPr>
                    <w:r>
                      <w:rPr>
                        <w:rFonts w:hint="eastAsia"/>
                        <w:b/>
                        <w:sz w:val="20"/>
                      </w:rPr>
                      <w:t>C</w:t>
                    </w:r>
                  </w:p>
                  <w:p w:rsidR="002076F6" w:rsidRDefault="002076F6">
                    <w:pPr>
                      <w:rPr>
                        <w:b/>
                        <w:sz w:val="10"/>
                      </w:rPr>
                    </w:pPr>
                  </w:p>
                  <w:p w:rsidR="002076F6" w:rsidRDefault="002076F6">
                    <w:pPr>
                      <w:rPr>
                        <w:b/>
                        <w:sz w:val="16"/>
                      </w:rPr>
                    </w:pPr>
                  </w:p>
                  <w:p w:rsidR="002076F6" w:rsidRDefault="002076F6">
                    <w:pPr>
                      <w:rPr>
                        <w:b/>
                        <w:sz w:val="16"/>
                      </w:rPr>
                    </w:pPr>
                  </w:p>
                  <w:p w:rsidR="002076F6" w:rsidRDefault="002076F6">
                    <w:pPr>
                      <w:pStyle w:val="Heading2"/>
                      <w:rPr>
                        <w:sz w:val="16"/>
                      </w:rPr>
                    </w:pPr>
                    <w:r>
                      <w:rPr>
                        <w:rFonts w:hint="eastAsia"/>
                      </w:rPr>
                      <w:t>D</w:t>
                    </w:r>
                  </w:p>
                  <w:p w:rsidR="002076F6" w:rsidRDefault="002076F6">
                    <w:pPr>
                      <w:rPr>
                        <w:b/>
                        <w:sz w:val="10"/>
                      </w:rPr>
                    </w:pPr>
                  </w:p>
                  <w:p w:rsidR="002076F6" w:rsidRDefault="002076F6">
                    <w:pPr>
                      <w:rPr>
                        <w:b/>
                        <w:sz w:val="16"/>
                      </w:rPr>
                    </w:pPr>
                  </w:p>
                  <w:p w:rsidR="002076F6" w:rsidRDefault="002076F6">
                    <w:pPr>
                      <w:rPr>
                        <w:b/>
                        <w:sz w:val="16"/>
                      </w:rPr>
                    </w:pPr>
                  </w:p>
                  <w:p w:rsidR="002076F6" w:rsidRDefault="002076F6">
                    <w:pPr>
                      <w:rPr>
                        <w:b/>
                        <w:sz w:val="16"/>
                      </w:rPr>
                    </w:pPr>
                    <w:r>
                      <w:rPr>
                        <w:rFonts w:hint="eastAsia"/>
                        <w:b/>
                        <w:sz w:val="20"/>
                      </w:rPr>
                      <w:t>E</w:t>
                    </w:r>
                  </w:p>
                  <w:p w:rsidR="002076F6" w:rsidRDefault="002076F6">
                    <w:pPr>
                      <w:rPr>
                        <w:b/>
                        <w:sz w:val="10"/>
                      </w:rPr>
                    </w:pPr>
                  </w:p>
                  <w:p w:rsidR="002076F6" w:rsidRDefault="002076F6">
                    <w:pPr>
                      <w:rPr>
                        <w:b/>
                        <w:sz w:val="16"/>
                      </w:rPr>
                    </w:pPr>
                  </w:p>
                  <w:p w:rsidR="002076F6" w:rsidRDefault="002076F6">
                    <w:pPr>
                      <w:rPr>
                        <w:b/>
                        <w:sz w:val="16"/>
                      </w:rPr>
                    </w:pPr>
                  </w:p>
                  <w:p w:rsidR="002076F6" w:rsidRDefault="002076F6">
                    <w:pPr>
                      <w:rPr>
                        <w:b/>
                        <w:sz w:val="20"/>
                      </w:rPr>
                    </w:pPr>
                    <w:r>
                      <w:rPr>
                        <w:rFonts w:hint="eastAsia"/>
                        <w:b/>
                        <w:sz w:val="20"/>
                      </w:rPr>
                      <w:t>F</w:t>
                    </w:r>
                  </w:p>
                  <w:p w:rsidR="002076F6" w:rsidRDefault="002076F6">
                    <w:pPr>
                      <w:rPr>
                        <w:b/>
                        <w:sz w:val="10"/>
                      </w:rPr>
                    </w:pPr>
                  </w:p>
                  <w:p w:rsidR="002076F6" w:rsidRDefault="002076F6">
                    <w:pPr>
                      <w:rPr>
                        <w:b/>
                        <w:sz w:val="16"/>
                      </w:rPr>
                    </w:pPr>
                  </w:p>
                  <w:p w:rsidR="002076F6" w:rsidRDefault="002076F6">
                    <w:pPr>
                      <w:rPr>
                        <w:b/>
                        <w:sz w:val="16"/>
                      </w:rPr>
                    </w:pPr>
                  </w:p>
                  <w:p w:rsidR="002076F6" w:rsidRDefault="002076F6">
                    <w:pPr>
                      <w:rPr>
                        <w:b/>
                        <w:sz w:val="16"/>
                      </w:rPr>
                    </w:pPr>
                    <w:r>
                      <w:rPr>
                        <w:rFonts w:hint="eastAsia"/>
                        <w:b/>
                        <w:sz w:val="20"/>
                      </w:rPr>
                      <w:t>G</w:t>
                    </w:r>
                  </w:p>
                  <w:p w:rsidR="002076F6" w:rsidRDefault="002076F6">
                    <w:pPr>
                      <w:rPr>
                        <w:b/>
                        <w:sz w:val="10"/>
                      </w:rPr>
                    </w:pPr>
                  </w:p>
                  <w:p w:rsidR="002076F6" w:rsidRDefault="002076F6">
                    <w:pPr>
                      <w:rPr>
                        <w:b/>
                        <w:sz w:val="16"/>
                      </w:rPr>
                    </w:pPr>
                  </w:p>
                  <w:p w:rsidR="002076F6" w:rsidRDefault="002076F6">
                    <w:pPr>
                      <w:rPr>
                        <w:b/>
                        <w:sz w:val="16"/>
                      </w:rPr>
                    </w:pPr>
                  </w:p>
                  <w:p w:rsidR="002076F6" w:rsidRDefault="002076F6">
                    <w:pPr>
                      <w:rPr>
                        <w:b/>
                        <w:sz w:val="16"/>
                      </w:rPr>
                    </w:pPr>
                    <w:r>
                      <w:rPr>
                        <w:rFonts w:hint="eastAsia"/>
                        <w:b/>
                        <w:sz w:val="20"/>
                      </w:rPr>
                      <w:t>H</w:t>
                    </w:r>
                  </w:p>
                  <w:p w:rsidR="002076F6" w:rsidRDefault="002076F6">
                    <w:pPr>
                      <w:rPr>
                        <w:b/>
                        <w:sz w:val="10"/>
                      </w:rPr>
                    </w:pPr>
                  </w:p>
                  <w:p w:rsidR="002076F6" w:rsidRDefault="002076F6">
                    <w:pPr>
                      <w:rPr>
                        <w:b/>
                        <w:sz w:val="16"/>
                      </w:rPr>
                    </w:pPr>
                  </w:p>
                  <w:p w:rsidR="002076F6" w:rsidRDefault="002076F6">
                    <w:pPr>
                      <w:rPr>
                        <w:b/>
                        <w:sz w:val="16"/>
                      </w:rPr>
                    </w:pPr>
                  </w:p>
                  <w:p w:rsidR="002076F6" w:rsidRDefault="002076F6">
                    <w:pPr>
                      <w:rPr>
                        <w:b/>
                        <w:sz w:val="16"/>
                      </w:rPr>
                    </w:pPr>
                    <w:r>
                      <w:rPr>
                        <w:rFonts w:hint="eastAsia"/>
                        <w:b/>
                        <w:sz w:val="20"/>
                      </w:rPr>
                      <w:t>I</w:t>
                    </w:r>
                  </w:p>
                  <w:p w:rsidR="002076F6" w:rsidRDefault="002076F6">
                    <w:pPr>
                      <w:rPr>
                        <w:b/>
                        <w:sz w:val="10"/>
                      </w:rPr>
                    </w:pPr>
                  </w:p>
                  <w:p w:rsidR="002076F6" w:rsidRDefault="002076F6">
                    <w:pPr>
                      <w:rPr>
                        <w:b/>
                        <w:sz w:val="16"/>
                      </w:rPr>
                    </w:pPr>
                  </w:p>
                  <w:p w:rsidR="002076F6" w:rsidRDefault="002076F6">
                    <w:pPr>
                      <w:rPr>
                        <w:b/>
                        <w:sz w:val="16"/>
                      </w:rPr>
                    </w:pPr>
                  </w:p>
                  <w:p w:rsidR="002076F6" w:rsidRDefault="002076F6">
                    <w:pPr>
                      <w:rPr>
                        <w:b/>
                        <w:sz w:val="16"/>
                      </w:rPr>
                    </w:pPr>
                    <w:r>
                      <w:rPr>
                        <w:rFonts w:hint="eastAsia"/>
                        <w:b/>
                        <w:sz w:val="20"/>
                      </w:rPr>
                      <w:t>J</w:t>
                    </w:r>
                  </w:p>
                  <w:p w:rsidR="002076F6" w:rsidRDefault="002076F6">
                    <w:pPr>
                      <w:rPr>
                        <w:b/>
                        <w:sz w:val="10"/>
                      </w:rPr>
                    </w:pPr>
                  </w:p>
                  <w:p w:rsidR="002076F6" w:rsidRDefault="002076F6">
                    <w:pPr>
                      <w:rPr>
                        <w:b/>
                        <w:sz w:val="16"/>
                      </w:rPr>
                    </w:pPr>
                  </w:p>
                  <w:p w:rsidR="002076F6" w:rsidRDefault="002076F6">
                    <w:pPr>
                      <w:rPr>
                        <w:b/>
                        <w:sz w:val="16"/>
                      </w:rPr>
                    </w:pPr>
                  </w:p>
                  <w:p w:rsidR="002076F6" w:rsidRDefault="002076F6">
                    <w:pPr>
                      <w:rPr>
                        <w:b/>
                        <w:sz w:val="16"/>
                      </w:rPr>
                    </w:pPr>
                    <w:r>
                      <w:rPr>
                        <w:rFonts w:hint="eastAsia"/>
                        <w:b/>
                        <w:sz w:val="20"/>
                      </w:rPr>
                      <w:t>K</w:t>
                    </w:r>
                  </w:p>
                  <w:p w:rsidR="002076F6" w:rsidRDefault="002076F6">
                    <w:pPr>
                      <w:rPr>
                        <w:b/>
                        <w:sz w:val="10"/>
                      </w:rPr>
                    </w:pPr>
                  </w:p>
                  <w:p w:rsidR="002076F6" w:rsidRDefault="002076F6">
                    <w:pPr>
                      <w:rPr>
                        <w:b/>
                        <w:sz w:val="16"/>
                      </w:rPr>
                    </w:pPr>
                  </w:p>
                  <w:p w:rsidR="002076F6" w:rsidRDefault="002076F6">
                    <w:pPr>
                      <w:rPr>
                        <w:b/>
                        <w:sz w:val="16"/>
                      </w:rPr>
                    </w:pPr>
                  </w:p>
                  <w:p w:rsidR="002076F6" w:rsidRDefault="002076F6">
                    <w:pPr>
                      <w:rPr>
                        <w:b/>
                        <w:sz w:val="16"/>
                      </w:rPr>
                    </w:pPr>
                    <w:r>
                      <w:rPr>
                        <w:rFonts w:hint="eastAsia"/>
                        <w:b/>
                        <w:sz w:val="20"/>
                      </w:rPr>
                      <w:t>L</w:t>
                    </w:r>
                  </w:p>
                  <w:p w:rsidR="002076F6" w:rsidRDefault="002076F6">
                    <w:pPr>
                      <w:rPr>
                        <w:b/>
                        <w:sz w:val="10"/>
                      </w:rPr>
                    </w:pPr>
                  </w:p>
                  <w:p w:rsidR="002076F6" w:rsidRDefault="002076F6">
                    <w:pPr>
                      <w:rPr>
                        <w:b/>
                        <w:sz w:val="16"/>
                      </w:rPr>
                    </w:pPr>
                  </w:p>
                  <w:p w:rsidR="002076F6" w:rsidRDefault="002076F6">
                    <w:pPr>
                      <w:rPr>
                        <w:b/>
                        <w:sz w:val="16"/>
                      </w:rPr>
                    </w:pPr>
                  </w:p>
                  <w:p w:rsidR="002076F6" w:rsidRDefault="002076F6">
                    <w:pPr>
                      <w:rPr>
                        <w:b/>
                        <w:sz w:val="16"/>
                      </w:rPr>
                    </w:pPr>
                    <w:r>
                      <w:rPr>
                        <w:rFonts w:hint="eastAsia"/>
                        <w:b/>
                        <w:sz w:val="20"/>
                      </w:rPr>
                      <w:t>M</w:t>
                    </w:r>
                  </w:p>
                  <w:p w:rsidR="002076F6" w:rsidRDefault="002076F6">
                    <w:pPr>
                      <w:rPr>
                        <w:b/>
                        <w:sz w:val="10"/>
                      </w:rPr>
                    </w:pPr>
                  </w:p>
                  <w:p w:rsidR="002076F6" w:rsidRDefault="002076F6">
                    <w:pPr>
                      <w:rPr>
                        <w:b/>
                        <w:sz w:val="16"/>
                      </w:rPr>
                    </w:pPr>
                  </w:p>
                  <w:p w:rsidR="002076F6" w:rsidRDefault="002076F6">
                    <w:pPr>
                      <w:rPr>
                        <w:b/>
                        <w:sz w:val="16"/>
                      </w:rPr>
                    </w:pPr>
                  </w:p>
                  <w:p w:rsidR="002076F6" w:rsidRDefault="002076F6">
                    <w:pPr>
                      <w:rPr>
                        <w:b/>
                        <w:sz w:val="16"/>
                      </w:rPr>
                    </w:pPr>
                    <w:r>
                      <w:rPr>
                        <w:rFonts w:hint="eastAsia"/>
                        <w:b/>
                        <w:sz w:val="20"/>
                      </w:rPr>
                      <w:t>N</w:t>
                    </w:r>
                  </w:p>
                  <w:p w:rsidR="002076F6" w:rsidRDefault="002076F6">
                    <w:pPr>
                      <w:rPr>
                        <w:b/>
                        <w:sz w:val="10"/>
                      </w:rPr>
                    </w:pPr>
                  </w:p>
                  <w:p w:rsidR="002076F6" w:rsidRDefault="002076F6">
                    <w:pPr>
                      <w:rPr>
                        <w:b/>
                        <w:sz w:val="16"/>
                      </w:rPr>
                    </w:pPr>
                  </w:p>
                  <w:p w:rsidR="002076F6" w:rsidRDefault="002076F6">
                    <w:pPr>
                      <w:rPr>
                        <w:b/>
                        <w:sz w:val="16"/>
                      </w:rPr>
                    </w:pPr>
                  </w:p>
                  <w:p w:rsidR="002076F6" w:rsidRDefault="002076F6">
                    <w:pPr>
                      <w:rPr>
                        <w:b/>
                        <w:sz w:val="16"/>
                      </w:rPr>
                    </w:pPr>
                    <w:r>
                      <w:rPr>
                        <w:rFonts w:hint="eastAsia"/>
                        <w:b/>
                        <w:sz w:val="20"/>
                      </w:rPr>
                      <w:t>O</w:t>
                    </w:r>
                  </w:p>
                  <w:p w:rsidR="002076F6" w:rsidRDefault="002076F6">
                    <w:pPr>
                      <w:rPr>
                        <w:b/>
                        <w:sz w:val="10"/>
                      </w:rPr>
                    </w:pPr>
                  </w:p>
                  <w:p w:rsidR="002076F6" w:rsidRDefault="002076F6">
                    <w:pPr>
                      <w:rPr>
                        <w:b/>
                        <w:sz w:val="16"/>
                      </w:rPr>
                    </w:pPr>
                  </w:p>
                  <w:p w:rsidR="002076F6" w:rsidRDefault="002076F6">
                    <w:pPr>
                      <w:rPr>
                        <w:b/>
                        <w:sz w:val="16"/>
                      </w:rPr>
                    </w:pPr>
                  </w:p>
                  <w:p w:rsidR="002076F6" w:rsidRDefault="002076F6">
                    <w:pPr>
                      <w:rPr>
                        <w:b/>
                        <w:sz w:val="16"/>
                      </w:rPr>
                    </w:pPr>
                    <w:r>
                      <w:rPr>
                        <w:rFonts w:hint="eastAsia"/>
                        <w:b/>
                        <w:sz w:val="20"/>
                      </w:rPr>
                      <w:t>P</w:t>
                    </w:r>
                  </w:p>
                  <w:p w:rsidR="002076F6" w:rsidRDefault="002076F6">
                    <w:pPr>
                      <w:rPr>
                        <w:b/>
                        <w:sz w:val="10"/>
                      </w:rPr>
                    </w:pPr>
                  </w:p>
                  <w:p w:rsidR="002076F6" w:rsidRDefault="002076F6">
                    <w:pPr>
                      <w:rPr>
                        <w:b/>
                        <w:sz w:val="16"/>
                      </w:rPr>
                    </w:pPr>
                  </w:p>
                  <w:p w:rsidR="002076F6" w:rsidRDefault="002076F6">
                    <w:pPr>
                      <w:rPr>
                        <w:b/>
                        <w:sz w:val="16"/>
                      </w:rPr>
                    </w:pPr>
                  </w:p>
                  <w:p w:rsidR="002076F6" w:rsidRDefault="002076F6">
                    <w:pPr>
                      <w:rPr>
                        <w:b/>
                        <w:sz w:val="16"/>
                      </w:rPr>
                    </w:pPr>
                    <w:r>
                      <w:rPr>
                        <w:rFonts w:hint="eastAsia"/>
                        <w:b/>
                        <w:sz w:val="20"/>
                      </w:rPr>
                      <w:t>Q</w:t>
                    </w:r>
                  </w:p>
                  <w:p w:rsidR="002076F6" w:rsidRDefault="002076F6">
                    <w:pPr>
                      <w:rPr>
                        <w:b/>
                        <w:sz w:val="10"/>
                      </w:rPr>
                    </w:pPr>
                  </w:p>
                  <w:p w:rsidR="002076F6" w:rsidRDefault="002076F6">
                    <w:pPr>
                      <w:rPr>
                        <w:b/>
                        <w:sz w:val="16"/>
                      </w:rPr>
                    </w:pPr>
                  </w:p>
                  <w:p w:rsidR="002076F6" w:rsidRDefault="002076F6">
                    <w:pPr>
                      <w:rPr>
                        <w:b/>
                        <w:sz w:val="16"/>
                      </w:rPr>
                    </w:pPr>
                  </w:p>
                  <w:p w:rsidR="002076F6" w:rsidRDefault="002076F6">
                    <w:pPr>
                      <w:rPr>
                        <w:b/>
                        <w:sz w:val="16"/>
                      </w:rPr>
                    </w:pPr>
                    <w:r>
                      <w:rPr>
                        <w:rFonts w:hint="eastAsia"/>
                        <w:b/>
                        <w:sz w:val="20"/>
                      </w:rPr>
                      <w:t>R</w:t>
                    </w:r>
                  </w:p>
                  <w:p w:rsidR="002076F6" w:rsidRDefault="002076F6">
                    <w:pPr>
                      <w:rPr>
                        <w:b/>
                        <w:sz w:val="10"/>
                      </w:rPr>
                    </w:pPr>
                  </w:p>
                  <w:p w:rsidR="002076F6" w:rsidRDefault="002076F6">
                    <w:pPr>
                      <w:rPr>
                        <w:b/>
                        <w:sz w:val="16"/>
                      </w:rPr>
                    </w:pPr>
                  </w:p>
                  <w:p w:rsidR="002076F6" w:rsidRDefault="002076F6">
                    <w:pPr>
                      <w:rPr>
                        <w:b/>
                        <w:sz w:val="16"/>
                      </w:rPr>
                    </w:pPr>
                  </w:p>
                  <w:p w:rsidR="002076F6" w:rsidRDefault="002076F6">
                    <w:pPr>
                      <w:rPr>
                        <w:b/>
                        <w:sz w:val="16"/>
                      </w:rPr>
                    </w:pPr>
                    <w:r>
                      <w:rPr>
                        <w:rFonts w:hint="eastAsia"/>
                        <w:b/>
                        <w:sz w:val="20"/>
                      </w:rPr>
                      <w:t>S</w:t>
                    </w:r>
                  </w:p>
                  <w:p w:rsidR="002076F6" w:rsidRDefault="002076F6">
                    <w:pPr>
                      <w:rPr>
                        <w:b/>
                        <w:sz w:val="10"/>
                      </w:rPr>
                    </w:pPr>
                  </w:p>
                  <w:p w:rsidR="002076F6" w:rsidRDefault="002076F6">
                    <w:pPr>
                      <w:rPr>
                        <w:b/>
                        <w:sz w:val="16"/>
                      </w:rPr>
                    </w:pPr>
                  </w:p>
                  <w:p w:rsidR="002076F6" w:rsidRDefault="002076F6">
                    <w:pPr>
                      <w:rPr>
                        <w:b/>
                        <w:sz w:val="16"/>
                      </w:rPr>
                    </w:pPr>
                  </w:p>
                  <w:p w:rsidR="002076F6" w:rsidRDefault="002076F6">
                    <w:pPr>
                      <w:rPr>
                        <w:b/>
                        <w:sz w:val="16"/>
                      </w:rPr>
                    </w:pPr>
                    <w:r>
                      <w:rPr>
                        <w:rFonts w:hint="eastAsia"/>
                        <w:b/>
                        <w:sz w:val="20"/>
                      </w:rPr>
                      <w:t>T</w:t>
                    </w:r>
                  </w:p>
                  <w:p w:rsidR="002076F6" w:rsidRDefault="002076F6">
                    <w:pPr>
                      <w:rPr>
                        <w:b/>
                        <w:sz w:val="10"/>
                      </w:rPr>
                    </w:pPr>
                  </w:p>
                  <w:p w:rsidR="002076F6" w:rsidRDefault="002076F6">
                    <w:pPr>
                      <w:rPr>
                        <w:b/>
                        <w:sz w:val="16"/>
                      </w:rPr>
                    </w:pPr>
                  </w:p>
                  <w:p w:rsidR="002076F6" w:rsidRDefault="002076F6">
                    <w:pPr>
                      <w:rPr>
                        <w:b/>
                        <w:sz w:val="16"/>
                      </w:rPr>
                    </w:pPr>
                  </w:p>
                  <w:p w:rsidR="002076F6" w:rsidRDefault="002076F6">
                    <w:pPr>
                      <w:rPr>
                        <w:b/>
                        <w:sz w:val="16"/>
                      </w:rPr>
                    </w:pPr>
                    <w:r>
                      <w:rPr>
                        <w:rFonts w:hint="eastAsia"/>
                        <w:b/>
                        <w:sz w:val="20"/>
                      </w:rPr>
                      <w:t>U</w:t>
                    </w:r>
                  </w:p>
                  <w:p w:rsidR="002076F6" w:rsidRDefault="002076F6">
                    <w:pPr>
                      <w:rPr>
                        <w:b/>
                        <w:sz w:val="10"/>
                      </w:rPr>
                    </w:pPr>
                  </w:p>
                  <w:p w:rsidR="002076F6" w:rsidRDefault="002076F6">
                    <w:pPr>
                      <w:rPr>
                        <w:b/>
                        <w:sz w:val="16"/>
                      </w:rPr>
                    </w:pPr>
                  </w:p>
                  <w:p w:rsidR="002076F6" w:rsidRDefault="002076F6">
                    <w:pPr>
                      <w:rPr>
                        <w:b/>
                        <w:sz w:val="16"/>
                      </w:rPr>
                    </w:pPr>
                  </w:p>
                  <w:p w:rsidR="002076F6" w:rsidRDefault="002076F6">
                    <w:pPr>
                      <w:pStyle w:val="Heading3"/>
                      <w:jc w:val="left"/>
                    </w:pPr>
                    <w:r>
                      <w:rPr>
                        <w:rFonts w:hint="eastAsia"/>
                      </w:rPr>
                      <w:t>V</w:t>
                    </w:r>
                  </w:p>
                </w:txbxContent>
              </v:textbox>
            </v:shape>
          </w:pict>
        </mc:Fallback>
      </mc:AlternateContent>
    </w:r>
    <w:r w:rsidRPr="00D54FEA">
      <w:rPr>
        <w:noProof/>
        <w:sz w:val="20"/>
        <w:lang w:val="en-US" w:eastAsia="zh-CN"/>
      </w:rPr>
      <mc:AlternateContent>
        <mc:Choice Requires="wps">
          <w:drawing>
            <wp:anchor distT="0" distB="0" distL="114300" distR="114300" simplePos="0" relativeHeight="251655168" behindDoc="0" locked="0" layoutInCell="0" allowOverlap="1" wp14:anchorId="28AD7D9D" wp14:editId="22B8BBCA">
              <wp:simplePos x="0" y="0"/>
              <wp:positionH relativeFrom="column">
                <wp:posOffset>-800100</wp:posOffset>
              </wp:positionH>
              <wp:positionV relativeFrom="paragraph">
                <wp:posOffset>153035</wp:posOffset>
              </wp:positionV>
              <wp:extent cx="342900" cy="9944100"/>
              <wp:effectExtent l="0" t="635" r="0" b="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076F6" w:rsidRDefault="002076F6">
                          <w:pPr>
                            <w:rPr>
                              <w:b/>
                              <w:sz w:val="20"/>
                            </w:rPr>
                          </w:pPr>
                          <w:r>
                            <w:rPr>
                              <w:rFonts w:hint="eastAsia"/>
                              <w:b/>
                              <w:sz w:val="20"/>
                            </w:rPr>
                            <w:t>A</w:t>
                          </w:r>
                        </w:p>
                        <w:p w:rsidR="002076F6" w:rsidRDefault="002076F6">
                          <w:pPr>
                            <w:rPr>
                              <w:b/>
                              <w:sz w:val="10"/>
                            </w:rPr>
                          </w:pPr>
                        </w:p>
                        <w:p w:rsidR="002076F6" w:rsidRDefault="002076F6">
                          <w:pPr>
                            <w:rPr>
                              <w:b/>
                              <w:sz w:val="16"/>
                            </w:rPr>
                          </w:pPr>
                        </w:p>
                        <w:p w:rsidR="002076F6" w:rsidRDefault="002076F6">
                          <w:pPr>
                            <w:rPr>
                              <w:b/>
                              <w:sz w:val="16"/>
                            </w:rPr>
                          </w:pPr>
                        </w:p>
                        <w:p w:rsidR="002076F6" w:rsidRDefault="002076F6">
                          <w:pPr>
                            <w:rPr>
                              <w:b/>
                              <w:sz w:val="20"/>
                            </w:rPr>
                          </w:pPr>
                          <w:r>
                            <w:rPr>
                              <w:rFonts w:hint="eastAsia"/>
                              <w:b/>
                              <w:sz w:val="20"/>
                            </w:rPr>
                            <w:t>B</w:t>
                          </w:r>
                        </w:p>
                        <w:p w:rsidR="002076F6" w:rsidRDefault="002076F6">
                          <w:pPr>
                            <w:rPr>
                              <w:b/>
                              <w:sz w:val="10"/>
                            </w:rPr>
                          </w:pPr>
                        </w:p>
                        <w:p w:rsidR="002076F6" w:rsidRDefault="002076F6">
                          <w:pPr>
                            <w:rPr>
                              <w:b/>
                              <w:sz w:val="16"/>
                            </w:rPr>
                          </w:pPr>
                        </w:p>
                        <w:p w:rsidR="002076F6" w:rsidRDefault="002076F6">
                          <w:pPr>
                            <w:rPr>
                              <w:b/>
                              <w:sz w:val="16"/>
                            </w:rPr>
                          </w:pPr>
                        </w:p>
                        <w:p w:rsidR="002076F6" w:rsidRDefault="002076F6">
                          <w:pPr>
                            <w:rPr>
                              <w:b/>
                              <w:sz w:val="16"/>
                            </w:rPr>
                          </w:pPr>
                          <w:r>
                            <w:rPr>
                              <w:rFonts w:hint="eastAsia"/>
                              <w:b/>
                              <w:sz w:val="20"/>
                            </w:rPr>
                            <w:t>C</w:t>
                          </w:r>
                        </w:p>
                        <w:p w:rsidR="002076F6" w:rsidRDefault="002076F6">
                          <w:pPr>
                            <w:rPr>
                              <w:b/>
                              <w:sz w:val="10"/>
                            </w:rPr>
                          </w:pPr>
                        </w:p>
                        <w:p w:rsidR="002076F6" w:rsidRDefault="002076F6">
                          <w:pPr>
                            <w:rPr>
                              <w:b/>
                              <w:sz w:val="16"/>
                            </w:rPr>
                          </w:pPr>
                        </w:p>
                        <w:p w:rsidR="002076F6" w:rsidRDefault="002076F6">
                          <w:pPr>
                            <w:rPr>
                              <w:b/>
                              <w:sz w:val="16"/>
                            </w:rPr>
                          </w:pPr>
                        </w:p>
                        <w:p w:rsidR="002076F6" w:rsidRDefault="002076F6">
                          <w:pPr>
                            <w:pStyle w:val="Heading2"/>
                            <w:rPr>
                              <w:sz w:val="16"/>
                            </w:rPr>
                          </w:pPr>
                          <w:r>
                            <w:rPr>
                              <w:rFonts w:hint="eastAsia"/>
                            </w:rPr>
                            <w:t>D</w:t>
                          </w:r>
                        </w:p>
                        <w:p w:rsidR="002076F6" w:rsidRDefault="002076F6">
                          <w:pPr>
                            <w:rPr>
                              <w:b/>
                              <w:sz w:val="10"/>
                            </w:rPr>
                          </w:pPr>
                        </w:p>
                        <w:p w:rsidR="002076F6" w:rsidRDefault="002076F6">
                          <w:pPr>
                            <w:rPr>
                              <w:b/>
                              <w:sz w:val="16"/>
                            </w:rPr>
                          </w:pPr>
                        </w:p>
                        <w:p w:rsidR="002076F6" w:rsidRDefault="002076F6">
                          <w:pPr>
                            <w:rPr>
                              <w:b/>
                              <w:sz w:val="16"/>
                            </w:rPr>
                          </w:pPr>
                        </w:p>
                        <w:p w:rsidR="002076F6" w:rsidRDefault="002076F6">
                          <w:pPr>
                            <w:rPr>
                              <w:b/>
                              <w:sz w:val="16"/>
                            </w:rPr>
                          </w:pPr>
                          <w:r>
                            <w:rPr>
                              <w:rFonts w:hint="eastAsia"/>
                              <w:b/>
                              <w:sz w:val="20"/>
                            </w:rPr>
                            <w:t>E</w:t>
                          </w:r>
                        </w:p>
                        <w:p w:rsidR="002076F6" w:rsidRDefault="002076F6">
                          <w:pPr>
                            <w:rPr>
                              <w:b/>
                              <w:sz w:val="10"/>
                            </w:rPr>
                          </w:pPr>
                        </w:p>
                        <w:p w:rsidR="002076F6" w:rsidRDefault="002076F6">
                          <w:pPr>
                            <w:rPr>
                              <w:b/>
                              <w:sz w:val="16"/>
                            </w:rPr>
                          </w:pPr>
                        </w:p>
                        <w:p w:rsidR="002076F6" w:rsidRDefault="002076F6">
                          <w:pPr>
                            <w:rPr>
                              <w:b/>
                              <w:sz w:val="16"/>
                            </w:rPr>
                          </w:pPr>
                        </w:p>
                        <w:p w:rsidR="002076F6" w:rsidRDefault="002076F6">
                          <w:pPr>
                            <w:rPr>
                              <w:b/>
                              <w:sz w:val="20"/>
                            </w:rPr>
                          </w:pPr>
                          <w:r>
                            <w:rPr>
                              <w:rFonts w:hint="eastAsia"/>
                              <w:b/>
                              <w:sz w:val="20"/>
                            </w:rPr>
                            <w:t>F</w:t>
                          </w:r>
                        </w:p>
                        <w:p w:rsidR="002076F6" w:rsidRDefault="002076F6">
                          <w:pPr>
                            <w:rPr>
                              <w:b/>
                              <w:sz w:val="10"/>
                            </w:rPr>
                          </w:pPr>
                        </w:p>
                        <w:p w:rsidR="002076F6" w:rsidRDefault="002076F6">
                          <w:pPr>
                            <w:rPr>
                              <w:b/>
                              <w:sz w:val="16"/>
                            </w:rPr>
                          </w:pPr>
                        </w:p>
                        <w:p w:rsidR="002076F6" w:rsidRDefault="002076F6">
                          <w:pPr>
                            <w:rPr>
                              <w:b/>
                              <w:sz w:val="16"/>
                            </w:rPr>
                          </w:pPr>
                        </w:p>
                        <w:p w:rsidR="002076F6" w:rsidRDefault="002076F6">
                          <w:pPr>
                            <w:rPr>
                              <w:b/>
                              <w:sz w:val="16"/>
                            </w:rPr>
                          </w:pPr>
                          <w:r>
                            <w:rPr>
                              <w:rFonts w:hint="eastAsia"/>
                              <w:b/>
                              <w:sz w:val="20"/>
                            </w:rPr>
                            <w:t>G</w:t>
                          </w:r>
                        </w:p>
                        <w:p w:rsidR="002076F6" w:rsidRDefault="002076F6">
                          <w:pPr>
                            <w:rPr>
                              <w:b/>
                              <w:sz w:val="10"/>
                            </w:rPr>
                          </w:pPr>
                        </w:p>
                        <w:p w:rsidR="002076F6" w:rsidRDefault="002076F6">
                          <w:pPr>
                            <w:rPr>
                              <w:b/>
                              <w:sz w:val="16"/>
                            </w:rPr>
                          </w:pPr>
                        </w:p>
                        <w:p w:rsidR="002076F6" w:rsidRDefault="002076F6">
                          <w:pPr>
                            <w:rPr>
                              <w:b/>
                              <w:sz w:val="16"/>
                            </w:rPr>
                          </w:pPr>
                        </w:p>
                        <w:p w:rsidR="002076F6" w:rsidRDefault="002076F6">
                          <w:pPr>
                            <w:rPr>
                              <w:b/>
                              <w:sz w:val="16"/>
                            </w:rPr>
                          </w:pPr>
                          <w:r>
                            <w:rPr>
                              <w:rFonts w:hint="eastAsia"/>
                              <w:b/>
                              <w:sz w:val="20"/>
                            </w:rPr>
                            <w:t>H</w:t>
                          </w:r>
                        </w:p>
                        <w:p w:rsidR="002076F6" w:rsidRDefault="002076F6">
                          <w:pPr>
                            <w:rPr>
                              <w:b/>
                              <w:sz w:val="10"/>
                            </w:rPr>
                          </w:pPr>
                        </w:p>
                        <w:p w:rsidR="002076F6" w:rsidRDefault="002076F6">
                          <w:pPr>
                            <w:rPr>
                              <w:b/>
                              <w:sz w:val="16"/>
                            </w:rPr>
                          </w:pPr>
                        </w:p>
                        <w:p w:rsidR="002076F6" w:rsidRDefault="002076F6">
                          <w:pPr>
                            <w:rPr>
                              <w:b/>
                              <w:sz w:val="16"/>
                            </w:rPr>
                          </w:pPr>
                        </w:p>
                        <w:p w:rsidR="002076F6" w:rsidRDefault="002076F6">
                          <w:pPr>
                            <w:rPr>
                              <w:b/>
                              <w:sz w:val="16"/>
                            </w:rPr>
                          </w:pPr>
                          <w:r>
                            <w:rPr>
                              <w:rFonts w:hint="eastAsia"/>
                              <w:b/>
                              <w:sz w:val="20"/>
                            </w:rPr>
                            <w:t>I</w:t>
                          </w:r>
                        </w:p>
                        <w:p w:rsidR="002076F6" w:rsidRDefault="002076F6">
                          <w:pPr>
                            <w:rPr>
                              <w:b/>
                              <w:sz w:val="10"/>
                            </w:rPr>
                          </w:pPr>
                        </w:p>
                        <w:p w:rsidR="002076F6" w:rsidRDefault="002076F6">
                          <w:pPr>
                            <w:rPr>
                              <w:b/>
                              <w:sz w:val="16"/>
                            </w:rPr>
                          </w:pPr>
                        </w:p>
                        <w:p w:rsidR="002076F6" w:rsidRDefault="002076F6">
                          <w:pPr>
                            <w:rPr>
                              <w:b/>
                              <w:sz w:val="16"/>
                            </w:rPr>
                          </w:pPr>
                        </w:p>
                        <w:p w:rsidR="002076F6" w:rsidRDefault="002076F6">
                          <w:pPr>
                            <w:rPr>
                              <w:b/>
                              <w:sz w:val="16"/>
                            </w:rPr>
                          </w:pPr>
                          <w:r>
                            <w:rPr>
                              <w:rFonts w:hint="eastAsia"/>
                              <w:b/>
                              <w:sz w:val="20"/>
                            </w:rPr>
                            <w:t>J</w:t>
                          </w:r>
                        </w:p>
                        <w:p w:rsidR="002076F6" w:rsidRDefault="002076F6">
                          <w:pPr>
                            <w:rPr>
                              <w:b/>
                              <w:sz w:val="10"/>
                            </w:rPr>
                          </w:pPr>
                        </w:p>
                        <w:p w:rsidR="002076F6" w:rsidRDefault="002076F6">
                          <w:pPr>
                            <w:rPr>
                              <w:b/>
                              <w:sz w:val="16"/>
                            </w:rPr>
                          </w:pPr>
                        </w:p>
                        <w:p w:rsidR="002076F6" w:rsidRDefault="002076F6">
                          <w:pPr>
                            <w:rPr>
                              <w:b/>
                              <w:sz w:val="16"/>
                            </w:rPr>
                          </w:pPr>
                        </w:p>
                        <w:p w:rsidR="002076F6" w:rsidRDefault="002076F6">
                          <w:pPr>
                            <w:rPr>
                              <w:b/>
                              <w:sz w:val="16"/>
                            </w:rPr>
                          </w:pPr>
                          <w:r>
                            <w:rPr>
                              <w:rFonts w:hint="eastAsia"/>
                              <w:b/>
                              <w:sz w:val="20"/>
                            </w:rPr>
                            <w:t>K</w:t>
                          </w:r>
                        </w:p>
                        <w:p w:rsidR="002076F6" w:rsidRDefault="002076F6">
                          <w:pPr>
                            <w:rPr>
                              <w:b/>
                              <w:sz w:val="10"/>
                            </w:rPr>
                          </w:pPr>
                        </w:p>
                        <w:p w:rsidR="002076F6" w:rsidRDefault="002076F6">
                          <w:pPr>
                            <w:rPr>
                              <w:b/>
                              <w:sz w:val="16"/>
                            </w:rPr>
                          </w:pPr>
                        </w:p>
                        <w:p w:rsidR="002076F6" w:rsidRDefault="002076F6">
                          <w:pPr>
                            <w:rPr>
                              <w:b/>
                              <w:sz w:val="16"/>
                            </w:rPr>
                          </w:pPr>
                        </w:p>
                        <w:p w:rsidR="002076F6" w:rsidRDefault="002076F6">
                          <w:pPr>
                            <w:rPr>
                              <w:b/>
                              <w:sz w:val="16"/>
                            </w:rPr>
                          </w:pPr>
                          <w:r>
                            <w:rPr>
                              <w:rFonts w:hint="eastAsia"/>
                              <w:b/>
                              <w:sz w:val="20"/>
                            </w:rPr>
                            <w:t>L</w:t>
                          </w:r>
                        </w:p>
                        <w:p w:rsidR="002076F6" w:rsidRDefault="002076F6">
                          <w:pPr>
                            <w:rPr>
                              <w:b/>
                              <w:sz w:val="10"/>
                            </w:rPr>
                          </w:pPr>
                        </w:p>
                        <w:p w:rsidR="002076F6" w:rsidRDefault="002076F6">
                          <w:pPr>
                            <w:rPr>
                              <w:b/>
                              <w:sz w:val="16"/>
                            </w:rPr>
                          </w:pPr>
                        </w:p>
                        <w:p w:rsidR="002076F6" w:rsidRDefault="002076F6">
                          <w:pPr>
                            <w:rPr>
                              <w:b/>
                              <w:sz w:val="16"/>
                            </w:rPr>
                          </w:pPr>
                        </w:p>
                        <w:p w:rsidR="002076F6" w:rsidRDefault="002076F6">
                          <w:pPr>
                            <w:rPr>
                              <w:b/>
                              <w:sz w:val="16"/>
                            </w:rPr>
                          </w:pPr>
                          <w:r>
                            <w:rPr>
                              <w:rFonts w:hint="eastAsia"/>
                              <w:b/>
                              <w:sz w:val="20"/>
                            </w:rPr>
                            <w:t>M</w:t>
                          </w:r>
                        </w:p>
                        <w:p w:rsidR="002076F6" w:rsidRDefault="002076F6">
                          <w:pPr>
                            <w:rPr>
                              <w:b/>
                              <w:sz w:val="10"/>
                            </w:rPr>
                          </w:pPr>
                        </w:p>
                        <w:p w:rsidR="002076F6" w:rsidRDefault="002076F6">
                          <w:pPr>
                            <w:rPr>
                              <w:b/>
                              <w:sz w:val="16"/>
                            </w:rPr>
                          </w:pPr>
                        </w:p>
                        <w:p w:rsidR="002076F6" w:rsidRDefault="002076F6">
                          <w:pPr>
                            <w:rPr>
                              <w:b/>
                              <w:sz w:val="16"/>
                            </w:rPr>
                          </w:pPr>
                        </w:p>
                        <w:p w:rsidR="002076F6" w:rsidRDefault="002076F6">
                          <w:pPr>
                            <w:rPr>
                              <w:b/>
                              <w:sz w:val="16"/>
                            </w:rPr>
                          </w:pPr>
                          <w:r>
                            <w:rPr>
                              <w:rFonts w:hint="eastAsia"/>
                              <w:b/>
                              <w:sz w:val="20"/>
                            </w:rPr>
                            <w:t>N</w:t>
                          </w:r>
                        </w:p>
                        <w:p w:rsidR="002076F6" w:rsidRDefault="002076F6">
                          <w:pPr>
                            <w:rPr>
                              <w:b/>
                              <w:sz w:val="10"/>
                            </w:rPr>
                          </w:pPr>
                        </w:p>
                        <w:p w:rsidR="002076F6" w:rsidRDefault="002076F6">
                          <w:pPr>
                            <w:rPr>
                              <w:b/>
                              <w:sz w:val="16"/>
                            </w:rPr>
                          </w:pPr>
                        </w:p>
                        <w:p w:rsidR="002076F6" w:rsidRDefault="002076F6">
                          <w:pPr>
                            <w:rPr>
                              <w:b/>
                              <w:sz w:val="16"/>
                            </w:rPr>
                          </w:pPr>
                        </w:p>
                        <w:p w:rsidR="002076F6" w:rsidRDefault="002076F6">
                          <w:pPr>
                            <w:rPr>
                              <w:b/>
                              <w:sz w:val="16"/>
                            </w:rPr>
                          </w:pPr>
                          <w:r>
                            <w:rPr>
                              <w:rFonts w:hint="eastAsia"/>
                              <w:b/>
                              <w:sz w:val="20"/>
                            </w:rPr>
                            <w:t>O</w:t>
                          </w:r>
                        </w:p>
                        <w:p w:rsidR="002076F6" w:rsidRDefault="002076F6">
                          <w:pPr>
                            <w:rPr>
                              <w:b/>
                              <w:sz w:val="10"/>
                            </w:rPr>
                          </w:pPr>
                        </w:p>
                        <w:p w:rsidR="002076F6" w:rsidRDefault="002076F6">
                          <w:pPr>
                            <w:rPr>
                              <w:b/>
                              <w:sz w:val="16"/>
                            </w:rPr>
                          </w:pPr>
                        </w:p>
                        <w:p w:rsidR="002076F6" w:rsidRDefault="002076F6">
                          <w:pPr>
                            <w:rPr>
                              <w:b/>
                              <w:sz w:val="16"/>
                            </w:rPr>
                          </w:pPr>
                        </w:p>
                        <w:p w:rsidR="002076F6" w:rsidRDefault="002076F6">
                          <w:pPr>
                            <w:rPr>
                              <w:b/>
                              <w:sz w:val="16"/>
                            </w:rPr>
                          </w:pPr>
                          <w:r>
                            <w:rPr>
                              <w:rFonts w:hint="eastAsia"/>
                              <w:b/>
                              <w:sz w:val="20"/>
                            </w:rPr>
                            <w:t>P</w:t>
                          </w:r>
                        </w:p>
                        <w:p w:rsidR="002076F6" w:rsidRDefault="002076F6">
                          <w:pPr>
                            <w:rPr>
                              <w:b/>
                              <w:sz w:val="10"/>
                            </w:rPr>
                          </w:pPr>
                        </w:p>
                        <w:p w:rsidR="002076F6" w:rsidRDefault="002076F6">
                          <w:pPr>
                            <w:rPr>
                              <w:b/>
                              <w:sz w:val="16"/>
                            </w:rPr>
                          </w:pPr>
                        </w:p>
                        <w:p w:rsidR="002076F6" w:rsidRDefault="002076F6">
                          <w:pPr>
                            <w:rPr>
                              <w:b/>
                              <w:sz w:val="16"/>
                            </w:rPr>
                          </w:pPr>
                        </w:p>
                        <w:p w:rsidR="002076F6" w:rsidRDefault="002076F6">
                          <w:pPr>
                            <w:rPr>
                              <w:b/>
                              <w:sz w:val="16"/>
                            </w:rPr>
                          </w:pPr>
                          <w:r>
                            <w:rPr>
                              <w:rFonts w:hint="eastAsia"/>
                              <w:b/>
                              <w:sz w:val="20"/>
                            </w:rPr>
                            <w:t>Q</w:t>
                          </w:r>
                        </w:p>
                        <w:p w:rsidR="002076F6" w:rsidRDefault="002076F6">
                          <w:pPr>
                            <w:rPr>
                              <w:b/>
                              <w:sz w:val="10"/>
                            </w:rPr>
                          </w:pPr>
                        </w:p>
                        <w:p w:rsidR="002076F6" w:rsidRDefault="002076F6">
                          <w:pPr>
                            <w:rPr>
                              <w:b/>
                              <w:sz w:val="16"/>
                            </w:rPr>
                          </w:pPr>
                        </w:p>
                        <w:p w:rsidR="002076F6" w:rsidRDefault="002076F6">
                          <w:pPr>
                            <w:rPr>
                              <w:b/>
                              <w:sz w:val="16"/>
                            </w:rPr>
                          </w:pPr>
                        </w:p>
                        <w:p w:rsidR="002076F6" w:rsidRDefault="002076F6">
                          <w:pPr>
                            <w:rPr>
                              <w:b/>
                              <w:sz w:val="16"/>
                            </w:rPr>
                          </w:pPr>
                          <w:r>
                            <w:rPr>
                              <w:rFonts w:hint="eastAsia"/>
                              <w:b/>
                              <w:sz w:val="20"/>
                            </w:rPr>
                            <w:t>R</w:t>
                          </w:r>
                        </w:p>
                        <w:p w:rsidR="002076F6" w:rsidRDefault="002076F6">
                          <w:pPr>
                            <w:rPr>
                              <w:b/>
                              <w:sz w:val="10"/>
                            </w:rPr>
                          </w:pPr>
                        </w:p>
                        <w:p w:rsidR="002076F6" w:rsidRDefault="002076F6">
                          <w:pPr>
                            <w:rPr>
                              <w:b/>
                              <w:sz w:val="16"/>
                            </w:rPr>
                          </w:pPr>
                        </w:p>
                        <w:p w:rsidR="002076F6" w:rsidRDefault="002076F6">
                          <w:pPr>
                            <w:rPr>
                              <w:b/>
                              <w:sz w:val="16"/>
                            </w:rPr>
                          </w:pPr>
                        </w:p>
                        <w:p w:rsidR="002076F6" w:rsidRDefault="002076F6">
                          <w:pPr>
                            <w:rPr>
                              <w:b/>
                              <w:sz w:val="16"/>
                            </w:rPr>
                          </w:pPr>
                          <w:r>
                            <w:rPr>
                              <w:rFonts w:hint="eastAsia"/>
                              <w:b/>
                              <w:sz w:val="20"/>
                            </w:rPr>
                            <w:t>S</w:t>
                          </w:r>
                        </w:p>
                        <w:p w:rsidR="002076F6" w:rsidRDefault="002076F6">
                          <w:pPr>
                            <w:rPr>
                              <w:b/>
                              <w:sz w:val="10"/>
                            </w:rPr>
                          </w:pPr>
                        </w:p>
                        <w:p w:rsidR="002076F6" w:rsidRDefault="002076F6">
                          <w:pPr>
                            <w:rPr>
                              <w:b/>
                              <w:sz w:val="16"/>
                            </w:rPr>
                          </w:pPr>
                        </w:p>
                        <w:p w:rsidR="002076F6" w:rsidRDefault="002076F6">
                          <w:pPr>
                            <w:rPr>
                              <w:b/>
                              <w:sz w:val="16"/>
                            </w:rPr>
                          </w:pPr>
                        </w:p>
                        <w:p w:rsidR="002076F6" w:rsidRDefault="002076F6">
                          <w:pPr>
                            <w:rPr>
                              <w:b/>
                              <w:sz w:val="16"/>
                            </w:rPr>
                          </w:pPr>
                          <w:r>
                            <w:rPr>
                              <w:rFonts w:hint="eastAsia"/>
                              <w:b/>
                              <w:sz w:val="20"/>
                            </w:rPr>
                            <w:t>T</w:t>
                          </w:r>
                        </w:p>
                        <w:p w:rsidR="002076F6" w:rsidRDefault="002076F6">
                          <w:pPr>
                            <w:rPr>
                              <w:b/>
                              <w:sz w:val="10"/>
                            </w:rPr>
                          </w:pPr>
                        </w:p>
                        <w:p w:rsidR="002076F6" w:rsidRDefault="002076F6">
                          <w:pPr>
                            <w:rPr>
                              <w:b/>
                              <w:sz w:val="16"/>
                            </w:rPr>
                          </w:pPr>
                        </w:p>
                        <w:p w:rsidR="002076F6" w:rsidRDefault="002076F6">
                          <w:pPr>
                            <w:rPr>
                              <w:b/>
                              <w:sz w:val="16"/>
                            </w:rPr>
                          </w:pPr>
                        </w:p>
                        <w:p w:rsidR="002076F6" w:rsidRDefault="002076F6">
                          <w:pPr>
                            <w:rPr>
                              <w:b/>
                              <w:sz w:val="16"/>
                            </w:rPr>
                          </w:pPr>
                          <w:r>
                            <w:rPr>
                              <w:rFonts w:hint="eastAsia"/>
                              <w:b/>
                              <w:sz w:val="20"/>
                            </w:rPr>
                            <w:t>U</w:t>
                          </w:r>
                        </w:p>
                        <w:p w:rsidR="002076F6" w:rsidRDefault="002076F6">
                          <w:pPr>
                            <w:rPr>
                              <w:b/>
                              <w:sz w:val="10"/>
                            </w:rPr>
                          </w:pPr>
                        </w:p>
                        <w:p w:rsidR="002076F6" w:rsidRDefault="002076F6">
                          <w:pPr>
                            <w:rPr>
                              <w:b/>
                              <w:sz w:val="16"/>
                            </w:rPr>
                          </w:pPr>
                        </w:p>
                        <w:p w:rsidR="002076F6" w:rsidRDefault="002076F6">
                          <w:pPr>
                            <w:rPr>
                              <w:b/>
                              <w:sz w:val="16"/>
                            </w:rPr>
                          </w:pPr>
                        </w:p>
                        <w:p w:rsidR="002076F6" w:rsidRDefault="002076F6">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AD7D9D" id="Text Box 1" o:spid="_x0000_s1027" type="#_x0000_t202" style="position:absolute;left:0;text-align:left;margin-left:-63pt;margin-top:12.05pt;width:27pt;height:7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" o:allowincell="f" stroked="f">
              <v:textbox>
                <w:txbxContent>
                  <w:p w:rsidR="002076F6" w:rsidRDefault="002076F6">
                    <w:pPr>
                      <w:rPr>
                        <w:b/>
                        <w:sz w:val="20"/>
                      </w:rPr>
                    </w:pPr>
                    <w:r>
                      <w:rPr>
                        <w:rFonts w:hint="eastAsia"/>
                        <w:b/>
                        <w:sz w:val="20"/>
                      </w:rPr>
                      <w:t>A</w:t>
                    </w:r>
                  </w:p>
                  <w:p w:rsidR="002076F6" w:rsidRDefault="002076F6">
                    <w:pPr>
                      <w:rPr>
                        <w:b/>
                        <w:sz w:val="10"/>
                      </w:rPr>
                    </w:pPr>
                  </w:p>
                  <w:p w:rsidR="002076F6" w:rsidRDefault="002076F6">
                    <w:pPr>
                      <w:rPr>
                        <w:b/>
                        <w:sz w:val="16"/>
                      </w:rPr>
                    </w:pPr>
                  </w:p>
                  <w:p w:rsidR="002076F6" w:rsidRDefault="002076F6">
                    <w:pPr>
                      <w:rPr>
                        <w:b/>
                        <w:sz w:val="16"/>
                      </w:rPr>
                    </w:pPr>
                  </w:p>
                  <w:p w:rsidR="002076F6" w:rsidRDefault="002076F6">
                    <w:pPr>
                      <w:rPr>
                        <w:b/>
                        <w:sz w:val="20"/>
                      </w:rPr>
                    </w:pPr>
                    <w:r>
                      <w:rPr>
                        <w:rFonts w:hint="eastAsia"/>
                        <w:b/>
                        <w:sz w:val="20"/>
                      </w:rPr>
                      <w:t>B</w:t>
                    </w:r>
                  </w:p>
                  <w:p w:rsidR="002076F6" w:rsidRDefault="002076F6">
                    <w:pPr>
                      <w:rPr>
                        <w:b/>
                        <w:sz w:val="10"/>
                      </w:rPr>
                    </w:pPr>
                  </w:p>
                  <w:p w:rsidR="002076F6" w:rsidRDefault="002076F6">
                    <w:pPr>
                      <w:rPr>
                        <w:b/>
                        <w:sz w:val="16"/>
                      </w:rPr>
                    </w:pPr>
                  </w:p>
                  <w:p w:rsidR="002076F6" w:rsidRDefault="002076F6">
                    <w:pPr>
                      <w:rPr>
                        <w:b/>
                        <w:sz w:val="16"/>
                      </w:rPr>
                    </w:pPr>
                  </w:p>
                  <w:p w:rsidR="002076F6" w:rsidRDefault="002076F6">
                    <w:pPr>
                      <w:rPr>
                        <w:b/>
                        <w:sz w:val="16"/>
                      </w:rPr>
                    </w:pPr>
                    <w:r>
                      <w:rPr>
                        <w:rFonts w:hint="eastAsia"/>
                        <w:b/>
                        <w:sz w:val="20"/>
                      </w:rPr>
                      <w:t>C</w:t>
                    </w:r>
                  </w:p>
                  <w:p w:rsidR="002076F6" w:rsidRDefault="002076F6">
                    <w:pPr>
                      <w:rPr>
                        <w:b/>
                        <w:sz w:val="10"/>
                      </w:rPr>
                    </w:pPr>
                  </w:p>
                  <w:p w:rsidR="002076F6" w:rsidRDefault="002076F6">
                    <w:pPr>
                      <w:rPr>
                        <w:b/>
                        <w:sz w:val="16"/>
                      </w:rPr>
                    </w:pPr>
                  </w:p>
                  <w:p w:rsidR="002076F6" w:rsidRDefault="002076F6">
                    <w:pPr>
                      <w:rPr>
                        <w:b/>
                        <w:sz w:val="16"/>
                      </w:rPr>
                    </w:pPr>
                  </w:p>
                  <w:p w:rsidR="002076F6" w:rsidRDefault="002076F6">
                    <w:pPr>
                      <w:pStyle w:val="Heading2"/>
                      <w:rPr>
                        <w:sz w:val="16"/>
                      </w:rPr>
                    </w:pPr>
                    <w:r>
                      <w:rPr>
                        <w:rFonts w:hint="eastAsia"/>
                      </w:rPr>
                      <w:t>D</w:t>
                    </w:r>
                  </w:p>
                  <w:p w:rsidR="002076F6" w:rsidRDefault="002076F6">
                    <w:pPr>
                      <w:rPr>
                        <w:b/>
                        <w:sz w:val="10"/>
                      </w:rPr>
                    </w:pPr>
                  </w:p>
                  <w:p w:rsidR="002076F6" w:rsidRDefault="002076F6">
                    <w:pPr>
                      <w:rPr>
                        <w:b/>
                        <w:sz w:val="16"/>
                      </w:rPr>
                    </w:pPr>
                  </w:p>
                  <w:p w:rsidR="002076F6" w:rsidRDefault="002076F6">
                    <w:pPr>
                      <w:rPr>
                        <w:b/>
                        <w:sz w:val="16"/>
                      </w:rPr>
                    </w:pPr>
                  </w:p>
                  <w:p w:rsidR="002076F6" w:rsidRDefault="002076F6">
                    <w:pPr>
                      <w:rPr>
                        <w:b/>
                        <w:sz w:val="16"/>
                      </w:rPr>
                    </w:pPr>
                    <w:r>
                      <w:rPr>
                        <w:rFonts w:hint="eastAsia"/>
                        <w:b/>
                        <w:sz w:val="20"/>
                      </w:rPr>
                      <w:t>E</w:t>
                    </w:r>
                  </w:p>
                  <w:p w:rsidR="002076F6" w:rsidRDefault="002076F6">
                    <w:pPr>
                      <w:rPr>
                        <w:b/>
                        <w:sz w:val="10"/>
                      </w:rPr>
                    </w:pPr>
                  </w:p>
                  <w:p w:rsidR="002076F6" w:rsidRDefault="002076F6">
                    <w:pPr>
                      <w:rPr>
                        <w:b/>
                        <w:sz w:val="16"/>
                      </w:rPr>
                    </w:pPr>
                  </w:p>
                  <w:p w:rsidR="002076F6" w:rsidRDefault="002076F6">
                    <w:pPr>
                      <w:rPr>
                        <w:b/>
                        <w:sz w:val="16"/>
                      </w:rPr>
                    </w:pPr>
                  </w:p>
                  <w:p w:rsidR="002076F6" w:rsidRDefault="002076F6">
                    <w:pPr>
                      <w:rPr>
                        <w:b/>
                        <w:sz w:val="20"/>
                      </w:rPr>
                    </w:pPr>
                    <w:r>
                      <w:rPr>
                        <w:rFonts w:hint="eastAsia"/>
                        <w:b/>
                        <w:sz w:val="20"/>
                      </w:rPr>
                      <w:t>F</w:t>
                    </w:r>
                  </w:p>
                  <w:p w:rsidR="002076F6" w:rsidRDefault="002076F6">
                    <w:pPr>
                      <w:rPr>
                        <w:b/>
                        <w:sz w:val="10"/>
                      </w:rPr>
                    </w:pPr>
                  </w:p>
                  <w:p w:rsidR="002076F6" w:rsidRDefault="002076F6">
                    <w:pPr>
                      <w:rPr>
                        <w:b/>
                        <w:sz w:val="16"/>
                      </w:rPr>
                    </w:pPr>
                  </w:p>
                  <w:p w:rsidR="002076F6" w:rsidRDefault="002076F6">
                    <w:pPr>
                      <w:rPr>
                        <w:b/>
                        <w:sz w:val="16"/>
                      </w:rPr>
                    </w:pPr>
                  </w:p>
                  <w:p w:rsidR="002076F6" w:rsidRDefault="002076F6">
                    <w:pPr>
                      <w:rPr>
                        <w:b/>
                        <w:sz w:val="16"/>
                      </w:rPr>
                    </w:pPr>
                    <w:r>
                      <w:rPr>
                        <w:rFonts w:hint="eastAsia"/>
                        <w:b/>
                        <w:sz w:val="20"/>
                      </w:rPr>
                      <w:t>G</w:t>
                    </w:r>
                  </w:p>
                  <w:p w:rsidR="002076F6" w:rsidRDefault="002076F6">
                    <w:pPr>
                      <w:rPr>
                        <w:b/>
                        <w:sz w:val="10"/>
                      </w:rPr>
                    </w:pPr>
                  </w:p>
                  <w:p w:rsidR="002076F6" w:rsidRDefault="002076F6">
                    <w:pPr>
                      <w:rPr>
                        <w:b/>
                        <w:sz w:val="16"/>
                      </w:rPr>
                    </w:pPr>
                  </w:p>
                  <w:p w:rsidR="002076F6" w:rsidRDefault="002076F6">
                    <w:pPr>
                      <w:rPr>
                        <w:b/>
                        <w:sz w:val="16"/>
                      </w:rPr>
                    </w:pPr>
                  </w:p>
                  <w:p w:rsidR="002076F6" w:rsidRDefault="002076F6">
                    <w:pPr>
                      <w:rPr>
                        <w:b/>
                        <w:sz w:val="16"/>
                      </w:rPr>
                    </w:pPr>
                    <w:r>
                      <w:rPr>
                        <w:rFonts w:hint="eastAsia"/>
                        <w:b/>
                        <w:sz w:val="20"/>
                      </w:rPr>
                      <w:t>H</w:t>
                    </w:r>
                  </w:p>
                  <w:p w:rsidR="002076F6" w:rsidRDefault="002076F6">
                    <w:pPr>
                      <w:rPr>
                        <w:b/>
                        <w:sz w:val="10"/>
                      </w:rPr>
                    </w:pPr>
                  </w:p>
                  <w:p w:rsidR="002076F6" w:rsidRDefault="002076F6">
                    <w:pPr>
                      <w:rPr>
                        <w:b/>
                        <w:sz w:val="16"/>
                      </w:rPr>
                    </w:pPr>
                  </w:p>
                  <w:p w:rsidR="002076F6" w:rsidRDefault="002076F6">
                    <w:pPr>
                      <w:rPr>
                        <w:b/>
                        <w:sz w:val="16"/>
                      </w:rPr>
                    </w:pPr>
                  </w:p>
                  <w:p w:rsidR="002076F6" w:rsidRDefault="002076F6">
                    <w:pPr>
                      <w:rPr>
                        <w:b/>
                        <w:sz w:val="16"/>
                      </w:rPr>
                    </w:pPr>
                    <w:r>
                      <w:rPr>
                        <w:rFonts w:hint="eastAsia"/>
                        <w:b/>
                        <w:sz w:val="20"/>
                      </w:rPr>
                      <w:t>I</w:t>
                    </w:r>
                  </w:p>
                  <w:p w:rsidR="002076F6" w:rsidRDefault="002076F6">
                    <w:pPr>
                      <w:rPr>
                        <w:b/>
                        <w:sz w:val="10"/>
                      </w:rPr>
                    </w:pPr>
                  </w:p>
                  <w:p w:rsidR="002076F6" w:rsidRDefault="002076F6">
                    <w:pPr>
                      <w:rPr>
                        <w:b/>
                        <w:sz w:val="16"/>
                      </w:rPr>
                    </w:pPr>
                  </w:p>
                  <w:p w:rsidR="002076F6" w:rsidRDefault="002076F6">
                    <w:pPr>
                      <w:rPr>
                        <w:b/>
                        <w:sz w:val="16"/>
                      </w:rPr>
                    </w:pPr>
                  </w:p>
                  <w:p w:rsidR="002076F6" w:rsidRDefault="002076F6">
                    <w:pPr>
                      <w:rPr>
                        <w:b/>
                        <w:sz w:val="16"/>
                      </w:rPr>
                    </w:pPr>
                    <w:r>
                      <w:rPr>
                        <w:rFonts w:hint="eastAsia"/>
                        <w:b/>
                        <w:sz w:val="20"/>
                      </w:rPr>
                      <w:t>J</w:t>
                    </w:r>
                  </w:p>
                  <w:p w:rsidR="002076F6" w:rsidRDefault="002076F6">
                    <w:pPr>
                      <w:rPr>
                        <w:b/>
                        <w:sz w:val="10"/>
                      </w:rPr>
                    </w:pPr>
                  </w:p>
                  <w:p w:rsidR="002076F6" w:rsidRDefault="002076F6">
                    <w:pPr>
                      <w:rPr>
                        <w:b/>
                        <w:sz w:val="16"/>
                      </w:rPr>
                    </w:pPr>
                  </w:p>
                  <w:p w:rsidR="002076F6" w:rsidRDefault="002076F6">
                    <w:pPr>
                      <w:rPr>
                        <w:b/>
                        <w:sz w:val="16"/>
                      </w:rPr>
                    </w:pPr>
                  </w:p>
                  <w:p w:rsidR="002076F6" w:rsidRDefault="002076F6">
                    <w:pPr>
                      <w:rPr>
                        <w:b/>
                        <w:sz w:val="16"/>
                      </w:rPr>
                    </w:pPr>
                    <w:r>
                      <w:rPr>
                        <w:rFonts w:hint="eastAsia"/>
                        <w:b/>
                        <w:sz w:val="20"/>
                      </w:rPr>
                      <w:t>K</w:t>
                    </w:r>
                  </w:p>
                  <w:p w:rsidR="002076F6" w:rsidRDefault="002076F6">
                    <w:pPr>
                      <w:rPr>
                        <w:b/>
                        <w:sz w:val="10"/>
                      </w:rPr>
                    </w:pPr>
                  </w:p>
                  <w:p w:rsidR="002076F6" w:rsidRDefault="002076F6">
                    <w:pPr>
                      <w:rPr>
                        <w:b/>
                        <w:sz w:val="16"/>
                      </w:rPr>
                    </w:pPr>
                  </w:p>
                  <w:p w:rsidR="002076F6" w:rsidRDefault="002076F6">
                    <w:pPr>
                      <w:rPr>
                        <w:b/>
                        <w:sz w:val="16"/>
                      </w:rPr>
                    </w:pPr>
                  </w:p>
                  <w:p w:rsidR="002076F6" w:rsidRDefault="002076F6">
                    <w:pPr>
                      <w:rPr>
                        <w:b/>
                        <w:sz w:val="16"/>
                      </w:rPr>
                    </w:pPr>
                    <w:r>
                      <w:rPr>
                        <w:rFonts w:hint="eastAsia"/>
                        <w:b/>
                        <w:sz w:val="20"/>
                      </w:rPr>
                      <w:t>L</w:t>
                    </w:r>
                  </w:p>
                  <w:p w:rsidR="002076F6" w:rsidRDefault="002076F6">
                    <w:pPr>
                      <w:rPr>
                        <w:b/>
                        <w:sz w:val="10"/>
                      </w:rPr>
                    </w:pPr>
                  </w:p>
                  <w:p w:rsidR="002076F6" w:rsidRDefault="002076F6">
                    <w:pPr>
                      <w:rPr>
                        <w:b/>
                        <w:sz w:val="16"/>
                      </w:rPr>
                    </w:pPr>
                  </w:p>
                  <w:p w:rsidR="002076F6" w:rsidRDefault="002076F6">
                    <w:pPr>
                      <w:rPr>
                        <w:b/>
                        <w:sz w:val="16"/>
                      </w:rPr>
                    </w:pPr>
                  </w:p>
                  <w:p w:rsidR="002076F6" w:rsidRDefault="002076F6">
                    <w:pPr>
                      <w:rPr>
                        <w:b/>
                        <w:sz w:val="16"/>
                      </w:rPr>
                    </w:pPr>
                    <w:r>
                      <w:rPr>
                        <w:rFonts w:hint="eastAsia"/>
                        <w:b/>
                        <w:sz w:val="20"/>
                      </w:rPr>
                      <w:t>M</w:t>
                    </w:r>
                  </w:p>
                  <w:p w:rsidR="002076F6" w:rsidRDefault="002076F6">
                    <w:pPr>
                      <w:rPr>
                        <w:b/>
                        <w:sz w:val="10"/>
                      </w:rPr>
                    </w:pPr>
                  </w:p>
                  <w:p w:rsidR="002076F6" w:rsidRDefault="002076F6">
                    <w:pPr>
                      <w:rPr>
                        <w:b/>
                        <w:sz w:val="16"/>
                      </w:rPr>
                    </w:pPr>
                  </w:p>
                  <w:p w:rsidR="002076F6" w:rsidRDefault="002076F6">
                    <w:pPr>
                      <w:rPr>
                        <w:b/>
                        <w:sz w:val="16"/>
                      </w:rPr>
                    </w:pPr>
                  </w:p>
                  <w:p w:rsidR="002076F6" w:rsidRDefault="002076F6">
                    <w:pPr>
                      <w:rPr>
                        <w:b/>
                        <w:sz w:val="16"/>
                      </w:rPr>
                    </w:pPr>
                    <w:r>
                      <w:rPr>
                        <w:rFonts w:hint="eastAsia"/>
                        <w:b/>
                        <w:sz w:val="20"/>
                      </w:rPr>
                      <w:t>N</w:t>
                    </w:r>
                  </w:p>
                  <w:p w:rsidR="002076F6" w:rsidRDefault="002076F6">
                    <w:pPr>
                      <w:rPr>
                        <w:b/>
                        <w:sz w:val="10"/>
                      </w:rPr>
                    </w:pPr>
                  </w:p>
                  <w:p w:rsidR="002076F6" w:rsidRDefault="002076F6">
                    <w:pPr>
                      <w:rPr>
                        <w:b/>
                        <w:sz w:val="16"/>
                      </w:rPr>
                    </w:pPr>
                  </w:p>
                  <w:p w:rsidR="002076F6" w:rsidRDefault="002076F6">
                    <w:pPr>
                      <w:rPr>
                        <w:b/>
                        <w:sz w:val="16"/>
                      </w:rPr>
                    </w:pPr>
                  </w:p>
                  <w:p w:rsidR="002076F6" w:rsidRDefault="002076F6">
                    <w:pPr>
                      <w:rPr>
                        <w:b/>
                        <w:sz w:val="16"/>
                      </w:rPr>
                    </w:pPr>
                    <w:r>
                      <w:rPr>
                        <w:rFonts w:hint="eastAsia"/>
                        <w:b/>
                        <w:sz w:val="20"/>
                      </w:rPr>
                      <w:t>O</w:t>
                    </w:r>
                  </w:p>
                  <w:p w:rsidR="002076F6" w:rsidRDefault="002076F6">
                    <w:pPr>
                      <w:rPr>
                        <w:b/>
                        <w:sz w:val="10"/>
                      </w:rPr>
                    </w:pPr>
                  </w:p>
                  <w:p w:rsidR="002076F6" w:rsidRDefault="002076F6">
                    <w:pPr>
                      <w:rPr>
                        <w:b/>
                        <w:sz w:val="16"/>
                      </w:rPr>
                    </w:pPr>
                  </w:p>
                  <w:p w:rsidR="002076F6" w:rsidRDefault="002076F6">
                    <w:pPr>
                      <w:rPr>
                        <w:b/>
                        <w:sz w:val="16"/>
                      </w:rPr>
                    </w:pPr>
                  </w:p>
                  <w:p w:rsidR="002076F6" w:rsidRDefault="002076F6">
                    <w:pPr>
                      <w:rPr>
                        <w:b/>
                        <w:sz w:val="16"/>
                      </w:rPr>
                    </w:pPr>
                    <w:r>
                      <w:rPr>
                        <w:rFonts w:hint="eastAsia"/>
                        <w:b/>
                        <w:sz w:val="20"/>
                      </w:rPr>
                      <w:t>P</w:t>
                    </w:r>
                  </w:p>
                  <w:p w:rsidR="002076F6" w:rsidRDefault="002076F6">
                    <w:pPr>
                      <w:rPr>
                        <w:b/>
                        <w:sz w:val="10"/>
                      </w:rPr>
                    </w:pPr>
                  </w:p>
                  <w:p w:rsidR="002076F6" w:rsidRDefault="002076F6">
                    <w:pPr>
                      <w:rPr>
                        <w:b/>
                        <w:sz w:val="16"/>
                      </w:rPr>
                    </w:pPr>
                  </w:p>
                  <w:p w:rsidR="002076F6" w:rsidRDefault="002076F6">
                    <w:pPr>
                      <w:rPr>
                        <w:b/>
                        <w:sz w:val="16"/>
                      </w:rPr>
                    </w:pPr>
                  </w:p>
                  <w:p w:rsidR="002076F6" w:rsidRDefault="002076F6">
                    <w:pPr>
                      <w:rPr>
                        <w:b/>
                        <w:sz w:val="16"/>
                      </w:rPr>
                    </w:pPr>
                    <w:r>
                      <w:rPr>
                        <w:rFonts w:hint="eastAsia"/>
                        <w:b/>
                        <w:sz w:val="20"/>
                      </w:rPr>
                      <w:t>Q</w:t>
                    </w:r>
                  </w:p>
                  <w:p w:rsidR="002076F6" w:rsidRDefault="002076F6">
                    <w:pPr>
                      <w:rPr>
                        <w:b/>
                        <w:sz w:val="10"/>
                      </w:rPr>
                    </w:pPr>
                  </w:p>
                  <w:p w:rsidR="002076F6" w:rsidRDefault="002076F6">
                    <w:pPr>
                      <w:rPr>
                        <w:b/>
                        <w:sz w:val="16"/>
                      </w:rPr>
                    </w:pPr>
                  </w:p>
                  <w:p w:rsidR="002076F6" w:rsidRDefault="002076F6">
                    <w:pPr>
                      <w:rPr>
                        <w:b/>
                        <w:sz w:val="16"/>
                      </w:rPr>
                    </w:pPr>
                  </w:p>
                  <w:p w:rsidR="002076F6" w:rsidRDefault="002076F6">
                    <w:pPr>
                      <w:rPr>
                        <w:b/>
                        <w:sz w:val="16"/>
                      </w:rPr>
                    </w:pPr>
                    <w:r>
                      <w:rPr>
                        <w:rFonts w:hint="eastAsia"/>
                        <w:b/>
                        <w:sz w:val="20"/>
                      </w:rPr>
                      <w:t>R</w:t>
                    </w:r>
                  </w:p>
                  <w:p w:rsidR="002076F6" w:rsidRDefault="002076F6">
                    <w:pPr>
                      <w:rPr>
                        <w:b/>
                        <w:sz w:val="10"/>
                      </w:rPr>
                    </w:pPr>
                  </w:p>
                  <w:p w:rsidR="002076F6" w:rsidRDefault="002076F6">
                    <w:pPr>
                      <w:rPr>
                        <w:b/>
                        <w:sz w:val="16"/>
                      </w:rPr>
                    </w:pPr>
                  </w:p>
                  <w:p w:rsidR="002076F6" w:rsidRDefault="002076F6">
                    <w:pPr>
                      <w:rPr>
                        <w:b/>
                        <w:sz w:val="16"/>
                      </w:rPr>
                    </w:pPr>
                  </w:p>
                  <w:p w:rsidR="002076F6" w:rsidRDefault="002076F6">
                    <w:pPr>
                      <w:rPr>
                        <w:b/>
                        <w:sz w:val="16"/>
                      </w:rPr>
                    </w:pPr>
                    <w:r>
                      <w:rPr>
                        <w:rFonts w:hint="eastAsia"/>
                        <w:b/>
                        <w:sz w:val="20"/>
                      </w:rPr>
                      <w:t>S</w:t>
                    </w:r>
                  </w:p>
                  <w:p w:rsidR="002076F6" w:rsidRDefault="002076F6">
                    <w:pPr>
                      <w:rPr>
                        <w:b/>
                        <w:sz w:val="10"/>
                      </w:rPr>
                    </w:pPr>
                  </w:p>
                  <w:p w:rsidR="002076F6" w:rsidRDefault="002076F6">
                    <w:pPr>
                      <w:rPr>
                        <w:b/>
                        <w:sz w:val="16"/>
                      </w:rPr>
                    </w:pPr>
                  </w:p>
                  <w:p w:rsidR="002076F6" w:rsidRDefault="002076F6">
                    <w:pPr>
                      <w:rPr>
                        <w:b/>
                        <w:sz w:val="16"/>
                      </w:rPr>
                    </w:pPr>
                  </w:p>
                  <w:p w:rsidR="002076F6" w:rsidRDefault="002076F6">
                    <w:pPr>
                      <w:rPr>
                        <w:b/>
                        <w:sz w:val="16"/>
                      </w:rPr>
                    </w:pPr>
                    <w:r>
                      <w:rPr>
                        <w:rFonts w:hint="eastAsia"/>
                        <w:b/>
                        <w:sz w:val="20"/>
                      </w:rPr>
                      <w:t>T</w:t>
                    </w:r>
                  </w:p>
                  <w:p w:rsidR="002076F6" w:rsidRDefault="002076F6">
                    <w:pPr>
                      <w:rPr>
                        <w:b/>
                        <w:sz w:val="10"/>
                      </w:rPr>
                    </w:pPr>
                  </w:p>
                  <w:p w:rsidR="002076F6" w:rsidRDefault="002076F6">
                    <w:pPr>
                      <w:rPr>
                        <w:b/>
                        <w:sz w:val="16"/>
                      </w:rPr>
                    </w:pPr>
                  </w:p>
                  <w:p w:rsidR="002076F6" w:rsidRDefault="002076F6">
                    <w:pPr>
                      <w:rPr>
                        <w:b/>
                        <w:sz w:val="16"/>
                      </w:rPr>
                    </w:pPr>
                  </w:p>
                  <w:p w:rsidR="002076F6" w:rsidRDefault="002076F6">
                    <w:pPr>
                      <w:rPr>
                        <w:b/>
                        <w:sz w:val="16"/>
                      </w:rPr>
                    </w:pPr>
                    <w:r>
                      <w:rPr>
                        <w:rFonts w:hint="eastAsia"/>
                        <w:b/>
                        <w:sz w:val="20"/>
                      </w:rPr>
                      <w:t>U</w:t>
                    </w:r>
                  </w:p>
                  <w:p w:rsidR="002076F6" w:rsidRDefault="002076F6">
                    <w:pPr>
                      <w:rPr>
                        <w:b/>
                        <w:sz w:val="10"/>
                      </w:rPr>
                    </w:pPr>
                  </w:p>
                  <w:p w:rsidR="002076F6" w:rsidRDefault="002076F6">
                    <w:pPr>
                      <w:rPr>
                        <w:b/>
                        <w:sz w:val="16"/>
                      </w:rPr>
                    </w:pPr>
                  </w:p>
                  <w:p w:rsidR="002076F6" w:rsidRDefault="002076F6">
                    <w:pPr>
                      <w:rPr>
                        <w:b/>
                        <w:sz w:val="16"/>
                      </w:rPr>
                    </w:pPr>
                  </w:p>
                  <w:p w:rsidR="002076F6" w:rsidRDefault="002076F6">
                    <w:pPr>
                      <w:pStyle w:val="Heading3"/>
                      <w:jc w:val="left"/>
                    </w:pPr>
                    <w:r>
                      <w:rPr>
                        <w:rFonts w:hint="eastAsia"/>
                      </w:rPr>
                      <w:t>V</w:t>
                    </w:r>
                  </w:p>
                </w:txbxContent>
              </v:textbox>
            </v:shape>
          </w:pict>
        </mc:Fallback>
      </mc:AlternateContent>
    </w:r>
    <w:r w:rsidRPr="00D54FEA">
      <w:rPr>
        <w:noProof/>
        <w:sz w:val="20"/>
        <w:lang w:val="en-US" w:eastAsia="zh-CN"/>
      </w:rPr>
      <mc:AlternateContent>
        <mc:Choice Requires="wps">
          <w:drawing>
            <wp:anchor distT="0" distB="0" distL="114300" distR="114300" simplePos="0" relativeHeight="251657216" behindDoc="0" locked="0" layoutInCell="0" allowOverlap="1" wp14:anchorId="24090BDD" wp14:editId="0A18E675">
              <wp:simplePos x="0" y="0"/>
              <wp:positionH relativeFrom="column">
                <wp:posOffset>-800100</wp:posOffset>
              </wp:positionH>
              <wp:positionV relativeFrom="paragraph">
                <wp:posOffset>-243205</wp:posOffset>
              </wp:positionV>
              <wp:extent cx="571500" cy="297180"/>
              <wp:effectExtent l="0" t="4445" r="0" b="3175"/>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076F6" w:rsidRPr="00481CCA" w:rsidRDefault="002076F6">
                          <w:pPr>
                            <w:rPr>
                              <w:rFonts w:eastAsia="PMingLiU"/>
                              <w:b/>
                              <w:sz w:val="18"/>
                              <w:lang w:eastAsia="zh-TW"/>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090BDD" id="Text Box 3" o:spid="_x0000_s1028" type="#_x0000_t202" style="position:absolute;left:0;text-align:left;margin-left:-63pt;margin-top:-19.15pt;width:45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" o:allowincell="f" stroked="f">
              <v:textbox>
                <w:txbxContent>
                  <w:p w:rsidR="002076F6" w:rsidRPr="00481CCA" w:rsidRDefault="002076F6">
                    <w:pPr>
                      <w:rPr>
                        <w:rFonts w:eastAsia="PMingLiU"/>
                        <w:b/>
                        <w:sz w:val="18"/>
                        <w:lang w:eastAsia="zh-TW"/>
                      </w:rPr>
                    </w:pP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76F6" w:rsidRDefault="002076F6">
    <w:pPr>
      <w:pStyle w:val="Header"/>
      <w:rPr>
        <w:sz w:val="28"/>
      </w:rPr>
    </w:pPr>
    <w:r>
      <w:rPr>
        <w:noProof/>
        <w:sz w:val="28"/>
        <w:lang w:val="en-US" w:eastAsia="zh-CN"/>
      </w:rPr>
      <mc:AlternateContent>
        <mc:Choice Requires="wps">
          <w:drawing>
            <wp:anchor distT="0" distB="0" distL="114300" distR="114300" simplePos="0" relativeHeight="251659264" behindDoc="0" locked="0" layoutInCell="0" allowOverlap="1" wp14:anchorId="348CF060" wp14:editId="1DEE5723">
              <wp:simplePos x="0" y="0"/>
              <wp:positionH relativeFrom="column">
                <wp:posOffset>5843905</wp:posOffset>
              </wp:positionH>
              <wp:positionV relativeFrom="paragraph">
                <wp:posOffset>155575</wp:posOffset>
              </wp:positionV>
              <wp:extent cx="414020" cy="10058400"/>
              <wp:effectExtent l="0" t="0" r="508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076F6" w:rsidRDefault="002076F6">
                          <w:pPr>
                            <w:rPr>
                              <w:b/>
                              <w:sz w:val="20"/>
                            </w:rPr>
                          </w:pPr>
                          <w:r>
                            <w:rPr>
                              <w:rFonts w:hint="eastAsia"/>
                              <w:b/>
                              <w:sz w:val="20"/>
                            </w:rPr>
                            <w:t>A</w:t>
                          </w:r>
                        </w:p>
                        <w:p w:rsidR="002076F6" w:rsidRDefault="002076F6">
                          <w:pPr>
                            <w:rPr>
                              <w:b/>
                              <w:sz w:val="10"/>
                            </w:rPr>
                          </w:pPr>
                        </w:p>
                        <w:p w:rsidR="002076F6" w:rsidRDefault="002076F6">
                          <w:pPr>
                            <w:rPr>
                              <w:b/>
                              <w:sz w:val="16"/>
                            </w:rPr>
                          </w:pPr>
                        </w:p>
                        <w:p w:rsidR="002076F6" w:rsidRDefault="002076F6">
                          <w:pPr>
                            <w:rPr>
                              <w:b/>
                              <w:sz w:val="16"/>
                            </w:rPr>
                          </w:pPr>
                        </w:p>
                        <w:p w:rsidR="002076F6" w:rsidRDefault="002076F6">
                          <w:pPr>
                            <w:rPr>
                              <w:b/>
                              <w:sz w:val="20"/>
                            </w:rPr>
                          </w:pPr>
                          <w:r>
                            <w:rPr>
                              <w:rFonts w:hint="eastAsia"/>
                              <w:b/>
                              <w:sz w:val="20"/>
                            </w:rPr>
                            <w:t>B</w:t>
                          </w:r>
                        </w:p>
                        <w:p w:rsidR="002076F6" w:rsidRDefault="002076F6">
                          <w:pPr>
                            <w:rPr>
                              <w:b/>
                              <w:sz w:val="10"/>
                            </w:rPr>
                          </w:pPr>
                        </w:p>
                        <w:p w:rsidR="002076F6" w:rsidRDefault="002076F6">
                          <w:pPr>
                            <w:rPr>
                              <w:b/>
                              <w:sz w:val="16"/>
                            </w:rPr>
                          </w:pPr>
                        </w:p>
                        <w:p w:rsidR="002076F6" w:rsidRDefault="002076F6">
                          <w:pPr>
                            <w:rPr>
                              <w:b/>
                              <w:sz w:val="16"/>
                            </w:rPr>
                          </w:pPr>
                        </w:p>
                        <w:p w:rsidR="002076F6" w:rsidRDefault="002076F6">
                          <w:pPr>
                            <w:rPr>
                              <w:b/>
                              <w:sz w:val="16"/>
                            </w:rPr>
                          </w:pPr>
                          <w:r>
                            <w:rPr>
                              <w:rFonts w:hint="eastAsia"/>
                              <w:b/>
                              <w:sz w:val="20"/>
                            </w:rPr>
                            <w:t>C</w:t>
                          </w:r>
                        </w:p>
                        <w:p w:rsidR="002076F6" w:rsidRDefault="002076F6">
                          <w:pPr>
                            <w:rPr>
                              <w:b/>
                              <w:sz w:val="10"/>
                            </w:rPr>
                          </w:pPr>
                        </w:p>
                        <w:p w:rsidR="002076F6" w:rsidRDefault="002076F6">
                          <w:pPr>
                            <w:rPr>
                              <w:b/>
                              <w:sz w:val="16"/>
                            </w:rPr>
                          </w:pPr>
                        </w:p>
                        <w:p w:rsidR="002076F6" w:rsidRDefault="002076F6">
                          <w:pPr>
                            <w:rPr>
                              <w:b/>
                              <w:sz w:val="16"/>
                            </w:rPr>
                          </w:pPr>
                        </w:p>
                        <w:p w:rsidR="002076F6" w:rsidRDefault="002076F6">
                          <w:pPr>
                            <w:pStyle w:val="Heading2"/>
                            <w:rPr>
                              <w:sz w:val="16"/>
                            </w:rPr>
                          </w:pPr>
                          <w:r>
                            <w:rPr>
                              <w:rFonts w:hint="eastAsia"/>
                            </w:rPr>
                            <w:t>D</w:t>
                          </w:r>
                        </w:p>
                        <w:p w:rsidR="002076F6" w:rsidRDefault="002076F6">
                          <w:pPr>
                            <w:rPr>
                              <w:b/>
                              <w:sz w:val="10"/>
                            </w:rPr>
                          </w:pPr>
                        </w:p>
                        <w:p w:rsidR="002076F6" w:rsidRDefault="002076F6">
                          <w:pPr>
                            <w:rPr>
                              <w:b/>
                              <w:sz w:val="16"/>
                            </w:rPr>
                          </w:pPr>
                        </w:p>
                        <w:p w:rsidR="002076F6" w:rsidRDefault="002076F6">
                          <w:pPr>
                            <w:rPr>
                              <w:b/>
                              <w:sz w:val="16"/>
                            </w:rPr>
                          </w:pPr>
                        </w:p>
                        <w:p w:rsidR="002076F6" w:rsidRDefault="002076F6">
                          <w:pPr>
                            <w:rPr>
                              <w:b/>
                              <w:sz w:val="16"/>
                            </w:rPr>
                          </w:pPr>
                          <w:r>
                            <w:rPr>
                              <w:rFonts w:hint="eastAsia"/>
                              <w:b/>
                              <w:sz w:val="20"/>
                            </w:rPr>
                            <w:t>E</w:t>
                          </w:r>
                        </w:p>
                        <w:p w:rsidR="002076F6" w:rsidRDefault="002076F6">
                          <w:pPr>
                            <w:rPr>
                              <w:b/>
                              <w:sz w:val="10"/>
                            </w:rPr>
                          </w:pPr>
                        </w:p>
                        <w:p w:rsidR="002076F6" w:rsidRDefault="002076F6">
                          <w:pPr>
                            <w:rPr>
                              <w:b/>
                              <w:sz w:val="16"/>
                            </w:rPr>
                          </w:pPr>
                        </w:p>
                        <w:p w:rsidR="002076F6" w:rsidRDefault="002076F6">
                          <w:pPr>
                            <w:rPr>
                              <w:b/>
                              <w:sz w:val="16"/>
                            </w:rPr>
                          </w:pPr>
                        </w:p>
                        <w:p w:rsidR="002076F6" w:rsidRDefault="002076F6">
                          <w:pPr>
                            <w:rPr>
                              <w:b/>
                              <w:sz w:val="20"/>
                            </w:rPr>
                          </w:pPr>
                          <w:r>
                            <w:rPr>
                              <w:rFonts w:hint="eastAsia"/>
                              <w:b/>
                              <w:sz w:val="20"/>
                            </w:rPr>
                            <w:t>F</w:t>
                          </w:r>
                        </w:p>
                        <w:p w:rsidR="002076F6" w:rsidRDefault="002076F6">
                          <w:pPr>
                            <w:rPr>
                              <w:b/>
                              <w:sz w:val="10"/>
                            </w:rPr>
                          </w:pPr>
                        </w:p>
                        <w:p w:rsidR="002076F6" w:rsidRDefault="002076F6">
                          <w:pPr>
                            <w:rPr>
                              <w:b/>
                              <w:sz w:val="16"/>
                            </w:rPr>
                          </w:pPr>
                        </w:p>
                        <w:p w:rsidR="002076F6" w:rsidRDefault="002076F6">
                          <w:pPr>
                            <w:rPr>
                              <w:b/>
                              <w:sz w:val="16"/>
                            </w:rPr>
                          </w:pPr>
                        </w:p>
                        <w:p w:rsidR="002076F6" w:rsidRDefault="002076F6">
                          <w:pPr>
                            <w:rPr>
                              <w:b/>
                              <w:sz w:val="16"/>
                            </w:rPr>
                          </w:pPr>
                          <w:r>
                            <w:rPr>
                              <w:rFonts w:hint="eastAsia"/>
                              <w:b/>
                              <w:sz w:val="20"/>
                            </w:rPr>
                            <w:t>G</w:t>
                          </w:r>
                        </w:p>
                        <w:p w:rsidR="002076F6" w:rsidRDefault="002076F6">
                          <w:pPr>
                            <w:rPr>
                              <w:b/>
                              <w:sz w:val="10"/>
                            </w:rPr>
                          </w:pPr>
                        </w:p>
                        <w:p w:rsidR="002076F6" w:rsidRDefault="002076F6">
                          <w:pPr>
                            <w:rPr>
                              <w:b/>
                              <w:sz w:val="16"/>
                            </w:rPr>
                          </w:pPr>
                        </w:p>
                        <w:p w:rsidR="002076F6" w:rsidRDefault="002076F6">
                          <w:pPr>
                            <w:rPr>
                              <w:b/>
                              <w:sz w:val="16"/>
                            </w:rPr>
                          </w:pPr>
                        </w:p>
                        <w:p w:rsidR="002076F6" w:rsidRDefault="002076F6">
                          <w:pPr>
                            <w:rPr>
                              <w:b/>
                              <w:sz w:val="16"/>
                            </w:rPr>
                          </w:pPr>
                          <w:r>
                            <w:rPr>
                              <w:rFonts w:hint="eastAsia"/>
                              <w:b/>
                              <w:sz w:val="20"/>
                            </w:rPr>
                            <w:t>H</w:t>
                          </w:r>
                        </w:p>
                        <w:p w:rsidR="002076F6" w:rsidRDefault="002076F6">
                          <w:pPr>
                            <w:rPr>
                              <w:b/>
                              <w:sz w:val="10"/>
                            </w:rPr>
                          </w:pPr>
                        </w:p>
                        <w:p w:rsidR="002076F6" w:rsidRDefault="002076F6">
                          <w:pPr>
                            <w:rPr>
                              <w:b/>
                              <w:sz w:val="16"/>
                            </w:rPr>
                          </w:pPr>
                        </w:p>
                        <w:p w:rsidR="002076F6" w:rsidRDefault="002076F6">
                          <w:pPr>
                            <w:rPr>
                              <w:b/>
                              <w:sz w:val="16"/>
                            </w:rPr>
                          </w:pPr>
                        </w:p>
                        <w:p w:rsidR="002076F6" w:rsidRDefault="002076F6">
                          <w:pPr>
                            <w:rPr>
                              <w:b/>
                              <w:sz w:val="16"/>
                            </w:rPr>
                          </w:pPr>
                          <w:r>
                            <w:rPr>
                              <w:rFonts w:hint="eastAsia"/>
                              <w:b/>
                              <w:sz w:val="20"/>
                            </w:rPr>
                            <w:t>I</w:t>
                          </w:r>
                        </w:p>
                        <w:p w:rsidR="002076F6" w:rsidRDefault="002076F6">
                          <w:pPr>
                            <w:rPr>
                              <w:b/>
                              <w:sz w:val="10"/>
                            </w:rPr>
                          </w:pPr>
                        </w:p>
                        <w:p w:rsidR="002076F6" w:rsidRDefault="002076F6">
                          <w:pPr>
                            <w:rPr>
                              <w:b/>
                              <w:sz w:val="16"/>
                            </w:rPr>
                          </w:pPr>
                        </w:p>
                        <w:p w:rsidR="002076F6" w:rsidRDefault="002076F6">
                          <w:pPr>
                            <w:rPr>
                              <w:b/>
                              <w:sz w:val="16"/>
                            </w:rPr>
                          </w:pPr>
                        </w:p>
                        <w:p w:rsidR="002076F6" w:rsidRDefault="002076F6">
                          <w:pPr>
                            <w:rPr>
                              <w:b/>
                              <w:sz w:val="16"/>
                            </w:rPr>
                          </w:pPr>
                          <w:r>
                            <w:rPr>
                              <w:rFonts w:hint="eastAsia"/>
                              <w:b/>
                              <w:sz w:val="20"/>
                            </w:rPr>
                            <w:t>J</w:t>
                          </w:r>
                        </w:p>
                        <w:p w:rsidR="002076F6" w:rsidRDefault="002076F6">
                          <w:pPr>
                            <w:rPr>
                              <w:b/>
                              <w:sz w:val="10"/>
                            </w:rPr>
                          </w:pPr>
                        </w:p>
                        <w:p w:rsidR="002076F6" w:rsidRDefault="002076F6">
                          <w:pPr>
                            <w:rPr>
                              <w:b/>
                              <w:sz w:val="16"/>
                            </w:rPr>
                          </w:pPr>
                        </w:p>
                        <w:p w:rsidR="002076F6" w:rsidRDefault="002076F6">
                          <w:pPr>
                            <w:rPr>
                              <w:b/>
                              <w:sz w:val="16"/>
                            </w:rPr>
                          </w:pPr>
                        </w:p>
                        <w:p w:rsidR="002076F6" w:rsidRDefault="002076F6">
                          <w:pPr>
                            <w:rPr>
                              <w:b/>
                              <w:sz w:val="16"/>
                            </w:rPr>
                          </w:pPr>
                          <w:r>
                            <w:rPr>
                              <w:rFonts w:hint="eastAsia"/>
                              <w:b/>
                              <w:sz w:val="20"/>
                            </w:rPr>
                            <w:t>K</w:t>
                          </w:r>
                        </w:p>
                        <w:p w:rsidR="002076F6" w:rsidRDefault="002076F6">
                          <w:pPr>
                            <w:rPr>
                              <w:b/>
                              <w:sz w:val="10"/>
                            </w:rPr>
                          </w:pPr>
                        </w:p>
                        <w:p w:rsidR="002076F6" w:rsidRDefault="002076F6">
                          <w:pPr>
                            <w:rPr>
                              <w:b/>
                              <w:sz w:val="16"/>
                            </w:rPr>
                          </w:pPr>
                        </w:p>
                        <w:p w:rsidR="002076F6" w:rsidRDefault="002076F6">
                          <w:pPr>
                            <w:rPr>
                              <w:b/>
                              <w:sz w:val="16"/>
                            </w:rPr>
                          </w:pPr>
                        </w:p>
                        <w:p w:rsidR="002076F6" w:rsidRDefault="002076F6">
                          <w:pPr>
                            <w:rPr>
                              <w:b/>
                              <w:sz w:val="16"/>
                            </w:rPr>
                          </w:pPr>
                          <w:r>
                            <w:rPr>
                              <w:rFonts w:hint="eastAsia"/>
                              <w:b/>
                              <w:sz w:val="20"/>
                            </w:rPr>
                            <w:t>L</w:t>
                          </w:r>
                        </w:p>
                        <w:p w:rsidR="002076F6" w:rsidRDefault="002076F6">
                          <w:pPr>
                            <w:rPr>
                              <w:b/>
                              <w:sz w:val="10"/>
                            </w:rPr>
                          </w:pPr>
                        </w:p>
                        <w:p w:rsidR="002076F6" w:rsidRDefault="002076F6">
                          <w:pPr>
                            <w:rPr>
                              <w:b/>
                              <w:sz w:val="16"/>
                            </w:rPr>
                          </w:pPr>
                        </w:p>
                        <w:p w:rsidR="002076F6" w:rsidRDefault="002076F6">
                          <w:pPr>
                            <w:rPr>
                              <w:b/>
                              <w:sz w:val="16"/>
                            </w:rPr>
                          </w:pPr>
                        </w:p>
                        <w:p w:rsidR="002076F6" w:rsidRDefault="002076F6">
                          <w:pPr>
                            <w:rPr>
                              <w:b/>
                              <w:sz w:val="16"/>
                            </w:rPr>
                          </w:pPr>
                          <w:r>
                            <w:rPr>
                              <w:rFonts w:hint="eastAsia"/>
                              <w:b/>
                              <w:sz w:val="20"/>
                            </w:rPr>
                            <w:t>M</w:t>
                          </w:r>
                        </w:p>
                        <w:p w:rsidR="002076F6" w:rsidRDefault="002076F6">
                          <w:pPr>
                            <w:rPr>
                              <w:b/>
                              <w:sz w:val="10"/>
                            </w:rPr>
                          </w:pPr>
                        </w:p>
                        <w:p w:rsidR="002076F6" w:rsidRDefault="002076F6">
                          <w:pPr>
                            <w:rPr>
                              <w:b/>
                              <w:sz w:val="16"/>
                            </w:rPr>
                          </w:pPr>
                        </w:p>
                        <w:p w:rsidR="002076F6" w:rsidRDefault="002076F6">
                          <w:pPr>
                            <w:rPr>
                              <w:b/>
                              <w:sz w:val="16"/>
                            </w:rPr>
                          </w:pPr>
                        </w:p>
                        <w:p w:rsidR="002076F6" w:rsidRDefault="002076F6">
                          <w:pPr>
                            <w:rPr>
                              <w:b/>
                              <w:sz w:val="16"/>
                            </w:rPr>
                          </w:pPr>
                          <w:r>
                            <w:rPr>
                              <w:rFonts w:hint="eastAsia"/>
                              <w:b/>
                              <w:sz w:val="20"/>
                            </w:rPr>
                            <w:t>N</w:t>
                          </w:r>
                        </w:p>
                        <w:p w:rsidR="002076F6" w:rsidRDefault="002076F6">
                          <w:pPr>
                            <w:rPr>
                              <w:b/>
                              <w:sz w:val="10"/>
                            </w:rPr>
                          </w:pPr>
                        </w:p>
                        <w:p w:rsidR="002076F6" w:rsidRDefault="002076F6">
                          <w:pPr>
                            <w:rPr>
                              <w:b/>
                              <w:sz w:val="16"/>
                            </w:rPr>
                          </w:pPr>
                        </w:p>
                        <w:p w:rsidR="002076F6" w:rsidRDefault="002076F6">
                          <w:pPr>
                            <w:rPr>
                              <w:b/>
                              <w:sz w:val="16"/>
                            </w:rPr>
                          </w:pPr>
                        </w:p>
                        <w:p w:rsidR="002076F6" w:rsidRDefault="002076F6">
                          <w:pPr>
                            <w:rPr>
                              <w:b/>
                              <w:sz w:val="16"/>
                            </w:rPr>
                          </w:pPr>
                          <w:r>
                            <w:rPr>
                              <w:rFonts w:hint="eastAsia"/>
                              <w:b/>
                              <w:sz w:val="20"/>
                            </w:rPr>
                            <w:t>O</w:t>
                          </w:r>
                        </w:p>
                        <w:p w:rsidR="002076F6" w:rsidRDefault="002076F6">
                          <w:pPr>
                            <w:rPr>
                              <w:b/>
                              <w:sz w:val="10"/>
                            </w:rPr>
                          </w:pPr>
                        </w:p>
                        <w:p w:rsidR="002076F6" w:rsidRDefault="002076F6">
                          <w:pPr>
                            <w:rPr>
                              <w:b/>
                              <w:sz w:val="16"/>
                            </w:rPr>
                          </w:pPr>
                        </w:p>
                        <w:p w:rsidR="002076F6" w:rsidRDefault="002076F6">
                          <w:pPr>
                            <w:rPr>
                              <w:b/>
                              <w:sz w:val="16"/>
                            </w:rPr>
                          </w:pPr>
                        </w:p>
                        <w:p w:rsidR="002076F6" w:rsidRDefault="002076F6">
                          <w:pPr>
                            <w:rPr>
                              <w:b/>
                              <w:sz w:val="16"/>
                            </w:rPr>
                          </w:pPr>
                          <w:r>
                            <w:rPr>
                              <w:rFonts w:hint="eastAsia"/>
                              <w:b/>
                              <w:sz w:val="20"/>
                            </w:rPr>
                            <w:t>P</w:t>
                          </w:r>
                        </w:p>
                        <w:p w:rsidR="002076F6" w:rsidRDefault="002076F6">
                          <w:pPr>
                            <w:rPr>
                              <w:b/>
                              <w:sz w:val="10"/>
                            </w:rPr>
                          </w:pPr>
                        </w:p>
                        <w:p w:rsidR="002076F6" w:rsidRDefault="002076F6">
                          <w:pPr>
                            <w:rPr>
                              <w:b/>
                              <w:sz w:val="16"/>
                            </w:rPr>
                          </w:pPr>
                        </w:p>
                        <w:p w:rsidR="002076F6" w:rsidRDefault="002076F6">
                          <w:pPr>
                            <w:rPr>
                              <w:b/>
                              <w:sz w:val="16"/>
                            </w:rPr>
                          </w:pPr>
                        </w:p>
                        <w:p w:rsidR="002076F6" w:rsidRDefault="002076F6">
                          <w:pPr>
                            <w:rPr>
                              <w:b/>
                              <w:sz w:val="16"/>
                            </w:rPr>
                          </w:pPr>
                          <w:r>
                            <w:rPr>
                              <w:rFonts w:hint="eastAsia"/>
                              <w:b/>
                              <w:sz w:val="20"/>
                            </w:rPr>
                            <w:t>Q</w:t>
                          </w:r>
                        </w:p>
                        <w:p w:rsidR="002076F6" w:rsidRDefault="002076F6">
                          <w:pPr>
                            <w:rPr>
                              <w:b/>
                              <w:sz w:val="10"/>
                            </w:rPr>
                          </w:pPr>
                        </w:p>
                        <w:p w:rsidR="002076F6" w:rsidRDefault="002076F6">
                          <w:pPr>
                            <w:rPr>
                              <w:b/>
                              <w:sz w:val="16"/>
                            </w:rPr>
                          </w:pPr>
                        </w:p>
                        <w:p w:rsidR="002076F6" w:rsidRDefault="002076F6">
                          <w:pPr>
                            <w:rPr>
                              <w:b/>
                              <w:sz w:val="16"/>
                            </w:rPr>
                          </w:pPr>
                        </w:p>
                        <w:p w:rsidR="002076F6" w:rsidRDefault="002076F6">
                          <w:pPr>
                            <w:rPr>
                              <w:b/>
                              <w:sz w:val="16"/>
                            </w:rPr>
                          </w:pPr>
                          <w:r>
                            <w:rPr>
                              <w:rFonts w:hint="eastAsia"/>
                              <w:b/>
                              <w:sz w:val="20"/>
                            </w:rPr>
                            <w:t>R</w:t>
                          </w:r>
                        </w:p>
                        <w:p w:rsidR="002076F6" w:rsidRDefault="002076F6">
                          <w:pPr>
                            <w:rPr>
                              <w:b/>
                              <w:sz w:val="10"/>
                            </w:rPr>
                          </w:pPr>
                        </w:p>
                        <w:p w:rsidR="002076F6" w:rsidRDefault="002076F6">
                          <w:pPr>
                            <w:rPr>
                              <w:b/>
                              <w:sz w:val="16"/>
                            </w:rPr>
                          </w:pPr>
                        </w:p>
                        <w:p w:rsidR="002076F6" w:rsidRDefault="002076F6">
                          <w:pPr>
                            <w:rPr>
                              <w:b/>
                              <w:sz w:val="16"/>
                            </w:rPr>
                          </w:pPr>
                        </w:p>
                        <w:p w:rsidR="002076F6" w:rsidRDefault="002076F6">
                          <w:pPr>
                            <w:rPr>
                              <w:b/>
                              <w:sz w:val="16"/>
                            </w:rPr>
                          </w:pPr>
                          <w:r>
                            <w:rPr>
                              <w:rFonts w:hint="eastAsia"/>
                              <w:b/>
                              <w:sz w:val="20"/>
                            </w:rPr>
                            <w:t>S</w:t>
                          </w:r>
                        </w:p>
                        <w:p w:rsidR="002076F6" w:rsidRDefault="002076F6">
                          <w:pPr>
                            <w:rPr>
                              <w:b/>
                              <w:sz w:val="10"/>
                            </w:rPr>
                          </w:pPr>
                        </w:p>
                        <w:p w:rsidR="002076F6" w:rsidRDefault="002076F6">
                          <w:pPr>
                            <w:rPr>
                              <w:b/>
                              <w:sz w:val="16"/>
                            </w:rPr>
                          </w:pPr>
                        </w:p>
                        <w:p w:rsidR="002076F6" w:rsidRDefault="002076F6">
                          <w:pPr>
                            <w:rPr>
                              <w:b/>
                              <w:sz w:val="16"/>
                            </w:rPr>
                          </w:pPr>
                        </w:p>
                        <w:p w:rsidR="002076F6" w:rsidRDefault="002076F6">
                          <w:pPr>
                            <w:rPr>
                              <w:b/>
                              <w:sz w:val="16"/>
                            </w:rPr>
                          </w:pPr>
                          <w:r>
                            <w:rPr>
                              <w:rFonts w:hint="eastAsia"/>
                              <w:b/>
                              <w:sz w:val="20"/>
                            </w:rPr>
                            <w:t>T</w:t>
                          </w:r>
                        </w:p>
                        <w:p w:rsidR="002076F6" w:rsidRDefault="002076F6">
                          <w:pPr>
                            <w:rPr>
                              <w:b/>
                              <w:sz w:val="10"/>
                            </w:rPr>
                          </w:pPr>
                        </w:p>
                        <w:p w:rsidR="002076F6" w:rsidRDefault="002076F6">
                          <w:pPr>
                            <w:rPr>
                              <w:b/>
                              <w:sz w:val="16"/>
                            </w:rPr>
                          </w:pPr>
                        </w:p>
                        <w:p w:rsidR="002076F6" w:rsidRDefault="002076F6">
                          <w:pPr>
                            <w:rPr>
                              <w:b/>
                              <w:sz w:val="16"/>
                            </w:rPr>
                          </w:pPr>
                        </w:p>
                        <w:p w:rsidR="002076F6" w:rsidRDefault="002076F6">
                          <w:pPr>
                            <w:rPr>
                              <w:b/>
                              <w:sz w:val="16"/>
                            </w:rPr>
                          </w:pPr>
                          <w:r>
                            <w:rPr>
                              <w:rFonts w:hint="eastAsia"/>
                              <w:b/>
                              <w:sz w:val="20"/>
                            </w:rPr>
                            <w:t>U</w:t>
                          </w:r>
                        </w:p>
                        <w:p w:rsidR="002076F6" w:rsidRDefault="002076F6">
                          <w:pPr>
                            <w:rPr>
                              <w:b/>
                              <w:sz w:val="10"/>
                            </w:rPr>
                          </w:pPr>
                        </w:p>
                        <w:p w:rsidR="002076F6" w:rsidRDefault="002076F6">
                          <w:pPr>
                            <w:rPr>
                              <w:b/>
                              <w:sz w:val="16"/>
                            </w:rPr>
                          </w:pPr>
                        </w:p>
                        <w:p w:rsidR="002076F6" w:rsidRDefault="002076F6">
                          <w:pPr>
                            <w:rPr>
                              <w:b/>
                              <w:sz w:val="16"/>
                            </w:rPr>
                          </w:pPr>
                        </w:p>
                        <w:p w:rsidR="002076F6" w:rsidRDefault="002076F6">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8CF060" id="_x0000_t202" coordsize="21600,21600" o:spt="202" path="m,l,21600r21600,l21600,xe">
              <v:stroke joinstyle="miter"/>
              <v:path gradientshapeok="t" o:connecttype="rect"/>
            </v:shapetype>
            <v:shape id="Text Box 5" o:spid="_x0000_s1029" type="#_x0000_t202" style="position:absolute;left:0;text-align:left;margin-left:460.15pt;margin-top:12.25pt;width:32.6pt;height:1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" o:allowincell="f" stroked="f">
              <v:textbox>
                <w:txbxContent>
                  <w:p w:rsidR="002076F6" w:rsidRDefault="002076F6">
                    <w:pPr>
                      <w:rPr>
                        <w:b/>
                        <w:sz w:val="20"/>
                      </w:rPr>
                    </w:pPr>
                    <w:r>
                      <w:rPr>
                        <w:rFonts w:hint="eastAsia"/>
                        <w:b/>
                        <w:sz w:val="20"/>
                      </w:rPr>
                      <w:t>A</w:t>
                    </w:r>
                  </w:p>
                  <w:p w:rsidR="002076F6" w:rsidRDefault="002076F6">
                    <w:pPr>
                      <w:rPr>
                        <w:b/>
                        <w:sz w:val="10"/>
                      </w:rPr>
                    </w:pPr>
                  </w:p>
                  <w:p w:rsidR="002076F6" w:rsidRDefault="002076F6">
                    <w:pPr>
                      <w:rPr>
                        <w:b/>
                        <w:sz w:val="16"/>
                      </w:rPr>
                    </w:pPr>
                  </w:p>
                  <w:p w:rsidR="002076F6" w:rsidRDefault="002076F6">
                    <w:pPr>
                      <w:rPr>
                        <w:b/>
                        <w:sz w:val="16"/>
                      </w:rPr>
                    </w:pPr>
                  </w:p>
                  <w:p w:rsidR="002076F6" w:rsidRDefault="002076F6">
                    <w:pPr>
                      <w:rPr>
                        <w:b/>
                        <w:sz w:val="20"/>
                      </w:rPr>
                    </w:pPr>
                    <w:r>
                      <w:rPr>
                        <w:rFonts w:hint="eastAsia"/>
                        <w:b/>
                        <w:sz w:val="20"/>
                      </w:rPr>
                      <w:t>B</w:t>
                    </w:r>
                  </w:p>
                  <w:p w:rsidR="002076F6" w:rsidRDefault="002076F6">
                    <w:pPr>
                      <w:rPr>
                        <w:b/>
                        <w:sz w:val="10"/>
                      </w:rPr>
                    </w:pPr>
                  </w:p>
                  <w:p w:rsidR="002076F6" w:rsidRDefault="002076F6">
                    <w:pPr>
                      <w:rPr>
                        <w:b/>
                        <w:sz w:val="16"/>
                      </w:rPr>
                    </w:pPr>
                  </w:p>
                  <w:p w:rsidR="002076F6" w:rsidRDefault="002076F6">
                    <w:pPr>
                      <w:rPr>
                        <w:b/>
                        <w:sz w:val="16"/>
                      </w:rPr>
                    </w:pPr>
                  </w:p>
                  <w:p w:rsidR="002076F6" w:rsidRDefault="002076F6">
                    <w:pPr>
                      <w:rPr>
                        <w:b/>
                        <w:sz w:val="16"/>
                      </w:rPr>
                    </w:pPr>
                    <w:r>
                      <w:rPr>
                        <w:rFonts w:hint="eastAsia"/>
                        <w:b/>
                        <w:sz w:val="20"/>
                      </w:rPr>
                      <w:t>C</w:t>
                    </w:r>
                  </w:p>
                  <w:p w:rsidR="002076F6" w:rsidRDefault="002076F6">
                    <w:pPr>
                      <w:rPr>
                        <w:b/>
                        <w:sz w:val="10"/>
                      </w:rPr>
                    </w:pPr>
                  </w:p>
                  <w:p w:rsidR="002076F6" w:rsidRDefault="002076F6">
                    <w:pPr>
                      <w:rPr>
                        <w:b/>
                        <w:sz w:val="16"/>
                      </w:rPr>
                    </w:pPr>
                  </w:p>
                  <w:p w:rsidR="002076F6" w:rsidRDefault="002076F6">
                    <w:pPr>
                      <w:rPr>
                        <w:b/>
                        <w:sz w:val="16"/>
                      </w:rPr>
                    </w:pPr>
                  </w:p>
                  <w:p w:rsidR="002076F6" w:rsidRDefault="002076F6">
                    <w:pPr>
                      <w:pStyle w:val="Heading2"/>
                      <w:rPr>
                        <w:sz w:val="16"/>
                      </w:rPr>
                    </w:pPr>
                    <w:r>
                      <w:rPr>
                        <w:rFonts w:hint="eastAsia"/>
                      </w:rPr>
                      <w:t>D</w:t>
                    </w:r>
                  </w:p>
                  <w:p w:rsidR="002076F6" w:rsidRDefault="002076F6">
                    <w:pPr>
                      <w:rPr>
                        <w:b/>
                        <w:sz w:val="10"/>
                      </w:rPr>
                    </w:pPr>
                  </w:p>
                  <w:p w:rsidR="002076F6" w:rsidRDefault="002076F6">
                    <w:pPr>
                      <w:rPr>
                        <w:b/>
                        <w:sz w:val="16"/>
                      </w:rPr>
                    </w:pPr>
                  </w:p>
                  <w:p w:rsidR="002076F6" w:rsidRDefault="002076F6">
                    <w:pPr>
                      <w:rPr>
                        <w:b/>
                        <w:sz w:val="16"/>
                      </w:rPr>
                    </w:pPr>
                  </w:p>
                  <w:p w:rsidR="002076F6" w:rsidRDefault="002076F6">
                    <w:pPr>
                      <w:rPr>
                        <w:b/>
                        <w:sz w:val="16"/>
                      </w:rPr>
                    </w:pPr>
                    <w:r>
                      <w:rPr>
                        <w:rFonts w:hint="eastAsia"/>
                        <w:b/>
                        <w:sz w:val="20"/>
                      </w:rPr>
                      <w:t>E</w:t>
                    </w:r>
                  </w:p>
                  <w:p w:rsidR="002076F6" w:rsidRDefault="002076F6">
                    <w:pPr>
                      <w:rPr>
                        <w:b/>
                        <w:sz w:val="10"/>
                      </w:rPr>
                    </w:pPr>
                  </w:p>
                  <w:p w:rsidR="002076F6" w:rsidRDefault="002076F6">
                    <w:pPr>
                      <w:rPr>
                        <w:b/>
                        <w:sz w:val="16"/>
                      </w:rPr>
                    </w:pPr>
                  </w:p>
                  <w:p w:rsidR="002076F6" w:rsidRDefault="002076F6">
                    <w:pPr>
                      <w:rPr>
                        <w:b/>
                        <w:sz w:val="16"/>
                      </w:rPr>
                    </w:pPr>
                  </w:p>
                  <w:p w:rsidR="002076F6" w:rsidRDefault="002076F6">
                    <w:pPr>
                      <w:rPr>
                        <w:b/>
                        <w:sz w:val="20"/>
                      </w:rPr>
                    </w:pPr>
                    <w:r>
                      <w:rPr>
                        <w:rFonts w:hint="eastAsia"/>
                        <w:b/>
                        <w:sz w:val="20"/>
                      </w:rPr>
                      <w:t>F</w:t>
                    </w:r>
                  </w:p>
                  <w:p w:rsidR="002076F6" w:rsidRDefault="002076F6">
                    <w:pPr>
                      <w:rPr>
                        <w:b/>
                        <w:sz w:val="10"/>
                      </w:rPr>
                    </w:pPr>
                  </w:p>
                  <w:p w:rsidR="002076F6" w:rsidRDefault="002076F6">
                    <w:pPr>
                      <w:rPr>
                        <w:b/>
                        <w:sz w:val="16"/>
                      </w:rPr>
                    </w:pPr>
                  </w:p>
                  <w:p w:rsidR="002076F6" w:rsidRDefault="002076F6">
                    <w:pPr>
                      <w:rPr>
                        <w:b/>
                        <w:sz w:val="16"/>
                      </w:rPr>
                    </w:pPr>
                  </w:p>
                  <w:p w:rsidR="002076F6" w:rsidRDefault="002076F6">
                    <w:pPr>
                      <w:rPr>
                        <w:b/>
                        <w:sz w:val="16"/>
                      </w:rPr>
                    </w:pPr>
                    <w:r>
                      <w:rPr>
                        <w:rFonts w:hint="eastAsia"/>
                        <w:b/>
                        <w:sz w:val="20"/>
                      </w:rPr>
                      <w:t>G</w:t>
                    </w:r>
                  </w:p>
                  <w:p w:rsidR="002076F6" w:rsidRDefault="002076F6">
                    <w:pPr>
                      <w:rPr>
                        <w:b/>
                        <w:sz w:val="10"/>
                      </w:rPr>
                    </w:pPr>
                  </w:p>
                  <w:p w:rsidR="002076F6" w:rsidRDefault="002076F6">
                    <w:pPr>
                      <w:rPr>
                        <w:b/>
                        <w:sz w:val="16"/>
                      </w:rPr>
                    </w:pPr>
                  </w:p>
                  <w:p w:rsidR="002076F6" w:rsidRDefault="002076F6">
                    <w:pPr>
                      <w:rPr>
                        <w:b/>
                        <w:sz w:val="16"/>
                      </w:rPr>
                    </w:pPr>
                  </w:p>
                  <w:p w:rsidR="002076F6" w:rsidRDefault="002076F6">
                    <w:pPr>
                      <w:rPr>
                        <w:b/>
                        <w:sz w:val="16"/>
                      </w:rPr>
                    </w:pPr>
                    <w:r>
                      <w:rPr>
                        <w:rFonts w:hint="eastAsia"/>
                        <w:b/>
                        <w:sz w:val="20"/>
                      </w:rPr>
                      <w:t>H</w:t>
                    </w:r>
                  </w:p>
                  <w:p w:rsidR="002076F6" w:rsidRDefault="002076F6">
                    <w:pPr>
                      <w:rPr>
                        <w:b/>
                        <w:sz w:val="10"/>
                      </w:rPr>
                    </w:pPr>
                  </w:p>
                  <w:p w:rsidR="002076F6" w:rsidRDefault="002076F6">
                    <w:pPr>
                      <w:rPr>
                        <w:b/>
                        <w:sz w:val="16"/>
                      </w:rPr>
                    </w:pPr>
                  </w:p>
                  <w:p w:rsidR="002076F6" w:rsidRDefault="002076F6">
                    <w:pPr>
                      <w:rPr>
                        <w:b/>
                        <w:sz w:val="16"/>
                      </w:rPr>
                    </w:pPr>
                  </w:p>
                  <w:p w:rsidR="002076F6" w:rsidRDefault="002076F6">
                    <w:pPr>
                      <w:rPr>
                        <w:b/>
                        <w:sz w:val="16"/>
                      </w:rPr>
                    </w:pPr>
                    <w:r>
                      <w:rPr>
                        <w:rFonts w:hint="eastAsia"/>
                        <w:b/>
                        <w:sz w:val="20"/>
                      </w:rPr>
                      <w:t>I</w:t>
                    </w:r>
                  </w:p>
                  <w:p w:rsidR="002076F6" w:rsidRDefault="002076F6">
                    <w:pPr>
                      <w:rPr>
                        <w:b/>
                        <w:sz w:val="10"/>
                      </w:rPr>
                    </w:pPr>
                  </w:p>
                  <w:p w:rsidR="002076F6" w:rsidRDefault="002076F6">
                    <w:pPr>
                      <w:rPr>
                        <w:b/>
                        <w:sz w:val="16"/>
                      </w:rPr>
                    </w:pPr>
                  </w:p>
                  <w:p w:rsidR="002076F6" w:rsidRDefault="002076F6">
                    <w:pPr>
                      <w:rPr>
                        <w:b/>
                        <w:sz w:val="16"/>
                      </w:rPr>
                    </w:pPr>
                  </w:p>
                  <w:p w:rsidR="002076F6" w:rsidRDefault="002076F6">
                    <w:pPr>
                      <w:rPr>
                        <w:b/>
                        <w:sz w:val="16"/>
                      </w:rPr>
                    </w:pPr>
                    <w:r>
                      <w:rPr>
                        <w:rFonts w:hint="eastAsia"/>
                        <w:b/>
                        <w:sz w:val="20"/>
                      </w:rPr>
                      <w:t>J</w:t>
                    </w:r>
                  </w:p>
                  <w:p w:rsidR="002076F6" w:rsidRDefault="002076F6">
                    <w:pPr>
                      <w:rPr>
                        <w:b/>
                        <w:sz w:val="10"/>
                      </w:rPr>
                    </w:pPr>
                  </w:p>
                  <w:p w:rsidR="002076F6" w:rsidRDefault="002076F6">
                    <w:pPr>
                      <w:rPr>
                        <w:b/>
                        <w:sz w:val="16"/>
                      </w:rPr>
                    </w:pPr>
                  </w:p>
                  <w:p w:rsidR="002076F6" w:rsidRDefault="002076F6">
                    <w:pPr>
                      <w:rPr>
                        <w:b/>
                        <w:sz w:val="16"/>
                      </w:rPr>
                    </w:pPr>
                  </w:p>
                  <w:p w:rsidR="002076F6" w:rsidRDefault="002076F6">
                    <w:pPr>
                      <w:rPr>
                        <w:b/>
                        <w:sz w:val="16"/>
                      </w:rPr>
                    </w:pPr>
                    <w:r>
                      <w:rPr>
                        <w:rFonts w:hint="eastAsia"/>
                        <w:b/>
                        <w:sz w:val="20"/>
                      </w:rPr>
                      <w:t>K</w:t>
                    </w:r>
                  </w:p>
                  <w:p w:rsidR="002076F6" w:rsidRDefault="002076F6">
                    <w:pPr>
                      <w:rPr>
                        <w:b/>
                        <w:sz w:val="10"/>
                      </w:rPr>
                    </w:pPr>
                  </w:p>
                  <w:p w:rsidR="002076F6" w:rsidRDefault="002076F6">
                    <w:pPr>
                      <w:rPr>
                        <w:b/>
                        <w:sz w:val="16"/>
                      </w:rPr>
                    </w:pPr>
                  </w:p>
                  <w:p w:rsidR="002076F6" w:rsidRDefault="002076F6">
                    <w:pPr>
                      <w:rPr>
                        <w:b/>
                        <w:sz w:val="16"/>
                      </w:rPr>
                    </w:pPr>
                  </w:p>
                  <w:p w:rsidR="002076F6" w:rsidRDefault="002076F6">
                    <w:pPr>
                      <w:rPr>
                        <w:b/>
                        <w:sz w:val="16"/>
                      </w:rPr>
                    </w:pPr>
                    <w:r>
                      <w:rPr>
                        <w:rFonts w:hint="eastAsia"/>
                        <w:b/>
                        <w:sz w:val="20"/>
                      </w:rPr>
                      <w:t>L</w:t>
                    </w:r>
                  </w:p>
                  <w:p w:rsidR="002076F6" w:rsidRDefault="002076F6">
                    <w:pPr>
                      <w:rPr>
                        <w:b/>
                        <w:sz w:val="10"/>
                      </w:rPr>
                    </w:pPr>
                  </w:p>
                  <w:p w:rsidR="002076F6" w:rsidRDefault="002076F6">
                    <w:pPr>
                      <w:rPr>
                        <w:b/>
                        <w:sz w:val="16"/>
                      </w:rPr>
                    </w:pPr>
                  </w:p>
                  <w:p w:rsidR="002076F6" w:rsidRDefault="002076F6">
                    <w:pPr>
                      <w:rPr>
                        <w:b/>
                        <w:sz w:val="16"/>
                      </w:rPr>
                    </w:pPr>
                  </w:p>
                  <w:p w:rsidR="002076F6" w:rsidRDefault="002076F6">
                    <w:pPr>
                      <w:rPr>
                        <w:b/>
                        <w:sz w:val="16"/>
                      </w:rPr>
                    </w:pPr>
                    <w:r>
                      <w:rPr>
                        <w:rFonts w:hint="eastAsia"/>
                        <w:b/>
                        <w:sz w:val="20"/>
                      </w:rPr>
                      <w:t>M</w:t>
                    </w:r>
                  </w:p>
                  <w:p w:rsidR="002076F6" w:rsidRDefault="002076F6">
                    <w:pPr>
                      <w:rPr>
                        <w:b/>
                        <w:sz w:val="10"/>
                      </w:rPr>
                    </w:pPr>
                  </w:p>
                  <w:p w:rsidR="002076F6" w:rsidRDefault="002076F6">
                    <w:pPr>
                      <w:rPr>
                        <w:b/>
                        <w:sz w:val="16"/>
                      </w:rPr>
                    </w:pPr>
                  </w:p>
                  <w:p w:rsidR="002076F6" w:rsidRDefault="002076F6">
                    <w:pPr>
                      <w:rPr>
                        <w:b/>
                        <w:sz w:val="16"/>
                      </w:rPr>
                    </w:pPr>
                  </w:p>
                  <w:p w:rsidR="002076F6" w:rsidRDefault="002076F6">
                    <w:pPr>
                      <w:rPr>
                        <w:b/>
                        <w:sz w:val="16"/>
                      </w:rPr>
                    </w:pPr>
                    <w:r>
                      <w:rPr>
                        <w:rFonts w:hint="eastAsia"/>
                        <w:b/>
                        <w:sz w:val="20"/>
                      </w:rPr>
                      <w:t>N</w:t>
                    </w:r>
                  </w:p>
                  <w:p w:rsidR="002076F6" w:rsidRDefault="002076F6">
                    <w:pPr>
                      <w:rPr>
                        <w:b/>
                        <w:sz w:val="10"/>
                      </w:rPr>
                    </w:pPr>
                  </w:p>
                  <w:p w:rsidR="002076F6" w:rsidRDefault="002076F6">
                    <w:pPr>
                      <w:rPr>
                        <w:b/>
                        <w:sz w:val="16"/>
                      </w:rPr>
                    </w:pPr>
                  </w:p>
                  <w:p w:rsidR="002076F6" w:rsidRDefault="002076F6">
                    <w:pPr>
                      <w:rPr>
                        <w:b/>
                        <w:sz w:val="16"/>
                      </w:rPr>
                    </w:pPr>
                  </w:p>
                  <w:p w:rsidR="002076F6" w:rsidRDefault="002076F6">
                    <w:pPr>
                      <w:rPr>
                        <w:b/>
                        <w:sz w:val="16"/>
                      </w:rPr>
                    </w:pPr>
                    <w:r>
                      <w:rPr>
                        <w:rFonts w:hint="eastAsia"/>
                        <w:b/>
                        <w:sz w:val="20"/>
                      </w:rPr>
                      <w:t>O</w:t>
                    </w:r>
                  </w:p>
                  <w:p w:rsidR="002076F6" w:rsidRDefault="002076F6">
                    <w:pPr>
                      <w:rPr>
                        <w:b/>
                        <w:sz w:val="10"/>
                      </w:rPr>
                    </w:pPr>
                  </w:p>
                  <w:p w:rsidR="002076F6" w:rsidRDefault="002076F6">
                    <w:pPr>
                      <w:rPr>
                        <w:b/>
                        <w:sz w:val="16"/>
                      </w:rPr>
                    </w:pPr>
                  </w:p>
                  <w:p w:rsidR="002076F6" w:rsidRDefault="002076F6">
                    <w:pPr>
                      <w:rPr>
                        <w:b/>
                        <w:sz w:val="16"/>
                      </w:rPr>
                    </w:pPr>
                  </w:p>
                  <w:p w:rsidR="002076F6" w:rsidRDefault="002076F6">
                    <w:pPr>
                      <w:rPr>
                        <w:b/>
                        <w:sz w:val="16"/>
                      </w:rPr>
                    </w:pPr>
                    <w:r>
                      <w:rPr>
                        <w:rFonts w:hint="eastAsia"/>
                        <w:b/>
                        <w:sz w:val="20"/>
                      </w:rPr>
                      <w:t>P</w:t>
                    </w:r>
                  </w:p>
                  <w:p w:rsidR="002076F6" w:rsidRDefault="002076F6">
                    <w:pPr>
                      <w:rPr>
                        <w:b/>
                        <w:sz w:val="10"/>
                      </w:rPr>
                    </w:pPr>
                  </w:p>
                  <w:p w:rsidR="002076F6" w:rsidRDefault="002076F6">
                    <w:pPr>
                      <w:rPr>
                        <w:b/>
                        <w:sz w:val="16"/>
                      </w:rPr>
                    </w:pPr>
                  </w:p>
                  <w:p w:rsidR="002076F6" w:rsidRDefault="002076F6">
                    <w:pPr>
                      <w:rPr>
                        <w:b/>
                        <w:sz w:val="16"/>
                      </w:rPr>
                    </w:pPr>
                  </w:p>
                  <w:p w:rsidR="002076F6" w:rsidRDefault="002076F6">
                    <w:pPr>
                      <w:rPr>
                        <w:b/>
                        <w:sz w:val="16"/>
                      </w:rPr>
                    </w:pPr>
                    <w:r>
                      <w:rPr>
                        <w:rFonts w:hint="eastAsia"/>
                        <w:b/>
                        <w:sz w:val="20"/>
                      </w:rPr>
                      <w:t>Q</w:t>
                    </w:r>
                  </w:p>
                  <w:p w:rsidR="002076F6" w:rsidRDefault="002076F6">
                    <w:pPr>
                      <w:rPr>
                        <w:b/>
                        <w:sz w:val="10"/>
                      </w:rPr>
                    </w:pPr>
                  </w:p>
                  <w:p w:rsidR="002076F6" w:rsidRDefault="002076F6">
                    <w:pPr>
                      <w:rPr>
                        <w:b/>
                        <w:sz w:val="16"/>
                      </w:rPr>
                    </w:pPr>
                  </w:p>
                  <w:p w:rsidR="002076F6" w:rsidRDefault="002076F6">
                    <w:pPr>
                      <w:rPr>
                        <w:b/>
                        <w:sz w:val="16"/>
                      </w:rPr>
                    </w:pPr>
                  </w:p>
                  <w:p w:rsidR="002076F6" w:rsidRDefault="002076F6">
                    <w:pPr>
                      <w:rPr>
                        <w:b/>
                        <w:sz w:val="16"/>
                      </w:rPr>
                    </w:pPr>
                    <w:r>
                      <w:rPr>
                        <w:rFonts w:hint="eastAsia"/>
                        <w:b/>
                        <w:sz w:val="20"/>
                      </w:rPr>
                      <w:t>R</w:t>
                    </w:r>
                  </w:p>
                  <w:p w:rsidR="002076F6" w:rsidRDefault="002076F6">
                    <w:pPr>
                      <w:rPr>
                        <w:b/>
                        <w:sz w:val="10"/>
                      </w:rPr>
                    </w:pPr>
                  </w:p>
                  <w:p w:rsidR="002076F6" w:rsidRDefault="002076F6">
                    <w:pPr>
                      <w:rPr>
                        <w:b/>
                        <w:sz w:val="16"/>
                      </w:rPr>
                    </w:pPr>
                  </w:p>
                  <w:p w:rsidR="002076F6" w:rsidRDefault="002076F6">
                    <w:pPr>
                      <w:rPr>
                        <w:b/>
                        <w:sz w:val="16"/>
                      </w:rPr>
                    </w:pPr>
                  </w:p>
                  <w:p w:rsidR="002076F6" w:rsidRDefault="002076F6">
                    <w:pPr>
                      <w:rPr>
                        <w:b/>
                        <w:sz w:val="16"/>
                      </w:rPr>
                    </w:pPr>
                    <w:r>
                      <w:rPr>
                        <w:rFonts w:hint="eastAsia"/>
                        <w:b/>
                        <w:sz w:val="20"/>
                      </w:rPr>
                      <w:t>S</w:t>
                    </w:r>
                  </w:p>
                  <w:p w:rsidR="002076F6" w:rsidRDefault="002076F6">
                    <w:pPr>
                      <w:rPr>
                        <w:b/>
                        <w:sz w:val="10"/>
                      </w:rPr>
                    </w:pPr>
                  </w:p>
                  <w:p w:rsidR="002076F6" w:rsidRDefault="002076F6">
                    <w:pPr>
                      <w:rPr>
                        <w:b/>
                        <w:sz w:val="16"/>
                      </w:rPr>
                    </w:pPr>
                  </w:p>
                  <w:p w:rsidR="002076F6" w:rsidRDefault="002076F6">
                    <w:pPr>
                      <w:rPr>
                        <w:b/>
                        <w:sz w:val="16"/>
                      </w:rPr>
                    </w:pPr>
                  </w:p>
                  <w:p w:rsidR="002076F6" w:rsidRDefault="002076F6">
                    <w:pPr>
                      <w:rPr>
                        <w:b/>
                        <w:sz w:val="16"/>
                      </w:rPr>
                    </w:pPr>
                    <w:r>
                      <w:rPr>
                        <w:rFonts w:hint="eastAsia"/>
                        <w:b/>
                        <w:sz w:val="20"/>
                      </w:rPr>
                      <w:t>T</w:t>
                    </w:r>
                  </w:p>
                  <w:p w:rsidR="002076F6" w:rsidRDefault="002076F6">
                    <w:pPr>
                      <w:rPr>
                        <w:b/>
                        <w:sz w:val="10"/>
                      </w:rPr>
                    </w:pPr>
                  </w:p>
                  <w:p w:rsidR="002076F6" w:rsidRDefault="002076F6">
                    <w:pPr>
                      <w:rPr>
                        <w:b/>
                        <w:sz w:val="16"/>
                      </w:rPr>
                    </w:pPr>
                  </w:p>
                  <w:p w:rsidR="002076F6" w:rsidRDefault="002076F6">
                    <w:pPr>
                      <w:rPr>
                        <w:b/>
                        <w:sz w:val="16"/>
                      </w:rPr>
                    </w:pPr>
                  </w:p>
                  <w:p w:rsidR="002076F6" w:rsidRDefault="002076F6">
                    <w:pPr>
                      <w:rPr>
                        <w:b/>
                        <w:sz w:val="16"/>
                      </w:rPr>
                    </w:pPr>
                    <w:r>
                      <w:rPr>
                        <w:rFonts w:hint="eastAsia"/>
                        <w:b/>
                        <w:sz w:val="20"/>
                      </w:rPr>
                      <w:t>U</w:t>
                    </w:r>
                  </w:p>
                  <w:p w:rsidR="002076F6" w:rsidRDefault="002076F6">
                    <w:pPr>
                      <w:rPr>
                        <w:b/>
                        <w:sz w:val="10"/>
                      </w:rPr>
                    </w:pPr>
                  </w:p>
                  <w:p w:rsidR="002076F6" w:rsidRDefault="002076F6">
                    <w:pPr>
                      <w:rPr>
                        <w:b/>
                        <w:sz w:val="16"/>
                      </w:rPr>
                    </w:pPr>
                  </w:p>
                  <w:p w:rsidR="002076F6" w:rsidRDefault="002076F6">
                    <w:pPr>
                      <w:rPr>
                        <w:b/>
                        <w:sz w:val="16"/>
                      </w:rPr>
                    </w:pPr>
                  </w:p>
                  <w:p w:rsidR="002076F6" w:rsidRDefault="002076F6">
                    <w:pPr>
                      <w:pStyle w:val="Heading3"/>
                      <w:jc w:val="left"/>
                    </w:pPr>
                    <w:r>
                      <w:rPr>
                        <w:rFonts w:hint="eastAsia"/>
                      </w:rPr>
                      <w:t>V</w:t>
                    </w:r>
                  </w:p>
                </w:txbxContent>
              </v:textbox>
            </v:shape>
          </w:pict>
        </mc:Fallback>
      </mc:AlternateContent>
    </w: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F12171">
      <w:rPr>
        <w:rStyle w:val="PageNumber"/>
        <w:noProof/>
        <w:sz w:val="28"/>
      </w:rPr>
      <w:t>22</w:t>
    </w:r>
    <w:r>
      <w:rPr>
        <w:rStyle w:val="PageNumber"/>
        <w:sz w:val="28"/>
      </w:rPr>
      <w:fldChar w:fldCharType="end"/>
    </w:r>
    <w:r>
      <w:rPr>
        <w:rStyle w:val="PageNumber"/>
        <w:rFonts w:hint="eastAsia"/>
        <w:sz w:val="28"/>
      </w:rPr>
      <w:t xml:space="preserve"> -</w:t>
    </w:r>
    <w:r>
      <w:rPr>
        <w:noProof/>
        <w:sz w:val="28"/>
        <w:lang w:val="en-US" w:eastAsia="zh-CN"/>
      </w:rPr>
      <mc:AlternateContent>
        <mc:Choice Requires="wps">
          <w:drawing>
            <wp:anchor distT="0" distB="0" distL="114300" distR="114300" simplePos="0" relativeHeight="251658240" behindDoc="0" locked="0" layoutInCell="0" allowOverlap="1" wp14:anchorId="6B2B7268" wp14:editId="7CD0E2D5">
              <wp:simplePos x="0" y="0"/>
              <wp:positionH relativeFrom="column">
                <wp:posOffset>-800100</wp:posOffset>
              </wp:positionH>
              <wp:positionV relativeFrom="paragraph">
                <wp:posOffset>153035</wp:posOffset>
              </wp:positionV>
              <wp:extent cx="342900" cy="9944100"/>
              <wp:effectExtent l="0" t="635"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076F6" w:rsidRDefault="002076F6">
                          <w:pPr>
                            <w:rPr>
                              <w:b/>
                              <w:sz w:val="20"/>
                            </w:rPr>
                          </w:pPr>
                          <w:r>
                            <w:rPr>
                              <w:rFonts w:hint="eastAsia"/>
                              <w:b/>
                              <w:sz w:val="20"/>
                            </w:rPr>
                            <w:t>A</w:t>
                          </w:r>
                        </w:p>
                        <w:p w:rsidR="002076F6" w:rsidRDefault="002076F6">
                          <w:pPr>
                            <w:rPr>
                              <w:b/>
                              <w:sz w:val="10"/>
                            </w:rPr>
                          </w:pPr>
                        </w:p>
                        <w:p w:rsidR="002076F6" w:rsidRDefault="002076F6">
                          <w:pPr>
                            <w:rPr>
                              <w:b/>
                              <w:sz w:val="16"/>
                            </w:rPr>
                          </w:pPr>
                        </w:p>
                        <w:p w:rsidR="002076F6" w:rsidRDefault="002076F6">
                          <w:pPr>
                            <w:rPr>
                              <w:b/>
                              <w:sz w:val="16"/>
                            </w:rPr>
                          </w:pPr>
                        </w:p>
                        <w:p w:rsidR="002076F6" w:rsidRDefault="002076F6">
                          <w:pPr>
                            <w:rPr>
                              <w:b/>
                              <w:sz w:val="20"/>
                            </w:rPr>
                          </w:pPr>
                          <w:r>
                            <w:rPr>
                              <w:rFonts w:hint="eastAsia"/>
                              <w:b/>
                              <w:sz w:val="20"/>
                            </w:rPr>
                            <w:t>B</w:t>
                          </w:r>
                        </w:p>
                        <w:p w:rsidR="002076F6" w:rsidRDefault="002076F6">
                          <w:pPr>
                            <w:rPr>
                              <w:b/>
                              <w:sz w:val="10"/>
                            </w:rPr>
                          </w:pPr>
                        </w:p>
                        <w:p w:rsidR="002076F6" w:rsidRDefault="002076F6">
                          <w:pPr>
                            <w:rPr>
                              <w:b/>
                              <w:sz w:val="16"/>
                            </w:rPr>
                          </w:pPr>
                        </w:p>
                        <w:p w:rsidR="002076F6" w:rsidRDefault="002076F6">
                          <w:pPr>
                            <w:rPr>
                              <w:b/>
                              <w:sz w:val="16"/>
                            </w:rPr>
                          </w:pPr>
                        </w:p>
                        <w:p w:rsidR="002076F6" w:rsidRDefault="002076F6">
                          <w:pPr>
                            <w:rPr>
                              <w:b/>
                              <w:sz w:val="16"/>
                            </w:rPr>
                          </w:pPr>
                          <w:r>
                            <w:rPr>
                              <w:rFonts w:hint="eastAsia"/>
                              <w:b/>
                              <w:sz w:val="20"/>
                            </w:rPr>
                            <w:t>C</w:t>
                          </w:r>
                        </w:p>
                        <w:p w:rsidR="002076F6" w:rsidRDefault="002076F6">
                          <w:pPr>
                            <w:rPr>
                              <w:b/>
                              <w:sz w:val="10"/>
                            </w:rPr>
                          </w:pPr>
                        </w:p>
                        <w:p w:rsidR="002076F6" w:rsidRDefault="002076F6">
                          <w:pPr>
                            <w:rPr>
                              <w:b/>
                              <w:sz w:val="16"/>
                            </w:rPr>
                          </w:pPr>
                        </w:p>
                        <w:p w:rsidR="002076F6" w:rsidRDefault="002076F6">
                          <w:pPr>
                            <w:rPr>
                              <w:b/>
                              <w:sz w:val="16"/>
                            </w:rPr>
                          </w:pPr>
                        </w:p>
                        <w:p w:rsidR="002076F6" w:rsidRDefault="002076F6">
                          <w:pPr>
                            <w:pStyle w:val="Heading2"/>
                            <w:rPr>
                              <w:sz w:val="16"/>
                            </w:rPr>
                          </w:pPr>
                          <w:r>
                            <w:rPr>
                              <w:rFonts w:hint="eastAsia"/>
                            </w:rPr>
                            <w:t>D</w:t>
                          </w:r>
                        </w:p>
                        <w:p w:rsidR="002076F6" w:rsidRDefault="002076F6">
                          <w:pPr>
                            <w:rPr>
                              <w:b/>
                              <w:sz w:val="10"/>
                            </w:rPr>
                          </w:pPr>
                        </w:p>
                        <w:p w:rsidR="002076F6" w:rsidRDefault="002076F6">
                          <w:pPr>
                            <w:rPr>
                              <w:b/>
                              <w:sz w:val="16"/>
                            </w:rPr>
                          </w:pPr>
                        </w:p>
                        <w:p w:rsidR="002076F6" w:rsidRDefault="002076F6">
                          <w:pPr>
                            <w:rPr>
                              <w:b/>
                              <w:sz w:val="16"/>
                            </w:rPr>
                          </w:pPr>
                        </w:p>
                        <w:p w:rsidR="002076F6" w:rsidRDefault="002076F6">
                          <w:pPr>
                            <w:rPr>
                              <w:b/>
                              <w:sz w:val="16"/>
                            </w:rPr>
                          </w:pPr>
                          <w:r>
                            <w:rPr>
                              <w:rFonts w:hint="eastAsia"/>
                              <w:b/>
                              <w:sz w:val="20"/>
                            </w:rPr>
                            <w:t>E</w:t>
                          </w:r>
                        </w:p>
                        <w:p w:rsidR="002076F6" w:rsidRDefault="002076F6">
                          <w:pPr>
                            <w:rPr>
                              <w:b/>
                              <w:sz w:val="10"/>
                            </w:rPr>
                          </w:pPr>
                        </w:p>
                        <w:p w:rsidR="002076F6" w:rsidRDefault="002076F6">
                          <w:pPr>
                            <w:rPr>
                              <w:b/>
                              <w:sz w:val="16"/>
                            </w:rPr>
                          </w:pPr>
                        </w:p>
                        <w:p w:rsidR="002076F6" w:rsidRDefault="002076F6">
                          <w:pPr>
                            <w:rPr>
                              <w:b/>
                              <w:sz w:val="16"/>
                            </w:rPr>
                          </w:pPr>
                        </w:p>
                        <w:p w:rsidR="002076F6" w:rsidRDefault="002076F6">
                          <w:pPr>
                            <w:rPr>
                              <w:b/>
                              <w:sz w:val="20"/>
                            </w:rPr>
                          </w:pPr>
                          <w:r>
                            <w:rPr>
                              <w:rFonts w:hint="eastAsia"/>
                              <w:b/>
                              <w:sz w:val="20"/>
                            </w:rPr>
                            <w:t>F</w:t>
                          </w:r>
                        </w:p>
                        <w:p w:rsidR="002076F6" w:rsidRDefault="002076F6">
                          <w:pPr>
                            <w:rPr>
                              <w:b/>
                              <w:sz w:val="10"/>
                            </w:rPr>
                          </w:pPr>
                        </w:p>
                        <w:p w:rsidR="002076F6" w:rsidRDefault="002076F6">
                          <w:pPr>
                            <w:rPr>
                              <w:b/>
                              <w:sz w:val="16"/>
                            </w:rPr>
                          </w:pPr>
                        </w:p>
                        <w:p w:rsidR="002076F6" w:rsidRDefault="002076F6">
                          <w:pPr>
                            <w:rPr>
                              <w:b/>
                              <w:sz w:val="16"/>
                            </w:rPr>
                          </w:pPr>
                        </w:p>
                        <w:p w:rsidR="002076F6" w:rsidRDefault="002076F6">
                          <w:pPr>
                            <w:rPr>
                              <w:b/>
                              <w:sz w:val="16"/>
                            </w:rPr>
                          </w:pPr>
                          <w:r>
                            <w:rPr>
                              <w:rFonts w:hint="eastAsia"/>
                              <w:b/>
                              <w:sz w:val="20"/>
                            </w:rPr>
                            <w:t>G</w:t>
                          </w:r>
                        </w:p>
                        <w:p w:rsidR="002076F6" w:rsidRDefault="002076F6">
                          <w:pPr>
                            <w:rPr>
                              <w:b/>
                              <w:sz w:val="10"/>
                            </w:rPr>
                          </w:pPr>
                        </w:p>
                        <w:p w:rsidR="002076F6" w:rsidRDefault="002076F6">
                          <w:pPr>
                            <w:rPr>
                              <w:b/>
                              <w:sz w:val="16"/>
                            </w:rPr>
                          </w:pPr>
                        </w:p>
                        <w:p w:rsidR="002076F6" w:rsidRDefault="002076F6">
                          <w:pPr>
                            <w:rPr>
                              <w:b/>
                              <w:sz w:val="16"/>
                            </w:rPr>
                          </w:pPr>
                        </w:p>
                        <w:p w:rsidR="002076F6" w:rsidRDefault="002076F6">
                          <w:pPr>
                            <w:rPr>
                              <w:b/>
                              <w:sz w:val="16"/>
                            </w:rPr>
                          </w:pPr>
                          <w:r>
                            <w:rPr>
                              <w:rFonts w:hint="eastAsia"/>
                              <w:b/>
                              <w:sz w:val="20"/>
                            </w:rPr>
                            <w:t>H</w:t>
                          </w:r>
                        </w:p>
                        <w:p w:rsidR="002076F6" w:rsidRDefault="002076F6">
                          <w:pPr>
                            <w:rPr>
                              <w:b/>
                              <w:sz w:val="10"/>
                            </w:rPr>
                          </w:pPr>
                        </w:p>
                        <w:p w:rsidR="002076F6" w:rsidRDefault="002076F6">
                          <w:pPr>
                            <w:rPr>
                              <w:b/>
                              <w:sz w:val="16"/>
                            </w:rPr>
                          </w:pPr>
                        </w:p>
                        <w:p w:rsidR="002076F6" w:rsidRDefault="002076F6">
                          <w:pPr>
                            <w:rPr>
                              <w:b/>
                              <w:sz w:val="16"/>
                            </w:rPr>
                          </w:pPr>
                        </w:p>
                        <w:p w:rsidR="002076F6" w:rsidRDefault="002076F6">
                          <w:pPr>
                            <w:rPr>
                              <w:b/>
                              <w:sz w:val="16"/>
                            </w:rPr>
                          </w:pPr>
                          <w:r>
                            <w:rPr>
                              <w:rFonts w:hint="eastAsia"/>
                              <w:b/>
                              <w:sz w:val="20"/>
                            </w:rPr>
                            <w:t>I</w:t>
                          </w:r>
                        </w:p>
                        <w:p w:rsidR="002076F6" w:rsidRDefault="002076F6">
                          <w:pPr>
                            <w:rPr>
                              <w:b/>
                              <w:sz w:val="10"/>
                            </w:rPr>
                          </w:pPr>
                        </w:p>
                        <w:p w:rsidR="002076F6" w:rsidRDefault="002076F6">
                          <w:pPr>
                            <w:rPr>
                              <w:b/>
                              <w:sz w:val="16"/>
                            </w:rPr>
                          </w:pPr>
                        </w:p>
                        <w:p w:rsidR="002076F6" w:rsidRDefault="002076F6">
                          <w:pPr>
                            <w:rPr>
                              <w:b/>
                              <w:sz w:val="16"/>
                            </w:rPr>
                          </w:pPr>
                        </w:p>
                        <w:p w:rsidR="002076F6" w:rsidRDefault="002076F6">
                          <w:pPr>
                            <w:rPr>
                              <w:b/>
                              <w:sz w:val="16"/>
                            </w:rPr>
                          </w:pPr>
                          <w:r>
                            <w:rPr>
                              <w:rFonts w:hint="eastAsia"/>
                              <w:b/>
                              <w:sz w:val="20"/>
                            </w:rPr>
                            <w:t>J</w:t>
                          </w:r>
                        </w:p>
                        <w:p w:rsidR="002076F6" w:rsidRDefault="002076F6">
                          <w:pPr>
                            <w:rPr>
                              <w:b/>
                              <w:sz w:val="10"/>
                            </w:rPr>
                          </w:pPr>
                        </w:p>
                        <w:p w:rsidR="002076F6" w:rsidRDefault="002076F6">
                          <w:pPr>
                            <w:rPr>
                              <w:b/>
                              <w:sz w:val="16"/>
                            </w:rPr>
                          </w:pPr>
                        </w:p>
                        <w:p w:rsidR="002076F6" w:rsidRDefault="002076F6">
                          <w:pPr>
                            <w:rPr>
                              <w:b/>
                              <w:sz w:val="16"/>
                            </w:rPr>
                          </w:pPr>
                        </w:p>
                        <w:p w:rsidR="002076F6" w:rsidRDefault="002076F6">
                          <w:pPr>
                            <w:rPr>
                              <w:b/>
                              <w:sz w:val="16"/>
                            </w:rPr>
                          </w:pPr>
                          <w:r>
                            <w:rPr>
                              <w:rFonts w:hint="eastAsia"/>
                              <w:b/>
                              <w:sz w:val="20"/>
                            </w:rPr>
                            <w:t>K</w:t>
                          </w:r>
                        </w:p>
                        <w:p w:rsidR="002076F6" w:rsidRDefault="002076F6">
                          <w:pPr>
                            <w:rPr>
                              <w:b/>
                              <w:sz w:val="10"/>
                            </w:rPr>
                          </w:pPr>
                        </w:p>
                        <w:p w:rsidR="002076F6" w:rsidRDefault="002076F6">
                          <w:pPr>
                            <w:rPr>
                              <w:b/>
                              <w:sz w:val="16"/>
                            </w:rPr>
                          </w:pPr>
                        </w:p>
                        <w:p w:rsidR="002076F6" w:rsidRDefault="002076F6">
                          <w:pPr>
                            <w:rPr>
                              <w:b/>
                              <w:sz w:val="16"/>
                            </w:rPr>
                          </w:pPr>
                        </w:p>
                        <w:p w:rsidR="002076F6" w:rsidRDefault="002076F6">
                          <w:pPr>
                            <w:rPr>
                              <w:b/>
                              <w:sz w:val="16"/>
                            </w:rPr>
                          </w:pPr>
                          <w:r>
                            <w:rPr>
                              <w:rFonts w:hint="eastAsia"/>
                              <w:b/>
                              <w:sz w:val="20"/>
                            </w:rPr>
                            <w:t>L</w:t>
                          </w:r>
                        </w:p>
                        <w:p w:rsidR="002076F6" w:rsidRDefault="002076F6">
                          <w:pPr>
                            <w:rPr>
                              <w:b/>
                              <w:sz w:val="10"/>
                            </w:rPr>
                          </w:pPr>
                        </w:p>
                        <w:p w:rsidR="002076F6" w:rsidRDefault="002076F6">
                          <w:pPr>
                            <w:rPr>
                              <w:b/>
                              <w:sz w:val="16"/>
                            </w:rPr>
                          </w:pPr>
                        </w:p>
                        <w:p w:rsidR="002076F6" w:rsidRDefault="002076F6">
                          <w:pPr>
                            <w:rPr>
                              <w:b/>
                              <w:sz w:val="16"/>
                            </w:rPr>
                          </w:pPr>
                        </w:p>
                        <w:p w:rsidR="002076F6" w:rsidRDefault="002076F6">
                          <w:pPr>
                            <w:rPr>
                              <w:b/>
                              <w:sz w:val="16"/>
                            </w:rPr>
                          </w:pPr>
                          <w:r>
                            <w:rPr>
                              <w:rFonts w:hint="eastAsia"/>
                              <w:b/>
                              <w:sz w:val="20"/>
                            </w:rPr>
                            <w:t>M</w:t>
                          </w:r>
                        </w:p>
                        <w:p w:rsidR="002076F6" w:rsidRDefault="002076F6">
                          <w:pPr>
                            <w:rPr>
                              <w:b/>
                              <w:sz w:val="10"/>
                            </w:rPr>
                          </w:pPr>
                        </w:p>
                        <w:p w:rsidR="002076F6" w:rsidRDefault="002076F6">
                          <w:pPr>
                            <w:rPr>
                              <w:b/>
                              <w:sz w:val="16"/>
                            </w:rPr>
                          </w:pPr>
                        </w:p>
                        <w:p w:rsidR="002076F6" w:rsidRDefault="002076F6">
                          <w:pPr>
                            <w:rPr>
                              <w:b/>
                              <w:sz w:val="16"/>
                            </w:rPr>
                          </w:pPr>
                        </w:p>
                        <w:p w:rsidR="002076F6" w:rsidRDefault="002076F6">
                          <w:pPr>
                            <w:rPr>
                              <w:b/>
                              <w:sz w:val="16"/>
                            </w:rPr>
                          </w:pPr>
                          <w:r>
                            <w:rPr>
                              <w:rFonts w:hint="eastAsia"/>
                              <w:b/>
                              <w:sz w:val="20"/>
                            </w:rPr>
                            <w:t>N</w:t>
                          </w:r>
                        </w:p>
                        <w:p w:rsidR="002076F6" w:rsidRDefault="002076F6">
                          <w:pPr>
                            <w:rPr>
                              <w:b/>
                              <w:sz w:val="10"/>
                            </w:rPr>
                          </w:pPr>
                        </w:p>
                        <w:p w:rsidR="002076F6" w:rsidRDefault="002076F6">
                          <w:pPr>
                            <w:rPr>
                              <w:b/>
                              <w:sz w:val="16"/>
                            </w:rPr>
                          </w:pPr>
                        </w:p>
                        <w:p w:rsidR="002076F6" w:rsidRDefault="002076F6">
                          <w:pPr>
                            <w:rPr>
                              <w:b/>
                              <w:sz w:val="16"/>
                            </w:rPr>
                          </w:pPr>
                        </w:p>
                        <w:p w:rsidR="002076F6" w:rsidRDefault="002076F6">
                          <w:pPr>
                            <w:rPr>
                              <w:b/>
                              <w:sz w:val="16"/>
                            </w:rPr>
                          </w:pPr>
                          <w:r>
                            <w:rPr>
                              <w:rFonts w:hint="eastAsia"/>
                              <w:b/>
                              <w:sz w:val="20"/>
                            </w:rPr>
                            <w:t>O</w:t>
                          </w:r>
                        </w:p>
                        <w:p w:rsidR="002076F6" w:rsidRDefault="002076F6">
                          <w:pPr>
                            <w:rPr>
                              <w:b/>
                              <w:sz w:val="10"/>
                            </w:rPr>
                          </w:pPr>
                        </w:p>
                        <w:p w:rsidR="002076F6" w:rsidRDefault="002076F6">
                          <w:pPr>
                            <w:rPr>
                              <w:b/>
                              <w:sz w:val="16"/>
                            </w:rPr>
                          </w:pPr>
                        </w:p>
                        <w:p w:rsidR="002076F6" w:rsidRDefault="002076F6">
                          <w:pPr>
                            <w:rPr>
                              <w:b/>
                              <w:sz w:val="16"/>
                            </w:rPr>
                          </w:pPr>
                        </w:p>
                        <w:p w:rsidR="002076F6" w:rsidRDefault="002076F6">
                          <w:pPr>
                            <w:rPr>
                              <w:b/>
                              <w:sz w:val="16"/>
                            </w:rPr>
                          </w:pPr>
                          <w:r>
                            <w:rPr>
                              <w:rFonts w:hint="eastAsia"/>
                              <w:b/>
                              <w:sz w:val="20"/>
                            </w:rPr>
                            <w:t>P</w:t>
                          </w:r>
                        </w:p>
                        <w:p w:rsidR="002076F6" w:rsidRDefault="002076F6">
                          <w:pPr>
                            <w:rPr>
                              <w:b/>
                              <w:sz w:val="10"/>
                            </w:rPr>
                          </w:pPr>
                        </w:p>
                        <w:p w:rsidR="002076F6" w:rsidRDefault="002076F6">
                          <w:pPr>
                            <w:rPr>
                              <w:b/>
                              <w:sz w:val="16"/>
                            </w:rPr>
                          </w:pPr>
                        </w:p>
                        <w:p w:rsidR="002076F6" w:rsidRDefault="002076F6">
                          <w:pPr>
                            <w:rPr>
                              <w:b/>
                              <w:sz w:val="16"/>
                            </w:rPr>
                          </w:pPr>
                        </w:p>
                        <w:p w:rsidR="002076F6" w:rsidRDefault="002076F6">
                          <w:pPr>
                            <w:rPr>
                              <w:b/>
                              <w:sz w:val="16"/>
                            </w:rPr>
                          </w:pPr>
                          <w:r>
                            <w:rPr>
                              <w:rFonts w:hint="eastAsia"/>
                              <w:b/>
                              <w:sz w:val="20"/>
                            </w:rPr>
                            <w:t>Q</w:t>
                          </w:r>
                        </w:p>
                        <w:p w:rsidR="002076F6" w:rsidRDefault="002076F6">
                          <w:pPr>
                            <w:rPr>
                              <w:b/>
                              <w:sz w:val="10"/>
                            </w:rPr>
                          </w:pPr>
                        </w:p>
                        <w:p w:rsidR="002076F6" w:rsidRDefault="002076F6">
                          <w:pPr>
                            <w:rPr>
                              <w:b/>
                              <w:sz w:val="16"/>
                            </w:rPr>
                          </w:pPr>
                        </w:p>
                        <w:p w:rsidR="002076F6" w:rsidRDefault="002076F6">
                          <w:pPr>
                            <w:rPr>
                              <w:b/>
                              <w:sz w:val="16"/>
                            </w:rPr>
                          </w:pPr>
                        </w:p>
                        <w:p w:rsidR="002076F6" w:rsidRDefault="002076F6">
                          <w:pPr>
                            <w:rPr>
                              <w:b/>
                              <w:sz w:val="16"/>
                            </w:rPr>
                          </w:pPr>
                          <w:r>
                            <w:rPr>
                              <w:rFonts w:hint="eastAsia"/>
                              <w:b/>
                              <w:sz w:val="20"/>
                            </w:rPr>
                            <w:t>R</w:t>
                          </w:r>
                        </w:p>
                        <w:p w:rsidR="002076F6" w:rsidRDefault="002076F6">
                          <w:pPr>
                            <w:rPr>
                              <w:b/>
                              <w:sz w:val="10"/>
                            </w:rPr>
                          </w:pPr>
                        </w:p>
                        <w:p w:rsidR="002076F6" w:rsidRDefault="002076F6">
                          <w:pPr>
                            <w:rPr>
                              <w:b/>
                              <w:sz w:val="16"/>
                            </w:rPr>
                          </w:pPr>
                        </w:p>
                        <w:p w:rsidR="002076F6" w:rsidRDefault="002076F6">
                          <w:pPr>
                            <w:rPr>
                              <w:b/>
                              <w:sz w:val="16"/>
                            </w:rPr>
                          </w:pPr>
                        </w:p>
                        <w:p w:rsidR="002076F6" w:rsidRDefault="002076F6">
                          <w:pPr>
                            <w:rPr>
                              <w:b/>
                              <w:sz w:val="16"/>
                            </w:rPr>
                          </w:pPr>
                          <w:r>
                            <w:rPr>
                              <w:rFonts w:hint="eastAsia"/>
                              <w:b/>
                              <w:sz w:val="20"/>
                            </w:rPr>
                            <w:t>S</w:t>
                          </w:r>
                        </w:p>
                        <w:p w:rsidR="002076F6" w:rsidRDefault="002076F6">
                          <w:pPr>
                            <w:rPr>
                              <w:b/>
                              <w:sz w:val="10"/>
                            </w:rPr>
                          </w:pPr>
                        </w:p>
                        <w:p w:rsidR="002076F6" w:rsidRDefault="002076F6">
                          <w:pPr>
                            <w:rPr>
                              <w:b/>
                              <w:sz w:val="16"/>
                            </w:rPr>
                          </w:pPr>
                        </w:p>
                        <w:p w:rsidR="002076F6" w:rsidRDefault="002076F6">
                          <w:pPr>
                            <w:rPr>
                              <w:b/>
                              <w:sz w:val="16"/>
                            </w:rPr>
                          </w:pPr>
                        </w:p>
                        <w:p w:rsidR="002076F6" w:rsidRDefault="002076F6">
                          <w:pPr>
                            <w:rPr>
                              <w:b/>
                              <w:sz w:val="16"/>
                            </w:rPr>
                          </w:pPr>
                          <w:r>
                            <w:rPr>
                              <w:rFonts w:hint="eastAsia"/>
                              <w:b/>
                              <w:sz w:val="20"/>
                            </w:rPr>
                            <w:t>T</w:t>
                          </w:r>
                        </w:p>
                        <w:p w:rsidR="002076F6" w:rsidRDefault="002076F6">
                          <w:pPr>
                            <w:rPr>
                              <w:b/>
                              <w:sz w:val="10"/>
                            </w:rPr>
                          </w:pPr>
                        </w:p>
                        <w:p w:rsidR="002076F6" w:rsidRDefault="002076F6">
                          <w:pPr>
                            <w:rPr>
                              <w:b/>
                              <w:sz w:val="16"/>
                            </w:rPr>
                          </w:pPr>
                        </w:p>
                        <w:p w:rsidR="002076F6" w:rsidRDefault="002076F6">
                          <w:pPr>
                            <w:rPr>
                              <w:b/>
                              <w:sz w:val="16"/>
                            </w:rPr>
                          </w:pPr>
                        </w:p>
                        <w:p w:rsidR="002076F6" w:rsidRDefault="002076F6">
                          <w:pPr>
                            <w:rPr>
                              <w:b/>
                              <w:sz w:val="16"/>
                            </w:rPr>
                          </w:pPr>
                          <w:r>
                            <w:rPr>
                              <w:rFonts w:hint="eastAsia"/>
                              <w:b/>
                              <w:sz w:val="20"/>
                            </w:rPr>
                            <w:t>U</w:t>
                          </w:r>
                        </w:p>
                        <w:p w:rsidR="002076F6" w:rsidRDefault="002076F6">
                          <w:pPr>
                            <w:rPr>
                              <w:b/>
                              <w:sz w:val="10"/>
                            </w:rPr>
                          </w:pPr>
                        </w:p>
                        <w:p w:rsidR="002076F6" w:rsidRDefault="002076F6">
                          <w:pPr>
                            <w:rPr>
                              <w:b/>
                              <w:sz w:val="16"/>
                            </w:rPr>
                          </w:pPr>
                        </w:p>
                        <w:p w:rsidR="002076F6" w:rsidRDefault="002076F6">
                          <w:pPr>
                            <w:rPr>
                              <w:b/>
                              <w:sz w:val="16"/>
                            </w:rPr>
                          </w:pPr>
                        </w:p>
                        <w:p w:rsidR="002076F6" w:rsidRDefault="002076F6">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2B7268" id="Text Box 4" o:spid="_x0000_s1030"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" o:allowincell="f" stroked="f">
              <v:textbox>
                <w:txbxContent>
                  <w:p w:rsidR="002076F6" w:rsidRDefault="002076F6">
                    <w:pPr>
                      <w:rPr>
                        <w:b/>
                        <w:sz w:val="20"/>
                      </w:rPr>
                    </w:pPr>
                    <w:r>
                      <w:rPr>
                        <w:rFonts w:hint="eastAsia"/>
                        <w:b/>
                        <w:sz w:val="20"/>
                      </w:rPr>
                      <w:t>A</w:t>
                    </w:r>
                  </w:p>
                  <w:p w:rsidR="002076F6" w:rsidRDefault="002076F6">
                    <w:pPr>
                      <w:rPr>
                        <w:b/>
                        <w:sz w:val="10"/>
                      </w:rPr>
                    </w:pPr>
                  </w:p>
                  <w:p w:rsidR="002076F6" w:rsidRDefault="002076F6">
                    <w:pPr>
                      <w:rPr>
                        <w:b/>
                        <w:sz w:val="16"/>
                      </w:rPr>
                    </w:pPr>
                  </w:p>
                  <w:p w:rsidR="002076F6" w:rsidRDefault="002076F6">
                    <w:pPr>
                      <w:rPr>
                        <w:b/>
                        <w:sz w:val="16"/>
                      </w:rPr>
                    </w:pPr>
                  </w:p>
                  <w:p w:rsidR="002076F6" w:rsidRDefault="002076F6">
                    <w:pPr>
                      <w:rPr>
                        <w:b/>
                        <w:sz w:val="20"/>
                      </w:rPr>
                    </w:pPr>
                    <w:r>
                      <w:rPr>
                        <w:rFonts w:hint="eastAsia"/>
                        <w:b/>
                        <w:sz w:val="20"/>
                      </w:rPr>
                      <w:t>B</w:t>
                    </w:r>
                  </w:p>
                  <w:p w:rsidR="002076F6" w:rsidRDefault="002076F6">
                    <w:pPr>
                      <w:rPr>
                        <w:b/>
                        <w:sz w:val="10"/>
                      </w:rPr>
                    </w:pPr>
                  </w:p>
                  <w:p w:rsidR="002076F6" w:rsidRDefault="002076F6">
                    <w:pPr>
                      <w:rPr>
                        <w:b/>
                        <w:sz w:val="16"/>
                      </w:rPr>
                    </w:pPr>
                  </w:p>
                  <w:p w:rsidR="002076F6" w:rsidRDefault="002076F6">
                    <w:pPr>
                      <w:rPr>
                        <w:b/>
                        <w:sz w:val="16"/>
                      </w:rPr>
                    </w:pPr>
                  </w:p>
                  <w:p w:rsidR="002076F6" w:rsidRDefault="002076F6">
                    <w:pPr>
                      <w:rPr>
                        <w:b/>
                        <w:sz w:val="16"/>
                      </w:rPr>
                    </w:pPr>
                    <w:r>
                      <w:rPr>
                        <w:rFonts w:hint="eastAsia"/>
                        <w:b/>
                        <w:sz w:val="20"/>
                      </w:rPr>
                      <w:t>C</w:t>
                    </w:r>
                  </w:p>
                  <w:p w:rsidR="002076F6" w:rsidRDefault="002076F6">
                    <w:pPr>
                      <w:rPr>
                        <w:b/>
                        <w:sz w:val="10"/>
                      </w:rPr>
                    </w:pPr>
                  </w:p>
                  <w:p w:rsidR="002076F6" w:rsidRDefault="002076F6">
                    <w:pPr>
                      <w:rPr>
                        <w:b/>
                        <w:sz w:val="16"/>
                      </w:rPr>
                    </w:pPr>
                  </w:p>
                  <w:p w:rsidR="002076F6" w:rsidRDefault="002076F6">
                    <w:pPr>
                      <w:rPr>
                        <w:b/>
                        <w:sz w:val="16"/>
                      </w:rPr>
                    </w:pPr>
                  </w:p>
                  <w:p w:rsidR="002076F6" w:rsidRDefault="002076F6">
                    <w:pPr>
                      <w:pStyle w:val="Heading2"/>
                      <w:rPr>
                        <w:sz w:val="16"/>
                      </w:rPr>
                    </w:pPr>
                    <w:r>
                      <w:rPr>
                        <w:rFonts w:hint="eastAsia"/>
                      </w:rPr>
                      <w:t>D</w:t>
                    </w:r>
                  </w:p>
                  <w:p w:rsidR="002076F6" w:rsidRDefault="002076F6">
                    <w:pPr>
                      <w:rPr>
                        <w:b/>
                        <w:sz w:val="10"/>
                      </w:rPr>
                    </w:pPr>
                  </w:p>
                  <w:p w:rsidR="002076F6" w:rsidRDefault="002076F6">
                    <w:pPr>
                      <w:rPr>
                        <w:b/>
                        <w:sz w:val="16"/>
                      </w:rPr>
                    </w:pPr>
                  </w:p>
                  <w:p w:rsidR="002076F6" w:rsidRDefault="002076F6">
                    <w:pPr>
                      <w:rPr>
                        <w:b/>
                        <w:sz w:val="16"/>
                      </w:rPr>
                    </w:pPr>
                  </w:p>
                  <w:p w:rsidR="002076F6" w:rsidRDefault="002076F6">
                    <w:pPr>
                      <w:rPr>
                        <w:b/>
                        <w:sz w:val="16"/>
                      </w:rPr>
                    </w:pPr>
                    <w:r>
                      <w:rPr>
                        <w:rFonts w:hint="eastAsia"/>
                        <w:b/>
                        <w:sz w:val="20"/>
                      </w:rPr>
                      <w:t>E</w:t>
                    </w:r>
                  </w:p>
                  <w:p w:rsidR="002076F6" w:rsidRDefault="002076F6">
                    <w:pPr>
                      <w:rPr>
                        <w:b/>
                        <w:sz w:val="10"/>
                      </w:rPr>
                    </w:pPr>
                  </w:p>
                  <w:p w:rsidR="002076F6" w:rsidRDefault="002076F6">
                    <w:pPr>
                      <w:rPr>
                        <w:b/>
                        <w:sz w:val="16"/>
                      </w:rPr>
                    </w:pPr>
                  </w:p>
                  <w:p w:rsidR="002076F6" w:rsidRDefault="002076F6">
                    <w:pPr>
                      <w:rPr>
                        <w:b/>
                        <w:sz w:val="16"/>
                      </w:rPr>
                    </w:pPr>
                  </w:p>
                  <w:p w:rsidR="002076F6" w:rsidRDefault="002076F6">
                    <w:pPr>
                      <w:rPr>
                        <w:b/>
                        <w:sz w:val="20"/>
                      </w:rPr>
                    </w:pPr>
                    <w:r>
                      <w:rPr>
                        <w:rFonts w:hint="eastAsia"/>
                        <w:b/>
                        <w:sz w:val="20"/>
                      </w:rPr>
                      <w:t>F</w:t>
                    </w:r>
                  </w:p>
                  <w:p w:rsidR="002076F6" w:rsidRDefault="002076F6">
                    <w:pPr>
                      <w:rPr>
                        <w:b/>
                        <w:sz w:val="10"/>
                      </w:rPr>
                    </w:pPr>
                  </w:p>
                  <w:p w:rsidR="002076F6" w:rsidRDefault="002076F6">
                    <w:pPr>
                      <w:rPr>
                        <w:b/>
                        <w:sz w:val="16"/>
                      </w:rPr>
                    </w:pPr>
                  </w:p>
                  <w:p w:rsidR="002076F6" w:rsidRDefault="002076F6">
                    <w:pPr>
                      <w:rPr>
                        <w:b/>
                        <w:sz w:val="16"/>
                      </w:rPr>
                    </w:pPr>
                  </w:p>
                  <w:p w:rsidR="002076F6" w:rsidRDefault="002076F6">
                    <w:pPr>
                      <w:rPr>
                        <w:b/>
                        <w:sz w:val="16"/>
                      </w:rPr>
                    </w:pPr>
                    <w:r>
                      <w:rPr>
                        <w:rFonts w:hint="eastAsia"/>
                        <w:b/>
                        <w:sz w:val="20"/>
                      </w:rPr>
                      <w:t>G</w:t>
                    </w:r>
                  </w:p>
                  <w:p w:rsidR="002076F6" w:rsidRDefault="002076F6">
                    <w:pPr>
                      <w:rPr>
                        <w:b/>
                        <w:sz w:val="10"/>
                      </w:rPr>
                    </w:pPr>
                  </w:p>
                  <w:p w:rsidR="002076F6" w:rsidRDefault="002076F6">
                    <w:pPr>
                      <w:rPr>
                        <w:b/>
                        <w:sz w:val="16"/>
                      </w:rPr>
                    </w:pPr>
                  </w:p>
                  <w:p w:rsidR="002076F6" w:rsidRDefault="002076F6">
                    <w:pPr>
                      <w:rPr>
                        <w:b/>
                        <w:sz w:val="16"/>
                      </w:rPr>
                    </w:pPr>
                  </w:p>
                  <w:p w:rsidR="002076F6" w:rsidRDefault="002076F6">
                    <w:pPr>
                      <w:rPr>
                        <w:b/>
                        <w:sz w:val="16"/>
                      </w:rPr>
                    </w:pPr>
                    <w:r>
                      <w:rPr>
                        <w:rFonts w:hint="eastAsia"/>
                        <w:b/>
                        <w:sz w:val="20"/>
                      </w:rPr>
                      <w:t>H</w:t>
                    </w:r>
                  </w:p>
                  <w:p w:rsidR="002076F6" w:rsidRDefault="002076F6">
                    <w:pPr>
                      <w:rPr>
                        <w:b/>
                        <w:sz w:val="10"/>
                      </w:rPr>
                    </w:pPr>
                  </w:p>
                  <w:p w:rsidR="002076F6" w:rsidRDefault="002076F6">
                    <w:pPr>
                      <w:rPr>
                        <w:b/>
                        <w:sz w:val="16"/>
                      </w:rPr>
                    </w:pPr>
                  </w:p>
                  <w:p w:rsidR="002076F6" w:rsidRDefault="002076F6">
                    <w:pPr>
                      <w:rPr>
                        <w:b/>
                        <w:sz w:val="16"/>
                      </w:rPr>
                    </w:pPr>
                  </w:p>
                  <w:p w:rsidR="002076F6" w:rsidRDefault="002076F6">
                    <w:pPr>
                      <w:rPr>
                        <w:b/>
                        <w:sz w:val="16"/>
                      </w:rPr>
                    </w:pPr>
                    <w:r>
                      <w:rPr>
                        <w:rFonts w:hint="eastAsia"/>
                        <w:b/>
                        <w:sz w:val="20"/>
                      </w:rPr>
                      <w:t>I</w:t>
                    </w:r>
                  </w:p>
                  <w:p w:rsidR="002076F6" w:rsidRDefault="002076F6">
                    <w:pPr>
                      <w:rPr>
                        <w:b/>
                        <w:sz w:val="10"/>
                      </w:rPr>
                    </w:pPr>
                  </w:p>
                  <w:p w:rsidR="002076F6" w:rsidRDefault="002076F6">
                    <w:pPr>
                      <w:rPr>
                        <w:b/>
                        <w:sz w:val="16"/>
                      </w:rPr>
                    </w:pPr>
                  </w:p>
                  <w:p w:rsidR="002076F6" w:rsidRDefault="002076F6">
                    <w:pPr>
                      <w:rPr>
                        <w:b/>
                        <w:sz w:val="16"/>
                      </w:rPr>
                    </w:pPr>
                  </w:p>
                  <w:p w:rsidR="002076F6" w:rsidRDefault="002076F6">
                    <w:pPr>
                      <w:rPr>
                        <w:b/>
                        <w:sz w:val="16"/>
                      </w:rPr>
                    </w:pPr>
                    <w:r>
                      <w:rPr>
                        <w:rFonts w:hint="eastAsia"/>
                        <w:b/>
                        <w:sz w:val="20"/>
                      </w:rPr>
                      <w:t>J</w:t>
                    </w:r>
                  </w:p>
                  <w:p w:rsidR="002076F6" w:rsidRDefault="002076F6">
                    <w:pPr>
                      <w:rPr>
                        <w:b/>
                        <w:sz w:val="10"/>
                      </w:rPr>
                    </w:pPr>
                  </w:p>
                  <w:p w:rsidR="002076F6" w:rsidRDefault="002076F6">
                    <w:pPr>
                      <w:rPr>
                        <w:b/>
                        <w:sz w:val="16"/>
                      </w:rPr>
                    </w:pPr>
                  </w:p>
                  <w:p w:rsidR="002076F6" w:rsidRDefault="002076F6">
                    <w:pPr>
                      <w:rPr>
                        <w:b/>
                        <w:sz w:val="16"/>
                      </w:rPr>
                    </w:pPr>
                  </w:p>
                  <w:p w:rsidR="002076F6" w:rsidRDefault="002076F6">
                    <w:pPr>
                      <w:rPr>
                        <w:b/>
                        <w:sz w:val="16"/>
                      </w:rPr>
                    </w:pPr>
                    <w:r>
                      <w:rPr>
                        <w:rFonts w:hint="eastAsia"/>
                        <w:b/>
                        <w:sz w:val="20"/>
                      </w:rPr>
                      <w:t>K</w:t>
                    </w:r>
                  </w:p>
                  <w:p w:rsidR="002076F6" w:rsidRDefault="002076F6">
                    <w:pPr>
                      <w:rPr>
                        <w:b/>
                        <w:sz w:val="10"/>
                      </w:rPr>
                    </w:pPr>
                  </w:p>
                  <w:p w:rsidR="002076F6" w:rsidRDefault="002076F6">
                    <w:pPr>
                      <w:rPr>
                        <w:b/>
                        <w:sz w:val="16"/>
                      </w:rPr>
                    </w:pPr>
                  </w:p>
                  <w:p w:rsidR="002076F6" w:rsidRDefault="002076F6">
                    <w:pPr>
                      <w:rPr>
                        <w:b/>
                        <w:sz w:val="16"/>
                      </w:rPr>
                    </w:pPr>
                  </w:p>
                  <w:p w:rsidR="002076F6" w:rsidRDefault="002076F6">
                    <w:pPr>
                      <w:rPr>
                        <w:b/>
                        <w:sz w:val="16"/>
                      </w:rPr>
                    </w:pPr>
                    <w:r>
                      <w:rPr>
                        <w:rFonts w:hint="eastAsia"/>
                        <w:b/>
                        <w:sz w:val="20"/>
                      </w:rPr>
                      <w:t>L</w:t>
                    </w:r>
                  </w:p>
                  <w:p w:rsidR="002076F6" w:rsidRDefault="002076F6">
                    <w:pPr>
                      <w:rPr>
                        <w:b/>
                        <w:sz w:val="10"/>
                      </w:rPr>
                    </w:pPr>
                  </w:p>
                  <w:p w:rsidR="002076F6" w:rsidRDefault="002076F6">
                    <w:pPr>
                      <w:rPr>
                        <w:b/>
                        <w:sz w:val="16"/>
                      </w:rPr>
                    </w:pPr>
                  </w:p>
                  <w:p w:rsidR="002076F6" w:rsidRDefault="002076F6">
                    <w:pPr>
                      <w:rPr>
                        <w:b/>
                        <w:sz w:val="16"/>
                      </w:rPr>
                    </w:pPr>
                  </w:p>
                  <w:p w:rsidR="002076F6" w:rsidRDefault="002076F6">
                    <w:pPr>
                      <w:rPr>
                        <w:b/>
                        <w:sz w:val="16"/>
                      </w:rPr>
                    </w:pPr>
                    <w:r>
                      <w:rPr>
                        <w:rFonts w:hint="eastAsia"/>
                        <w:b/>
                        <w:sz w:val="20"/>
                      </w:rPr>
                      <w:t>M</w:t>
                    </w:r>
                  </w:p>
                  <w:p w:rsidR="002076F6" w:rsidRDefault="002076F6">
                    <w:pPr>
                      <w:rPr>
                        <w:b/>
                        <w:sz w:val="10"/>
                      </w:rPr>
                    </w:pPr>
                  </w:p>
                  <w:p w:rsidR="002076F6" w:rsidRDefault="002076F6">
                    <w:pPr>
                      <w:rPr>
                        <w:b/>
                        <w:sz w:val="16"/>
                      </w:rPr>
                    </w:pPr>
                  </w:p>
                  <w:p w:rsidR="002076F6" w:rsidRDefault="002076F6">
                    <w:pPr>
                      <w:rPr>
                        <w:b/>
                        <w:sz w:val="16"/>
                      </w:rPr>
                    </w:pPr>
                  </w:p>
                  <w:p w:rsidR="002076F6" w:rsidRDefault="002076F6">
                    <w:pPr>
                      <w:rPr>
                        <w:b/>
                        <w:sz w:val="16"/>
                      </w:rPr>
                    </w:pPr>
                    <w:r>
                      <w:rPr>
                        <w:rFonts w:hint="eastAsia"/>
                        <w:b/>
                        <w:sz w:val="20"/>
                      </w:rPr>
                      <w:t>N</w:t>
                    </w:r>
                  </w:p>
                  <w:p w:rsidR="002076F6" w:rsidRDefault="002076F6">
                    <w:pPr>
                      <w:rPr>
                        <w:b/>
                        <w:sz w:val="10"/>
                      </w:rPr>
                    </w:pPr>
                  </w:p>
                  <w:p w:rsidR="002076F6" w:rsidRDefault="002076F6">
                    <w:pPr>
                      <w:rPr>
                        <w:b/>
                        <w:sz w:val="16"/>
                      </w:rPr>
                    </w:pPr>
                  </w:p>
                  <w:p w:rsidR="002076F6" w:rsidRDefault="002076F6">
                    <w:pPr>
                      <w:rPr>
                        <w:b/>
                        <w:sz w:val="16"/>
                      </w:rPr>
                    </w:pPr>
                  </w:p>
                  <w:p w:rsidR="002076F6" w:rsidRDefault="002076F6">
                    <w:pPr>
                      <w:rPr>
                        <w:b/>
                        <w:sz w:val="16"/>
                      </w:rPr>
                    </w:pPr>
                    <w:r>
                      <w:rPr>
                        <w:rFonts w:hint="eastAsia"/>
                        <w:b/>
                        <w:sz w:val="20"/>
                      </w:rPr>
                      <w:t>O</w:t>
                    </w:r>
                  </w:p>
                  <w:p w:rsidR="002076F6" w:rsidRDefault="002076F6">
                    <w:pPr>
                      <w:rPr>
                        <w:b/>
                        <w:sz w:val="10"/>
                      </w:rPr>
                    </w:pPr>
                  </w:p>
                  <w:p w:rsidR="002076F6" w:rsidRDefault="002076F6">
                    <w:pPr>
                      <w:rPr>
                        <w:b/>
                        <w:sz w:val="16"/>
                      </w:rPr>
                    </w:pPr>
                  </w:p>
                  <w:p w:rsidR="002076F6" w:rsidRDefault="002076F6">
                    <w:pPr>
                      <w:rPr>
                        <w:b/>
                        <w:sz w:val="16"/>
                      </w:rPr>
                    </w:pPr>
                  </w:p>
                  <w:p w:rsidR="002076F6" w:rsidRDefault="002076F6">
                    <w:pPr>
                      <w:rPr>
                        <w:b/>
                        <w:sz w:val="16"/>
                      </w:rPr>
                    </w:pPr>
                    <w:r>
                      <w:rPr>
                        <w:rFonts w:hint="eastAsia"/>
                        <w:b/>
                        <w:sz w:val="20"/>
                      </w:rPr>
                      <w:t>P</w:t>
                    </w:r>
                  </w:p>
                  <w:p w:rsidR="002076F6" w:rsidRDefault="002076F6">
                    <w:pPr>
                      <w:rPr>
                        <w:b/>
                        <w:sz w:val="10"/>
                      </w:rPr>
                    </w:pPr>
                  </w:p>
                  <w:p w:rsidR="002076F6" w:rsidRDefault="002076F6">
                    <w:pPr>
                      <w:rPr>
                        <w:b/>
                        <w:sz w:val="16"/>
                      </w:rPr>
                    </w:pPr>
                  </w:p>
                  <w:p w:rsidR="002076F6" w:rsidRDefault="002076F6">
                    <w:pPr>
                      <w:rPr>
                        <w:b/>
                        <w:sz w:val="16"/>
                      </w:rPr>
                    </w:pPr>
                  </w:p>
                  <w:p w:rsidR="002076F6" w:rsidRDefault="002076F6">
                    <w:pPr>
                      <w:rPr>
                        <w:b/>
                        <w:sz w:val="16"/>
                      </w:rPr>
                    </w:pPr>
                    <w:r>
                      <w:rPr>
                        <w:rFonts w:hint="eastAsia"/>
                        <w:b/>
                        <w:sz w:val="20"/>
                      </w:rPr>
                      <w:t>Q</w:t>
                    </w:r>
                  </w:p>
                  <w:p w:rsidR="002076F6" w:rsidRDefault="002076F6">
                    <w:pPr>
                      <w:rPr>
                        <w:b/>
                        <w:sz w:val="10"/>
                      </w:rPr>
                    </w:pPr>
                  </w:p>
                  <w:p w:rsidR="002076F6" w:rsidRDefault="002076F6">
                    <w:pPr>
                      <w:rPr>
                        <w:b/>
                        <w:sz w:val="16"/>
                      </w:rPr>
                    </w:pPr>
                  </w:p>
                  <w:p w:rsidR="002076F6" w:rsidRDefault="002076F6">
                    <w:pPr>
                      <w:rPr>
                        <w:b/>
                        <w:sz w:val="16"/>
                      </w:rPr>
                    </w:pPr>
                  </w:p>
                  <w:p w:rsidR="002076F6" w:rsidRDefault="002076F6">
                    <w:pPr>
                      <w:rPr>
                        <w:b/>
                        <w:sz w:val="16"/>
                      </w:rPr>
                    </w:pPr>
                    <w:r>
                      <w:rPr>
                        <w:rFonts w:hint="eastAsia"/>
                        <w:b/>
                        <w:sz w:val="20"/>
                      </w:rPr>
                      <w:t>R</w:t>
                    </w:r>
                  </w:p>
                  <w:p w:rsidR="002076F6" w:rsidRDefault="002076F6">
                    <w:pPr>
                      <w:rPr>
                        <w:b/>
                        <w:sz w:val="10"/>
                      </w:rPr>
                    </w:pPr>
                  </w:p>
                  <w:p w:rsidR="002076F6" w:rsidRDefault="002076F6">
                    <w:pPr>
                      <w:rPr>
                        <w:b/>
                        <w:sz w:val="16"/>
                      </w:rPr>
                    </w:pPr>
                  </w:p>
                  <w:p w:rsidR="002076F6" w:rsidRDefault="002076F6">
                    <w:pPr>
                      <w:rPr>
                        <w:b/>
                        <w:sz w:val="16"/>
                      </w:rPr>
                    </w:pPr>
                  </w:p>
                  <w:p w:rsidR="002076F6" w:rsidRDefault="002076F6">
                    <w:pPr>
                      <w:rPr>
                        <w:b/>
                        <w:sz w:val="16"/>
                      </w:rPr>
                    </w:pPr>
                    <w:r>
                      <w:rPr>
                        <w:rFonts w:hint="eastAsia"/>
                        <w:b/>
                        <w:sz w:val="20"/>
                      </w:rPr>
                      <w:t>S</w:t>
                    </w:r>
                  </w:p>
                  <w:p w:rsidR="002076F6" w:rsidRDefault="002076F6">
                    <w:pPr>
                      <w:rPr>
                        <w:b/>
                        <w:sz w:val="10"/>
                      </w:rPr>
                    </w:pPr>
                  </w:p>
                  <w:p w:rsidR="002076F6" w:rsidRDefault="002076F6">
                    <w:pPr>
                      <w:rPr>
                        <w:b/>
                        <w:sz w:val="16"/>
                      </w:rPr>
                    </w:pPr>
                  </w:p>
                  <w:p w:rsidR="002076F6" w:rsidRDefault="002076F6">
                    <w:pPr>
                      <w:rPr>
                        <w:b/>
                        <w:sz w:val="16"/>
                      </w:rPr>
                    </w:pPr>
                  </w:p>
                  <w:p w:rsidR="002076F6" w:rsidRDefault="002076F6">
                    <w:pPr>
                      <w:rPr>
                        <w:b/>
                        <w:sz w:val="16"/>
                      </w:rPr>
                    </w:pPr>
                    <w:r>
                      <w:rPr>
                        <w:rFonts w:hint="eastAsia"/>
                        <w:b/>
                        <w:sz w:val="20"/>
                      </w:rPr>
                      <w:t>T</w:t>
                    </w:r>
                  </w:p>
                  <w:p w:rsidR="002076F6" w:rsidRDefault="002076F6">
                    <w:pPr>
                      <w:rPr>
                        <w:b/>
                        <w:sz w:val="10"/>
                      </w:rPr>
                    </w:pPr>
                  </w:p>
                  <w:p w:rsidR="002076F6" w:rsidRDefault="002076F6">
                    <w:pPr>
                      <w:rPr>
                        <w:b/>
                        <w:sz w:val="16"/>
                      </w:rPr>
                    </w:pPr>
                  </w:p>
                  <w:p w:rsidR="002076F6" w:rsidRDefault="002076F6">
                    <w:pPr>
                      <w:rPr>
                        <w:b/>
                        <w:sz w:val="16"/>
                      </w:rPr>
                    </w:pPr>
                  </w:p>
                  <w:p w:rsidR="002076F6" w:rsidRDefault="002076F6">
                    <w:pPr>
                      <w:rPr>
                        <w:b/>
                        <w:sz w:val="16"/>
                      </w:rPr>
                    </w:pPr>
                    <w:r>
                      <w:rPr>
                        <w:rFonts w:hint="eastAsia"/>
                        <w:b/>
                        <w:sz w:val="20"/>
                      </w:rPr>
                      <w:t>U</w:t>
                    </w:r>
                  </w:p>
                  <w:p w:rsidR="002076F6" w:rsidRDefault="002076F6">
                    <w:pPr>
                      <w:rPr>
                        <w:b/>
                        <w:sz w:val="10"/>
                      </w:rPr>
                    </w:pPr>
                  </w:p>
                  <w:p w:rsidR="002076F6" w:rsidRDefault="002076F6">
                    <w:pPr>
                      <w:rPr>
                        <w:b/>
                        <w:sz w:val="16"/>
                      </w:rPr>
                    </w:pPr>
                  </w:p>
                  <w:p w:rsidR="002076F6" w:rsidRDefault="002076F6">
                    <w:pPr>
                      <w:rPr>
                        <w:b/>
                        <w:sz w:val="16"/>
                      </w:rPr>
                    </w:pPr>
                  </w:p>
                  <w:p w:rsidR="002076F6" w:rsidRDefault="002076F6">
                    <w:pPr>
                      <w:pStyle w:val="Heading3"/>
                      <w:jc w:val="left"/>
                    </w:pPr>
                    <w:r>
                      <w:rPr>
                        <w:rFonts w:hint="eastAsia"/>
                      </w:rPr>
                      <w:t>V</w:t>
                    </w:r>
                  </w:p>
                </w:txbxContent>
              </v:textbox>
            </v:shape>
          </w:pict>
        </mc:Fallback>
      </mc:AlternateContent>
    </w:r>
    <w:r>
      <w:rPr>
        <w:noProof/>
        <w:sz w:val="28"/>
        <w:lang w:val="en-US" w:eastAsia="zh-CN"/>
      </w:rPr>
      <mc:AlternateContent>
        <mc:Choice Requires="wps">
          <w:drawing>
            <wp:anchor distT="0" distB="0" distL="114300" distR="114300" simplePos="0" relativeHeight="251660288" behindDoc="0" locked="0" layoutInCell="0" allowOverlap="1" wp14:anchorId="749B0AAC" wp14:editId="7AF56E14">
              <wp:simplePos x="0" y="0"/>
              <wp:positionH relativeFrom="column">
                <wp:posOffset>-800100</wp:posOffset>
              </wp:positionH>
              <wp:positionV relativeFrom="paragraph">
                <wp:posOffset>-243205</wp:posOffset>
              </wp:positionV>
              <wp:extent cx="571500" cy="297180"/>
              <wp:effectExtent l="0" t="4445" r="0" b="3175"/>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076F6" w:rsidRDefault="002076F6">
                          <w:pPr>
                            <w:rPr>
                              <w:rFonts w:eastAsia="黑体"/>
                              <w:b/>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9B0AAC" id="Text Box 6" o:spid="_x0000_s1031"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" o:allowincell="f" stroked="f">
              <v:textbox>
                <w:txbxContent>
                  <w:p w:rsidR="002076F6" w:rsidRDefault="002076F6">
                    <w:pPr>
                      <w:rPr>
                        <w:rFonts w:eastAsia="黑体"/>
                        <w:b/>
                        <w:sz w:val="18"/>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15020"/>
    <w:multiLevelType w:val="hybridMultilevel"/>
    <w:tmpl w:val="1C8C83E8"/>
    <w:lvl w:ilvl="0" w:tplc="BDE0EE06">
      <w:start w:val="1"/>
      <w:numFmt w:val="lowerLetter"/>
      <w:lvlText w:val="(%1)"/>
      <w:lvlJc w:val="left"/>
      <w:pPr>
        <w:ind w:left="1170" w:hanging="45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62469AB"/>
    <w:multiLevelType w:val="singleLevel"/>
    <w:tmpl w:val="F1D04760"/>
    <w:lvl w:ilvl="0">
      <w:start w:val="1"/>
      <w:numFmt w:val="decimal"/>
      <w:pStyle w:val="para"/>
      <w:lvlText w:val="%1."/>
      <w:lvlJc w:val="left"/>
      <w:pPr>
        <w:tabs>
          <w:tab w:val="num" w:pos="360"/>
        </w:tabs>
        <w:ind w:left="0" w:firstLine="0"/>
      </w:pPr>
      <w:rPr>
        <w:rFonts w:hint="eastAsia"/>
      </w:rPr>
    </w:lvl>
  </w:abstractNum>
  <w:abstractNum w:abstractNumId="2" w15:restartNumberingAfterBreak="0">
    <w:nsid w:val="3B5D2E3D"/>
    <w:multiLevelType w:val="hybridMultilevel"/>
    <w:tmpl w:val="07CA388E"/>
    <w:lvl w:ilvl="0" w:tplc="A8C887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BF81545"/>
    <w:multiLevelType w:val="hybridMultilevel"/>
    <w:tmpl w:val="314235A6"/>
    <w:lvl w:ilvl="0" w:tplc="B900A7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CCF4831"/>
    <w:multiLevelType w:val="hybridMultilevel"/>
    <w:tmpl w:val="F546206A"/>
    <w:lvl w:ilvl="0" w:tplc="E5602F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D0E3E5F"/>
    <w:multiLevelType w:val="multilevel"/>
    <w:tmpl w:val="B8D41442"/>
    <w:lvl w:ilvl="0">
      <w:start w:val="1"/>
      <w:numFmt w:val="decimal"/>
      <w:pStyle w:val="Bob1"/>
      <w:lvlText w:val="%1."/>
      <w:lvlJc w:val="left"/>
      <w:pPr>
        <w:tabs>
          <w:tab w:val="num" w:pos="360"/>
        </w:tabs>
        <w:ind w:left="0" w:firstLine="0"/>
      </w:pPr>
      <w:rPr>
        <w:rFonts w:ascii="Times New Roman" w:hAnsi="Times New Roman" w:hint="default"/>
        <w:b w:val="0"/>
        <w:i w:val="0"/>
        <w:caps w:val="0"/>
        <w:strike w:val="0"/>
        <w:dstrike w:val="0"/>
        <w:vanish w:val="0"/>
        <w:color w:val="auto"/>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0" w:firstLine="0"/>
      </w:pPr>
      <w:rPr>
        <w:rFonts w:ascii="Garamond" w:hAnsi="Garamond" w:hint="default"/>
        <w:b w:val="0"/>
        <w:i w:val="0"/>
        <w:sz w:val="28"/>
      </w:rPr>
    </w:lvl>
    <w:lvl w:ilvl="2">
      <w:start w:val="1"/>
      <w:numFmt w:val="lowerLetter"/>
      <w:lvlText w:val="(%3)"/>
      <w:lvlJc w:val="left"/>
      <w:pPr>
        <w:tabs>
          <w:tab w:val="num" w:pos="2592"/>
        </w:tabs>
        <w:ind w:left="2592" w:hanging="720"/>
      </w:pPr>
      <w:rPr>
        <w:rFonts w:ascii="Garamond" w:hAnsi="Garamond" w:hint="default"/>
        <w:b w:val="0"/>
        <w:i w:val="0"/>
        <w:sz w:val="28"/>
      </w:rPr>
    </w:lvl>
    <w:lvl w:ilvl="3">
      <w:start w:val="1"/>
      <w:numFmt w:val="lowerRoman"/>
      <w:lvlText w:val="(%4)"/>
      <w:lvlJc w:val="left"/>
      <w:pPr>
        <w:tabs>
          <w:tab w:val="num" w:pos="2880"/>
        </w:tabs>
        <w:ind w:left="2880" w:hanging="720"/>
      </w:pPr>
      <w:rPr>
        <w:rFonts w:ascii="Garamond" w:hAnsi="Garamond" w:hint="default"/>
        <w:b w:val="0"/>
        <w:i w:val="0"/>
        <w:sz w:val="28"/>
      </w:rPr>
    </w:lvl>
    <w:lvl w:ilvl="4">
      <w:start w:val="1"/>
      <w:numFmt w:val="bullet"/>
      <w:lvlText w:val=""/>
      <w:lvlJc w:val="left"/>
      <w:pPr>
        <w:tabs>
          <w:tab w:val="num" w:pos="3456"/>
        </w:tabs>
        <w:ind w:left="3456" w:hanging="576"/>
      </w:pPr>
      <w:rPr>
        <w:rFonts w:ascii="Symbol" w:hAnsi="Symbol" w:hint="default"/>
        <w:color w:val="auto"/>
        <w:sz w:val="20"/>
      </w:rPr>
    </w:lvl>
    <w:lvl w:ilvl="5">
      <w:start w:val="1"/>
      <w:numFmt w:val="decimal"/>
      <w:lvlText w:val="%1.%2.%3.%4.%5.%6"/>
      <w:lvlJc w:val="left"/>
      <w:pPr>
        <w:tabs>
          <w:tab w:val="num" w:pos="3566"/>
        </w:tabs>
        <w:ind w:left="3260" w:hanging="1134"/>
      </w:pPr>
      <w:rPr>
        <w:rFonts w:ascii="Garamond" w:hAnsi="Garamond" w:hint="default"/>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6" w15:restartNumberingAfterBreak="0">
    <w:nsid w:val="61A36844"/>
    <w:multiLevelType w:val="hybridMultilevel"/>
    <w:tmpl w:val="AF04C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E40613"/>
    <w:multiLevelType w:val="hybridMultilevel"/>
    <w:tmpl w:val="0098326A"/>
    <w:lvl w:ilvl="0" w:tplc="C02E56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3710C9B"/>
    <w:multiLevelType w:val="hybridMultilevel"/>
    <w:tmpl w:val="0E202F24"/>
    <w:lvl w:ilvl="0" w:tplc="970074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D3412C9"/>
    <w:multiLevelType w:val="hybridMultilevel"/>
    <w:tmpl w:val="480A1022"/>
    <w:lvl w:ilvl="0" w:tplc="19682566">
      <w:start w:val="1"/>
      <w:numFmt w:val="lowerLetter"/>
      <w:lvlText w:val="(%1)"/>
      <w:lvlJc w:val="left"/>
      <w:pPr>
        <w:ind w:left="1170" w:hanging="45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1"/>
  </w:num>
  <w:num w:numId="3">
    <w:abstractNumId w:val="6"/>
  </w:num>
  <w:num w:numId="4">
    <w:abstractNumId w:val="4"/>
  </w:num>
  <w:num w:numId="5">
    <w:abstractNumId w:val="3"/>
  </w:num>
  <w:num w:numId="6">
    <w:abstractNumId w:val="2"/>
  </w:num>
  <w:num w:numId="7">
    <w:abstractNumId w:val="7"/>
  </w:num>
  <w:num w:numId="8">
    <w:abstractNumId w:val="0"/>
  </w:num>
  <w:num w:numId="9">
    <w:abstractNumId w:val="9"/>
  </w:num>
  <w:num w:numId="10">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ttachedTemplate r:id="rId1"/>
  <w:defaultTabStop w:val="432"/>
  <w:drawingGridHorizontalSpacing w:val="140"/>
  <w:drawingGridVerticalSpacing w:val="19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DCF"/>
    <w:rsid w:val="000018C8"/>
    <w:rsid w:val="000035DB"/>
    <w:rsid w:val="0000446B"/>
    <w:rsid w:val="000048E7"/>
    <w:rsid w:val="00004CCF"/>
    <w:rsid w:val="00006A2D"/>
    <w:rsid w:val="0000732A"/>
    <w:rsid w:val="000172BD"/>
    <w:rsid w:val="00017BBF"/>
    <w:rsid w:val="0002479B"/>
    <w:rsid w:val="000273CF"/>
    <w:rsid w:val="0003019D"/>
    <w:rsid w:val="000325E3"/>
    <w:rsid w:val="00036067"/>
    <w:rsid w:val="00040442"/>
    <w:rsid w:val="000406F0"/>
    <w:rsid w:val="000422AC"/>
    <w:rsid w:val="00045100"/>
    <w:rsid w:val="00046437"/>
    <w:rsid w:val="00047090"/>
    <w:rsid w:val="00050011"/>
    <w:rsid w:val="00051382"/>
    <w:rsid w:val="000525BF"/>
    <w:rsid w:val="00053E26"/>
    <w:rsid w:val="00055F9C"/>
    <w:rsid w:val="00056848"/>
    <w:rsid w:val="000600F2"/>
    <w:rsid w:val="00061710"/>
    <w:rsid w:val="0006197E"/>
    <w:rsid w:val="000629ED"/>
    <w:rsid w:val="00063B7F"/>
    <w:rsid w:val="00066074"/>
    <w:rsid w:val="00070353"/>
    <w:rsid w:val="00074D59"/>
    <w:rsid w:val="00076F86"/>
    <w:rsid w:val="000776CB"/>
    <w:rsid w:val="00077D0C"/>
    <w:rsid w:val="00081A74"/>
    <w:rsid w:val="00082D40"/>
    <w:rsid w:val="000831F5"/>
    <w:rsid w:val="00084060"/>
    <w:rsid w:val="00086B0C"/>
    <w:rsid w:val="00091149"/>
    <w:rsid w:val="00094227"/>
    <w:rsid w:val="000943A1"/>
    <w:rsid w:val="000946CF"/>
    <w:rsid w:val="000959B8"/>
    <w:rsid w:val="00096616"/>
    <w:rsid w:val="00097E15"/>
    <w:rsid w:val="000A07BD"/>
    <w:rsid w:val="000A48F3"/>
    <w:rsid w:val="000A6DC5"/>
    <w:rsid w:val="000A7FA3"/>
    <w:rsid w:val="000B0613"/>
    <w:rsid w:val="000B28A0"/>
    <w:rsid w:val="000B4661"/>
    <w:rsid w:val="000C1A58"/>
    <w:rsid w:val="000C5DCF"/>
    <w:rsid w:val="000D2117"/>
    <w:rsid w:val="000D3A9C"/>
    <w:rsid w:val="000D6945"/>
    <w:rsid w:val="000D7829"/>
    <w:rsid w:val="000E0B3E"/>
    <w:rsid w:val="000E2BF9"/>
    <w:rsid w:val="000E58F6"/>
    <w:rsid w:val="000E7A31"/>
    <w:rsid w:val="000F0D04"/>
    <w:rsid w:val="000F30D3"/>
    <w:rsid w:val="000F47BA"/>
    <w:rsid w:val="000F61AA"/>
    <w:rsid w:val="000F6F78"/>
    <w:rsid w:val="00110660"/>
    <w:rsid w:val="001115A6"/>
    <w:rsid w:val="00111A4B"/>
    <w:rsid w:val="00112EDE"/>
    <w:rsid w:val="0011336B"/>
    <w:rsid w:val="00115768"/>
    <w:rsid w:val="00116159"/>
    <w:rsid w:val="00120AE8"/>
    <w:rsid w:val="001225D1"/>
    <w:rsid w:val="001233B4"/>
    <w:rsid w:val="00123DCC"/>
    <w:rsid w:val="00124CA8"/>
    <w:rsid w:val="001309C7"/>
    <w:rsid w:val="001328F9"/>
    <w:rsid w:val="0013453B"/>
    <w:rsid w:val="00134E4F"/>
    <w:rsid w:val="001359DC"/>
    <w:rsid w:val="00136D06"/>
    <w:rsid w:val="00137AD4"/>
    <w:rsid w:val="00137EBF"/>
    <w:rsid w:val="00141AD3"/>
    <w:rsid w:val="00141E3B"/>
    <w:rsid w:val="00143222"/>
    <w:rsid w:val="00145D95"/>
    <w:rsid w:val="00146217"/>
    <w:rsid w:val="00146FAC"/>
    <w:rsid w:val="00147312"/>
    <w:rsid w:val="001542B6"/>
    <w:rsid w:val="001546DC"/>
    <w:rsid w:val="00165BCC"/>
    <w:rsid w:val="0016788D"/>
    <w:rsid w:val="00167FA5"/>
    <w:rsid w:val="001741B1"/>
    <w:rsid w:val="0017441B"/>
    <w:rsid w:val="00175214"/>
    <w:rsid w:val="0017776A"/>
    <w:rsid w:val="001778CD"/>
    <w:rsid w:val="0018055F"/>
    <w:rsid w:val="00182B38"/>
    <w:rsid w:val="0018403A"/>
    <w:rsid w:val="00184B02"/>
    <w:rsid w:val="00190DE3"/>
    <w:rsid w:val="00193772"/>
    <w:rsid w:val="00193CAB"/>
    <w:rsid w:val="00196556"/>
    <w:rsid w:val="001A1100"/>
    <w:rsid w:val="001A31AB"/>
    <w:rsid w:val="001A3B7C"/>
    <w:rsid w:val="001A42C1"/>
    <w:rsid w:val="001A441C"/>
    <w:rsid w:val="001A5240"/>
    <w:rsid w:val="001A6FEB"/>
    <w:rsid w:val="001B011E"/>
    <w:rsid w:val="001B4491"/>
    <w:rsid w:val="001B52F8"/>
    <w:rsid w:val="001B556B"/>
    <w:rsid w:val="001B5869"/>
    <w:rsid w:val="001B7EC7"/>
    <w:rsid w:val="001C0113"/>
    <w:rsid w:val="001C255F"/>
    <w:rsid w:val="001C40A7"/>
    <w:rsid w:val="001C481E"/>
    <w:rsid w:val="001C54F9"/>
    <w:rsid w:val="001C5BA1"/>
    <w:rsid w:val="001C79AE"/>
    <w:rsid w:val="001D0BEB"/>
    <w:rsid w:val="001D3B1B"/>
    <w:rsid w:val="001D3C39"/>
    <w:rsid w:val="001D42FB"/>
    <w:rsid w:val="001D4A12"/>
    <w:rsid w:val="001D4B5D"/>
    <w:rsid w:val="001D7C28"/>
    <w:rsid w:val="001E5204"/>
    <w:rsid w:val="001E52D0"/>
    <w:rsid w:val="001E6690"/>
    <w:rsid w:val="001E6E06"/>
    <w:rsid w:val="001E72D7"/>
    <w:rsid w:val="001E79AC"/>
    <w:rsid w:val="001E7BA9"/>
    <w:rsid w:val="001F34CF"/>
    <w:rsid w:val="001F3B0A"/>
    <w:rsid w:val="001F4589"/>
    <w:rsid w:val="002006E5"/>
    <w:rsid w:val="00201A3B"/>
    <w:rsid w:val="002076F6"/>
    <w:rsid w:val="00207FD2"/>
    <w:rsid w:val="00211DD1"/>
    <w:rsid w:val="00212B04"/>
    <w:rsid w:val="002139AA"/>
    <w:rsid w:val="002145D6"/>
    <w:rsid w:val="00220554"/>
    <w:rsid w:val="00223D71"/>
    <w:rsid w:val="00224DA0"/>
    <w:rsid w:val="00224F35"/>
    <w:rsid w:val="0022510E"/>
    <w:rsid w:val="00227818"/>
    <w:rsid w:val="00227FA7"/>
    <w:rsid w:val="00233848"/>
    <w:rsid w:val="0023788A"/>
    <w:rsid w:val="00242C65"/>
    <w:rsid w:val="002441DA"/>
    <w:rsid w:val="002478BF"/>
    <w:rsid w:val="00251D00"/>
    <w:rsid w:val="0026325B"/>
    <w:rsid w:val="00271D16"/>
    <w:rsid w:val="002721E8"/>
    <w:rsid w:val="00275709"/>
    <w:rsid w:val="0028342A"/>
    <w:rsid w:val="0028486A"/>
    <w:rsid w:val="00285666"/>
    <w:rsid w:val="00286EE5"/>
    <w:rsid w:val="00287F9D"/>
    <w:rsid w:val="00290C18"/>
    <w:rsid w:val="00291B46"/>
    <w:rsid w:val="002928A7"/>
    <w:rsid w:val="0029341F"/>
    <w:rsid w:val="00294805"/>
    <w:rsid w:val="00294E01"/>
    <w:rsid w:val="002A01DF"/>
    <w:rsid w:val="002A088A"/>
    <w:rsid w:val="002A105C"/>
    <w:rsid w:val="002A186F"/>
    <w:rsid w:val="002B06BB"/>
    <w:rsid w:val="002B3497"/>
    <w:rsid w:val="002B6B1E"/>
    <w:rsid w:val="002B6CB1"/>
    <w:rsid w:val="002C097F"/>
    <w:rsid w:val="002C1FCF"/>
    <w:rsid w:val="002C3464"/>
    <w:rsid w:val="002C3C80"/>
    <w:rsid w:val="002C3DDB"/>
    <w:rsid w:val="002C45F4"/>
    <w:rsid w:val="002C5729"/>
    <w:rsid w:val="002C7210"/>
    <w:rsid w:val="002D05AE"/>
    <w:rsid w:val="002D08F8"/>
    <w:rsid w:val="002D5371"/>
    <w:rsid w:val="002D5E37"/>
    <w:rsid w:val="002D629D"/>
    <w:rsid w:val="002E10F2"/>
    <w:rsid w:val="002E1533"/>
    <w:rsid w:val="002E3CAD"/>
    <w:rsid w:val="002E5C11"/>
    <w:rsid w:val="002E5C42"/>
    <w:rsid w:val="002E63A0"/>
    <w:rsid w:val="002F42EC"/>
    <w:rsid w:val="00300A80"/>
    <w:rsid w:val="0030147E"/>
    <w:rsid w:val="00301D17"/>
    <w:rsid w:val="003023EC"/>
    <w:rsid w:val="0030424E"/>
    <w:rsid w:val="0030434E"/>
    <w:rsid w:val="0030755C"/>
    <w:rsid w:val="00310898"/>
    <w:rsid w:val="0031480F"/>
    <w:rsid w:val="003221C3"/>
    <w:rsid w:val="003237D5"/>
    <w:rsid w:val="00323DD7"/>
    <w:rsid w:val="00324197"/>
    <w:rsid w:val="00326E12"/>
    <w:rsid w:val="00330699"/>
    <w:rsid w:val="00330748"/>
    <w:rsid w:val="00330FBB"/>
    <w:rsid w:val="003328D3"/>
    <w:rsid w:val="00332E8D"/>
    <w:rsid w:val="003411D6"/>
    <w:rsid w:val="00342421"/>
    <w:rsid w:val="003435BD"/>
    <w:rsid w:val="003445F5"/>
    <w:rsid w:val="003458FA"/>
    <w:rsid w:val="00345E7F"/>
    <w:rsid w:val="003514DE"/>
    <w:rsid w:val="00351B7F"/>
    <w:rsid w:val="00353CB7"/>
    <w:rsid w:val="003545A8"/>
    <w:rsid w:val="00354DC7"/>
    <w:rsid w:val="003565FC"/>
    <w:rsid w:val="003608B3"/>
    <w:rsid w:val="0036240B"/>
    <w:rsid w:val="003629D7"/>
    <w:rsid w:val="003637CD"/>
    <w:rsid w:val="00373741"/>
    <w:rsid w:val="003745EC"/>
    <w:rsid w:val="00376E5F"/>
    <w:rsid w:val="003776AF"/>
    <w:rsid w:val="00377B19"/>
    <w:rsid w:val="00377BD3"/>
    <w:rsid w:val="00383C22"/>
    <w:rsid w:val="00387360"/>
    <w:rsid w:val="00394F32"/>
    <w:rsid w:val="00396245"/>
    <w:rsid w:val="00397FC0"/>
    <w:rsid w:val="003A0306"/>
    <w:rsid w:val="003A323B"/>
    <w:rsid w:val="003A5C56"/>
    <w:rsid w:val="003A6429"/>
    <w:rsid w:val="003B14FA"/>
    <w:rsid w:val="003B1EC4"/>
    <w:rsid w:val="003B4AFE"/>
    <w:rsid w:val="003C0D33"/>
    <w:rsid w:val="003C13D9"/>
    <w:rsid w:val="003C33E4"/>
    <w:rsid w:val="003C4522"/>
    <w:rsid w:val="003C73F9"/>
    <w:rsid w:val="003C7929"/>
    <w:rsid w:val="003D35B3"/>
    <w:rsid w:val="003D3621"/>
    <w:rsid w:val="003D6C5D"/>
    <w:rsid w:val="003E52E0"/>
    <w:rsid w:val="003E7614"/>
    <w:rsid w:val="003E7CDF"/>
    <w:rsid w:val="003F2927"/>
    <w:rsid w:val="003F2EA5"/>
    <w:rsid w:val="003F65B2"/>
    <w:rsid w:val="0040327B"/>
    <w:rsid w:val="0040350A"/>
    <w:rsid w:val="0040596F"/>
    <w:rsid w:val="00412475"/>
    <w:rsid w:val="00412918"/>
    <w:rsid w:val="0041598F"/>
    <w:rsid w:val="004169B9"/>
    <w:rsid w:val="0041740E"/>
    <w:rsid w:val="00417752"/>
    <w:rsid w:val="00420897"/>
    <w:rsid w:val="00420D29"/>
    <w:rsid w:val="00422F09"/>
    <w:rsid w:val="00426003"/>
    <w:rsid w:val="004303B9"/>
    <w:rsid w:val="004312CB"/>
    <w:rsid w:val="00432A86"/>
    <w:rsid w:val="004331FC"/>
    <w:rsid w:val="00436C8E"/>
    <w:rsid w:val="004417E1"/>
    <w:rsid w:val="004424DA"/>
    <w:rsid w:val="00445941"/>
    <w:rsid w:val="0044699B"/>
    <w:rsid w:val="00451607"/>
    <w:rsid w:val="00452A89"/>
    <w:rsid w:val="00455017"/>
    <w:rsid w:val="0045668C"/>
    <w:rsid w:val="0045725E"/>
    <w:rsid w:val="004578F0"/>
    <w:rsid w:val="00461317"/>
    <w:rsid w:val="0046169D"/>
    <w:rsid w:val="00461BE2"/>
    <w:rsid w:val="004629E3"/>
    <w:rsid w:val="00464EA8"/>
    <w:rsid w:val="00466397"/>
    <w:rsid w:val="004707FB"/>
    <w:rsid w:val="00470851"/>
    <w:rsid w:val="00471595"/>
    <w:rsid w:val="00476F4F"/>
    <w:rsid w:val="00477AC1"/>
    <w:rsid w:val="00481CCA"/>
    <w:rsid w:val="00483FAF"/>
    <w:rsid w:val="00487006"/>
    <w:rsid w:val="004872F6"/>
    <w:rsid w:val="0049209D"/>
    <w:rsid w:val="00493CCE"/>
    <w:rsid w:val="00494EC7"/>
    <w:rsid w:val="0049768A"/>
    <w:rsid w:val="004A255D"/>
    <w:rsid w:val="004A2763"/>
    <w:rsid w:val="004A32EA"/>
    <w:rsid w:val="004A3764"/>
    <w:rsid w:val="004A7AA6"/>
    <w:rsid w:val="004B2AF9"/>
    <w:rsid w:val="004B3773"/>
    <w:rsid w:val="004B4712"/>
    <w:rsid w:val="004B4C20"/>
    <w:rsid w:val="004B77BB"/>
    <w:rsid w:val="004C1612"/>
    <w:rsid w:val="004C226A"/>
    <w:rsid w:val="004C2858"/>
    <w:rsid w:val="004C3423"/>
    <w:rsid w:val="004C3BE1"/>
    <w:rsid w:val="004C4C71"/>
    <w:rsid w:val="004D2CCD"/>
    <w:rsid w:val="004D5400"/>
    <w:rsid w:val="004E047F"/>
    <w:rsid w:val="004E1678"/>
    <w:rsid w:val="004E2D09"/>
    <w:rsid w:val="004E51A5"/>
    <w:rsid w:val="004E6F1D"/>
    <w:rsid w:val="004E71BA"/>
    <w:rsid w:val="004F0057"/>
    <w:rsid w:val="004F5A3E"/>
    <w:rsid w:val="004F5E0D"/>
    <w:rsid w:val="005001B3"/>
    <w:rsid w:val="00500D81"/>
    <w:rsid w:val="00501AB7"/>
    <w:rsid w:val="00504634"/>
    <w:rsid w:val="00510470"/>
    <w:rsid w:val="00512266"/>
    <w:rsid w:val="00514B1B"/>
    <w:rsid w:val="00520278"/>
    <w:rsid w:val="005218DD"/>
    <w:rsid w:val="005224EE"/>
    <w:rsid w:val="00524E54"/>
    <w:rsid w:val="00526A9A"/>
    <w:rsid w:val="00530C9B"/>
    <w:rsid w:val="00531038"/>
    <w:rsid w:val="0053182F"/>
    <w:rsid w:val="005320AC"/>
    <w:rsid w:val="00534A83"/>
    <w:rsid w:val="005361C3"/>
    <w:rsid w:val="00536D80"/>
    <w:rsid w:val="00537CFF"/>
    <w:rsid w:val="00553DA5"/>
    <w:rsid w:val="0056217B"/>
    <w:rsid w:val="00564F44"/>
    <w:rsid w:val="00566AD9"/>
    <w:rsid w:val="00570945"/>
    <w:rsid w:val="00571358"/>
    <w:rsid w:val="00572481"/>
    <w:rsid w:val="00575956"/>
    <w:rsid w:val="0057676F"/>
    <w:rsid w:val="00580DEA"/>
    <w:rsid w:val="0058104A"/>
    <w:rsid w:val="00585A11"/>
    <w:rsid w:val="00587303"/>
    <w:rsid w:val="00595E12"/>
    <w:rsid w:val="005979F7"/>
    <w:rsid w:val="005A2057"/>
    <w:rsid w:val="005A686F"/>
    <w:rsid w:val="005A7C75"/>
    <w:rsid w:val="005B020E"/>
    <w:rsid w:val="005B25C2"/>
    <w:rsid w:val="005B40A8"/>
    <w:rsid w:val="005B53D6"/>
    <w:rsid w:val="005B7648"/>
    <w:rsid w:val="005C4630"/>
    <w:rsid w:val="005D04FE"/>
    <w:rsid w:val="005D1F20"/>
    <w:rsid w:val="005D32B3"/>
    <w:rsid w:val="005D39A4"/>
    <w:rsid w:val="005E12F3"/>
    <w:rsid w:val="005E144E"/>
    <w:rsid w:val="005E245C"/>
    <w:rsid w:val="005E3A32"/>
    <w:rsid w:val="005E6520"/>
    <w:rsid w:val="005E7B91"/>
    <w:rsid w:val="005F07A9"/>
    <w:rsid w:val="005F123A"/>
    <w:rsid w:val="005F1635"/>
    <w:rsid w:val="005F37CB"/>
    <w:rsid w:val="005F50AD"/>
    <w:rsid w:val="005F55E6"/>
    <w:rsid w:val="00603D68"/>
    <w:rsid w:val="006040A0"/>
    <w:rsid w:val="00605BBC"/>
    <w:rsid w:val="00606CB9"/>
    <w:rsid w:val="0061050B"/>
    <w:rsid w:val="00614C4F"/>
    <w:rsid w:val="0061580B"/>
    <w:rsid w:val="0062138B"/>
    <w:rsid w:val="006314CC"/>
    <w:rsid w:val="00632509"/>
    <w:rsid w:val="006344B9"/>
    <w:rsid w:val="00636A5F"/>
    <w:rsid w:val="006371D9"/>
    <w:rsid w:val="0063720F"/>
    <w:rsid w:val="0064017C"/>
    <w:rsid w:val="00646C48"/>
    <w:rsid w:val="006506E6"/>
    <w:rsid w:val="0065587D"/>
    <w:rsid w:val="00657E0F"/>
    <w:rsid w:val="006601A1"/>
    <w:rsid w:val="006622C9"/>
    <w:rsid w:val="00672092"/>
    <w:rsid w:val="00673F2D"/>
    <w:rsid w:val="006850F8"/>
    <w:rsid w:val="00690F78"/>
    <w:rsid w:val="006963B5"/>
    <w:rsid w:val="00696A1A"/>
    <w:rsid w:val="00696CE2"/>
    <w:rsid w:val="0069708E"/>
    <w:rsid w:val="006A79BE"/>
    <w:rsid w:val="006B1088"/>
    <w:rsid w:val="006B3C3D"/>
    <w:rsid w:val="006B70B1"/>
    <w:rsid w:val="006B7718"/>
    <w:rsid w:val="006C1E87"/>
    <w:rsid w:val="006C25FC"/>
    <w:rsid w:val="006C324C"/>
    <w:rsid w:val="006C5E94"/>
    <w:rsid w:val="006C60BE"/>
    <w:rsid w:val="006C664C"/>
    <w:rsid w:val="006D5D6A"/>
    <w:rsid w:val="006E010F"/>
    <w:rsid w:val="006E1576"/>
    <w:rsid w:val="006E17FA"/>
    <w:rsid w:val="006E4A15"/>
    <w:rsid w:val="006E4C25"/>
    <w:rsid w:val="006E6721"/>
    <w:rsid w:val="006E7E52"/>
    <w:rsid w:val="006F0924"/>
    <w:rsid w:val="006F37EB"/>
    <w:rsid w:val="00705842"/>
    <w:rsid w:val="00706441"/>
    <w:rsid w:val="0070654E"/>
    <w:rsid w:val="00706C56"/>
    <w:rsid w:val="00711E1A"/>
    <w:rsid w:val="00711E29"/>
    <w:rsid w:val="007162FF"/>
    <w:rsid w:val="00717E87"/>
    <w:rsid w:val="00717F0A"/>
    <w:rsid w:val="00722A63"/>
    <w:rsid w:val="00722B72"/>
    <w:rsid w:val="00722C93"/>
    <w:rsid w:val="007232AB"/>
    <w:rsid w:val="007246BB"/>
    <w:rsid w:val="00731086"/>
    <w:rsid w:val="00734AAA"/>
    <w:rsid w:val="00735DD9"/>
    <w:rsid w:val="00736572"/>
    <w:rsid w:val="00736929"/>
    <w:rsid w:val="00742434"/>
    <w:rsid w:val="0074527D"/>
    <w:rsid w:val="0074564D"/>
    <w:rsid w:val="00746CCB"/>
    <w:rsid w:val="00747266"/>
    <w:rsid w:val="007473C8"/>
    <w:rsid w:val="00750441"/>
    <w:rsid w:val="007522C9"/>
    <w:rsid w:val="00753BE4"/>
    <w:rsid w:val="00755F23"/>
    <w:rsid w:val="00762ACE"/>
    <w:rsid w:val="00763785"/>
    <w:rsid w:val="00764626"/>
    <w:rsid w:val="00765BEA"/>
    <w:rsid w:val="00766BAA"/>
    <w:rsid w:val="00772179"/>
    <w:rsid w:val="007745A1"/>
    <w:rsid w:val="00774FAD"/>
    <w:rsid w:val="007778C6"/>
    <w:rsid w:val="00783090"/>
    <w:rsid w:val="00785C71"/>
    <w:rsid w:val="00787681"/>
    <w:rsid w:val="0079089D"/>
    <w:rsid w:val="0079382B"/>
    <w:rsid w:val="00795F9F"/>
    <w:rsid w:val="00796408"/>
    <w:rsid w:val="007A1D69"/>
    <w:rsid w:val="007A4867"/>
    <w:rsid w:val="007A5B06"/>
    <w:rsid w:val="007A6CB4"/>
    <w:rsid w:val="007B065B"/>
    <w:rsid w:val="007B0D74"/>
    <w:rsid w:val="007B0EB5"/>
    <w:rsid w:val="007B1217"/>
    <w:rsid w:val="007B1CDE"/>
    <w:rsid w:val="007B2194"/>
    <w:rsid w:val="007B3B87"/>
    <w:rsid w:val="007B3B88"/>
    <w:rsid w:val="007B4112"/>
    <w:rsid w:val="007C38F1"/>
    <w:rsid w:val="007D1297"/>
    <w:rsid w:val="007D245E"/>
    <w:rsid w:val="007D27F3"/>
    <w:rsid w:val="007D48F6"/>
    <w:rsid w:val="007E38DE"/>
    <w:rsid w:val="007E573F"/>
    <w:rsid w:val="007E65D6"/>
    <w:rsid w:val="007E79EB"/>
    <w:rsid w:val="007E7E4E"/>
    <w:rsid w:val="007F228B"/>
    <w:rsid w:val="007F3267"/>
    <w:rsid w:val="007F62F3"/>
    <w:rsid w:val="00811AF6"/>
    <w:rsid w:val="008134A2"/>
    <w:rsid w:val="0081488E"/>
    <w:rsid w:val="00814F59"/>
    <w:rsid w:val="00816B7C"/>
    <w:rsid w:val="00820A8A"/>
    <w:rsid w:val="00824FD2"/>
    <w:rsid w:val="008257A9"/>
    <w:rsid w:val="00830FAE"/>
    <w:rsid w:val="00834CB0"/>
    <w:rsid w:val="00836995"/>
    <w:rsid w:val="0083763A"/>
    <w:rsid w:val="00840BD6"/>
    <w:rsid w:val="00845925"/>
    <w:rsid w:val="00846CC3"/>
    <w:rsid w:val="00847D6E"/>
    <w:rsid w:val="00851F86"/>
    <w:rsid w:val="008569FC"/>
    <w:rsid w:val="008577B9"/>
    <w:rsid w:val="0086053E"/>
    <w:rsid w:val="00860A88"/>
    <w:rsid w:val="00864AA7"/>
    <w:rsid w:val="00871ECF"/>
    <w:rsid w:val="00873451"/>
    <w:rsid w:val="0087748E"/>
    <w:rsid w:val="00884A46"/>
    <w:rsid w:val="008857A5"/>
    <w:rsid w:val="00885F3C"/>
    <w:rsid w:val="00886D36"/>
    <w:rsid w:val="00887B39"/>
    <w:rsid w:val="00891FF1"/>
    <w:rsid w:val="00892A9A"/>
    <w:rsid w:val="0089643F"/>
    <w:rsid w:val="008A05CF"/>
    <w:rsid w:val="008A24DA"/>
    <w:rsid w:val="008A2644"/>
    <w:rsid w:val="008B2C7A"/>
    <w:rsid w:val="008B44EB"/>
    <w:rsid w:val="008B4FA9"/>
    <w:rsid w:val="008B684C"/>
    <w:rsid w:val="008B6C2F"/>
    <w:rsid w:val="008B7A1B"/>
    <w:rsid w:val="008C1FF3"/>
    <w:rsid w:val="008C517C"/>
    <w:rsid w:val="008C5EB6"/>
    <w:rsid w:val="008D0901"/>
    <w:rsid w:val="008D177F"/>
    <w:rsid w:val="008D2A7D"/>
    <w:rsid w:val="008D3D88"/>
    <w:rsid w:val="008D433D"/>
    <w:rsid w:val="008D6AC5"/>
    <w:rsid w:val="008E0AAC"/>
    <w:rsid w:val="008E25CA"/>
    <w:rsid w:val="008E2CE1"/>
    <w:rsid w:val="008E3052"/>
    <w:rsid w:val="008E4CBB"/>
    <w:rsid w:val="008E668B"/>
    <w:rsid w:val="008E6AC3"/>
    <w:rsid w:val="008F068F"/>
    <w:rsid w:val="008F084C"/>
    <w:rsid w:val="008F1CD4"/>
    <w:rsid w:val="008F1F56"/>
    <w:rsid w:val="008F57B1"/>
    <w:rsid w:val="008F7245"/>
    <w:rsid w:val="008F7A82"/>
    <w:rsid w:val="00904317"/>
    <w:rsid w:val="00904553"/>
    <w:rsid w:val="00911390"/>
    <w:rsid w:val="009133D9"/>
    <w:rsid w:val="009208C3"/>
    <w:rsid w:val="00921AF3"/>
    <w:rsid w:val="00923495"/>
    <w:rsid w:val="00931DCA"/>
    <w:rsid w:val="0093714E"/>
    <w:rsid w:val="009433BF"/>
    <w:rsid w:val="00944C6E"/>
    <w:rsid w:val="00945F94"/>
    <w:rsid w:val="00946F78"/>
    <w:rsid w:val="00951358"/>
    <w:rsid w:val="0095326C"/>
    <w:rsid w:val="00953EF4"/>
    <w:rsid w:val="009549E4"/>
    <w:rsid w:val="00955472"/>
    <w:rsid w:val="0096274E"/>
    <w:rsid w:val="00965715"/>
    <w:rsid w:val="0096596D"/>
    <w:rsid w:val="00965F9E"/>
    <w:rsid w:val="009707E9"/>
    <w:rsid w:val="00970F92"/>
    <w:rsid w:val="00976957"/>
    <w:rsid w:val="00981902"/>
    <w:rsid w:val="00981AA0"/>
    <w:rsid w:val="00985969"/>
    <w:rsid w:val="00986277"/>
    <w:rsid w:val="00991221"/>
    <w:rsid w:val="00992257"/>
    <w:rsid w:val="00992E3A"/>
    <w:rsid w:val="00993AEF"/>
    <w:rsid w:val="00995CFE"/>
    <w:rsid w:val="00997411"/>
    <w:rsid w:val="009A0C8A"/>
    <w:rsid w:val="009A0DD2"/>
    <w:rsid w:val="009A1560"/>
    <w:rsid w:val="009A2930"/>
    <w:rsid w:val="009A45BD"/>
    <w:rsid w:val="009A5E7A"/>
    <w:rsid w:val="009A6B80"/>
    <w:rsid w:val="009B15C2"/>
    <w:rsid w:val="009B2EE0"/>
    <w:rsid w:val="009B5E27"/>
    <w:rsid w:val="009B7018"/>
    <w:rsid w:val="009B79AA"/>
    <w:rsid w:val="009B7DC5"/>
    <w:rsid w:val="009C14E7"/>
    <w:rsid w:val="009C2F49"/>
    <w:rsid w:val="009C38F5"/>
    <w:rsid w:val="009C529B"/>
    <w:rsid w:val="009C758F"/>
    <w:rsid w:val="009E0F91"/>
    <w:rsid w:val="009E114C"/>
    <w:rsid w:val="009E13D8"/>
    <w:rsid w:val="009E1CF3"/>
    <w:rsid w:val="009E4B9E"/>
    <w:rsid w:val="009E539D"/>
    <w:rsid w:val="009E60CD"/>
    <w:rsid w:val="009E6457"/>
    <w:rsid w:val="009F231E"/>
    <w:rsid w:val="009F3387"/>
    <w:rsid w:val="009F3FAD"/>
    <w:rsid w:val="009F5F3F"/>
    <w:rsid w:val="00A00A96"/>
    <w:rsid w:val="00A04492"/>
    <w:rsid w:val="00A04555"/>
    <w:rsid w:val="00A106AF"/>
    <w:rsid w:val="00A10BC0"/>
    <w:rsid w:val="00A113AE"/>
    <w:rsid w:val="00A11DAD"/>
    <w:rsid w:val="00A12593"/>
    <w:rsid w:val="00A12658"/>
    <w:rsid w:val="00A126E4"/>
    <w:rsid w:val="00A1751A"/>
    <w:rsid w:val="00A207D9"/>
    <w:rsid w:val="00A212CF"/>
    <w:rsid w:val="00A21676"/>
    <w:rsid w:val="00A248D3"/>
    <w:rsid w:val="00A24C5B"/>
    <w:rsid w:val="00A25192"/>
    <w:rsid w:val="00A26F52"/>
    <w:rsid w:val="00A30E17"/>
    <w:rsid w:val="00A3183E"/>
    <w:rsid w:val="00A453EE"/>
    <w:rsid w:val="00A457B5"/>
    <w:rsid w:val="00A45853"/>
    <w:rsid w:val="00A54775"/>
    <w:rsid w:val="00A56240"/>
    <w:rsid w:val="00A61D5D"/>
    <w:rsid w:val="00A62F0D"/>
    <w:rsid w:val="00A6486F"/>
    <w:rsid w:val="00A66DCF"/>
    <w:rsid w:val="00A67357"/>
    <w:rsid w:val="00A67900"/>
    <w:rsid w:val="00A67FDF"/>
    <w:rsid w:val="00A702C7"/>
    <w:rsid w:val="00A71EEE"/>
    <w:rsid w:val="00A72030"/>
    <w:rsid w:val="00A75D21"/>
    <w:rsid w:val="00A80FEE"/>
    <w:rsid w:val="00A8390A"/>
    <w:rsid w:val="00A839CA"/>
    <w:rsid w:val="00A85909"/>
    <w:rsid w:val="00A85ACA"/>
    <w:rsid w:val="00A91539"/>
    <w:rsid w:val="00A92A2F"/>
    <w:rsid w:val="00A93BA6"/>
    <w:rsid w:val="00A9411A"/>
    <w:rsid w:val="00AA0ED7"/>
    <w:rsid w:val="00AA0F11"/>
    <w:rsid w:val="00AA3A69"/>
    <w:rsid w:val="00AA58F9"/>
    <w:rsid w:val="00AA5A6C"/>
    <w:rsid w:val="00AB2EB6"/>
    <w:rsid w:val="00AB33AF"/>
    <w:rsid w:val="00AB3D0E"/>
    <w:rsid w:val="00AB3E10"/>
    <w:rsid w:val="00AB6C4E"/>
    <w:rsid w:val="00AC0B38"/>
    <w:rsid w:val="00AC2E91"/>
    <w:rsid w:val="00AD3840"/>
    <w:rsid w:val="00AD4A02"/>
    <w:rsid w:val="00AD63AF"/>
    <w:rsid w:val="00AE0113"/>
    <w:rsid w:val="00AE07D3"/>
    <w:rsid w:val="00AE220C"/>
    <w:rsid w:val="00AE4F80"/>
    <w:rsid w:val="00AE5A1A"/>
    <w:rsid w:val="00AE5B21"/>
    <w:rsid w:val="00AE6C99"/>
    <w:rsid w:val="00AF2E9C"/>
    <w:rsid w:val="00AF3DDE"/>
    <w:rsid w:val="00AF5373"/>
    <w:rsid w:val="00AF5ED6"/>
    <w:rsid w:val="00AF63D5"/>
    <w:rsid w:val="00B0008F"/>
    <w:rsid w:val="00B012C1"/>
    <w:rsid w:val="00B023E0"/>
    <w:rsid w:val="00B0250C"/>
    <w:rsid w:val="00B07DC2"/>
    <w:rsid w:val="00B12BA4"/>
    <w:rsid w:val="00B13B2E"/>
    <w:rsid w:val="00B14D5F"/>
    <w:rsid w:val="00B155B0"/>
    <w:rsid w:val="00B16BC1"/>
    <w:rsid w:val="00B22085"/>
    <w:rsid w:val="00B22537"/>
    <w:rsid w:val="00B24736"/>
    <w:rsid w:val="00B26245"/>
    <w:rsid w:val="00B26ADB"/>
    <w:rsid w:val="00B276A7"/>
    <w:rsid w:val="00B31F2C"/>
    <w:rsid w:val="00B33FF0"/>
    <w:rsid w:val="00B352E4"/>
    <w:rsid w:val="00B364DF"/>
    <w:rsid w:val="00B42A2B"/>
    <w:rsid w:val="00B50FA1"/>
    <w:rsid w:val="00B53D9B"/>
    <w:rsid w:val="00B54477"/>
    <w:rsid w:val="00B56222"/>
    <w:rsid w:val="00B57615"/>
    <w:rsid w:val="00B576CD"/>
    <w:rsid w:val="00B6049E"/>
    <w:rsid w:val="00B631EB"/>
    <w:rsid w:val="00B65440"/>
    <w:rsid w:val="00B66FAB"/>
    <w:rsid w:val="00B678EB"/>
    <w:rsid w:val="00B67CDA"/>
    <w:rsid w:val="00B7217B"/>
    <w:rsid w:val="00B735C5"/>
    <w:rsid w:val="00B74262"/>
    <w:rsid w:val="00B7433E"/>
    <w:rsid w:val="00B74693"/>
    <w:rsid w:val="00B76332"/>
    <w:rsid w:val="00B7776C"/>
    <w:rsid w:val="00B84982"/>
    <w:rsid w:val="00B85E2E"/>
    <w:rsid w:val="00B92D96"/>
    <w:rsid w:val="00B933DE"/>
    <w:rsid w:val="00B94A45"/>
    <w:rsid w:val="00B95273"/>
    <w:rsid w:val="00BA2052"/>
    <w:rsid w:val="00BA4958"/>
    <w:rsid w:val="00BA55B4"/>
    <w:rsid w:val="00BA5C59"/>
    <w:rsid w:val="00BB0582"/>
    <w:rsid w:val="00BB058E"/>
    <w:rsid w:val="00BB31BE"/>
    <w:rsid w:val="00BB5699"/>
    <w:rsid w:val="00BB7FB5"/>
    <w:rsid w:val="00BC1DA6"/>
    <w:rsid w:val="00BC25F7"/>
    <w:rsid w:val="00BC2A74"/>
    <w:rsid w:val="00BC36BB"/>
    <w:rsid w:val="00BC4F84"/>
    <w:rsid w:val="00BC528F"/>
    <w:rsid w:val="00BC73A7"/>
    <w:rsid w:val="00BC74B5"/>
    <w:rsid w:val="00BD09D3"/>
    <w:rsid w:val="00BD3FD0"/>
    <w:rsid w:val="00BD747B"/>
    <w:rsid w:val="00BE0E58"/>
    <w:rsid w:val="00BE1397"/>
    <w:rsid w:val="00BE4EF9"/>
    <w:rsid w:val="00BE6E59"/>
    <w:rsid w:val="00BF031F"/>
    <w:rsid w:val="00BF1561"/>
    <w:rsid w:val="00BF1BC0"/>
    <w:rsid w:val="00BF33DF"/>
    <w:rsid w:val="00BF4131"/>
    <w:rsid w:val="00BF5289"/>
    <w:rsid w:val="00BF55F1"/>
    <w:rsid w:val="00BF6467"/>
    <w:rsid w:val="00BF6493"/>
    <w:rsid w:val="00BF6A0E"/>
    <w:rsid w:val="00C021C7"/>
    <w:rsid w:val="00C05887"/>
    <w:rsid w:val="00C0632B"/>
    <w:rsid w:val="00C067C4"/>
    <w:rsid w:val="00C06A44"/>
    <w:rsid w:val="00C06F41"/>
    <w:rsid w:val="00C12989"/>
    <w:rsid w:val="00C150F2"/>
    <w:rsid w:val="00C15F88"/>
    <w:rsid w:val="00C1747B"/>
    <w:rsid w:val="00C232B9"/>
    <w:rsid w:val="00C265C5"/>
    <w:rsid w:val="00C27DC7"/>
    <w:rsid w:val="00C302A7"/>
    <w:rsid w:val="00C310B9"/>
    <w:rsid w:val="00C319B5"/>
    <w:rsid w:val="00C3356A"/>
    <w:rsid w:val="00C357AC"/>
    <w:rsid w:val="00C35E6D"/>
    <w:rsid w:val="00C4317F"/>
    <w:rsid w:val="00C44D33"/>
    <w:rsid w:val="00C450E6"/>
    <w:rsid w:val="00C45A53"/>
    <w:rsid w:val="00C465E6"/>
    <w:rsid w:val="00C46DA1"/>
    <w:rsid w:val="00C47C92"/>
    <w:rsid w:val="00C51123"/>
    <w:rsid w:val="00C60690"/>
    <w:rsid w:val="00C617E8"/>
    <w:rsid w:val="00C64C98"/>
    <w:rsid w:val="00C65151"/>
    <w:rsid w:val="00C653DE"/>
    <w:rsid w:val="00C7156C"/>
    <w:rsid w:val="00C7195F"/>
    <w:rsid w:val="00C73283"/>
    <w:rsid w:val="00C73A44"/>
    <w:rsid w:val="00C73CC4"/>
    <w:rsid w:val="00C7413D"/>
    <w:rsid w:val="00C743B5"/>
    <w:rsid w:val="00C82092"/>
    <w:rsid w:val="00C83898"/>
    <w:rsid w:val="00C842FA"/>
    <w:rsid w:val="00C853C5"/>
    <w:rsid w:val="00C8602D"/>
    <w:rsid w:val="00C941C9"/>
    <w:rsid w:val="00C94C68"/>
    <w:rsid w:val="00C95791"/>
    <w:rsid w:val="00C9767B"/>
    <w:rsid w:val="00CA2AA8"/>
    <w:rsid w:val="00CA2B1C"/>
    <w:rsid w:val="00CB0850"/>
    <w:rsid w:val="00CB1CDA"/>
    <w:rsid w:val="00CB444F"/>
    <w:rsid w:val="00CB67DC"/>
    <w:rsid w:val="00CB71F3"/>
    <w:rsid w:val="00CC6180"/>
    <w:rsid w:val="00CC6B5B"/>
    <w:rsid w:val="00CD471C"/>
    <w:rsid w:val="00CD4795"/>
    <w:rsid w:val="00CD4B07"/>
    <w:rsid w:val="00CD626B"/>
    <w:rsid w:val="00CE0A94"/>
    <w:rsid w:val="00CE29EF"/>
    <w:rsid w:val="00CE4E14"/>
    <w:rsid w:val="00CF0B74"/>
    <w:rsid w:val="00CF1716"/>
    <w:rsid w:val="00CF1AE4"/>
    <w:rsid w:val="00CF2562"/>
    <w:rsid w:val="00CF746F"/>
    <w:rsid w:val="00D03E4C"/>
    <w:rsid w:val="00D0646E"/>
    <w:rsid w:val="00D06F11"/>
    <w:rsid w:val="00D07521"/>
    <w:rsid w:val="00D1343E"/>
    <w:rsid w:val="00D136EC"/>
    <w:rsid w:val="00D14584"/>
    <w:rsid w:val="00D156BF"/>
    <w:rsid w:val="00D16016"/>
    <w:rsid w:val="00D16E04"/>
    <w:rsid w:val="00D204D2"/>
    <w:rsid w:val="00D20BA8"/>
    <w:rsid w:val="00D232B5"/>
    <w:rsid w:val="00D24890"/>
    <w:rsid w:val="00D25F0B"/>
    <w:rsid w:val="00D3100A"/>
    <w:rsid w:val="00D328AA"/>
    <w:rsid w:val="00D32A6B"/>
    <w:rsid w:val="00D33850"/>
    <w:rsid w:val="00D33CE1"/>
    <w:rsid w:val="00D36675"/>
    <w:rsid w:val="00D40AC7"/>
    <w:rsid w:val="00D413D9"/>
    <w:rsid w:val="00D45A9B"/>
    <w:rsid w:val="00D5141B"/>
    <w:rsid w:val="00D5230C"/>
    <w:rsid w:val="00D54FEA"/>
    <w:rsid w:val="00D55021"/>
    <w:rsid w:val="00D55C3D"/>
    <w:rsid w:val="00D57607"/>
    <w:rsid w:val="00D60FB2"/>
    <w:rsid w:val="00D62B91"/>
    <w:rsid w:val="00D637DF"/>
    <w:rsid w:val="00D71784"/>
    <w:rsid w:val="00D7299C"/>
    <w:rsid w:val="00D73E5C"/>
    <w:rsid w:val="00D75214"/>
    <w:rsid w:val="00D80D22"/>
    <w:rsid w:val="00D81C12"/>
    <w:rsid w:val="00D82229"/>
    <w:rsid w:val="00D82C4D"/>
    <w:rsid w:val="00D82FD0"/>
    <w:rsid w:val="00D85597"/>
    <w:rsid w:val="00D85A33"/>
    <w:rsid w:val="00D920E6"/>
    <w:rsid w:val="00D9470B"/>
    <w:rsid w:val="00DA1ABD"/>
    <w:rsid w:val="00DA1D12"/>
    <w:rsid w:val="00DA62AF"/>
    <w:rsid w:val="00DB1CFA"/>
    <w:rsid w:val="00DB782B"/>
    <w:rsid w:val="00DC2AC6"/>
    <w:rsid w:val="00DC475D"/>
    <w:rsid w:val="00DC4FC5"/>
    <w:rsid w:val="00DC73DE"/>
    <w:rsid w:val="00DD0307"/>
    <w:rsid w:val="00DD032C"/>
    <w:rsid w:val="00DD0FCA"/>
    <w:rsid w:val="00DD106B"/>
    <w:rsid w:val="00DD419E"/>
    <w:rsid w:val="00DD5F73"/>
    <w:rsid w:val="00DD6381"/>
    <w:rsid w:val="00DE0492"/>
    <w:rsid w:val="00DE1494"/>
    <w:rsid w:val="00DE402D"/>
    <w:rsid w:val="00DE67DA"/>
    <w:rsid w:val="00DF6222"/>
    <w:rsid w:val="00E00782"/>
    <w:rsid w:val="00E02627"/>
    <w:rsid w:val="00E03567"/>
    <w:rsid w:val="00E06124"/>
    <w:rsid w:val="00E127B3"/>
    <w:rsid w:val="00E16D71"/>
    <w:rsid w:val="00E20448"/>
    <w:rsid w:val="00E20CE0"/>
    <w:rsid w:val="00E22E14"/>
    <w:rsid w:val="00E23595"/>
    <w:rsid w:val="00E253E0"/>
    <w:rsid w:val="00E2709C"/>
    <w:rsid w:val="00E272E0"/>
    <w:rsid w:val="00E30980"/>
    <w:rsid w:val="00E328E9"/>
    <w:rsid w:val="00E36D65"/>
    <w:rsid w:val="00E37A3F"/>
    <w:rsid w:val="00E4022D"/>
    <w:rsid w:val="00E43E5A"/>
    <w:rsid w:val="00E4525D"/>
    <w:rsid w:val="00E51B28"/>
    <w:rsid w:val="00E520BD"/>
    <w:rsid w:val="00E53C14"/>
    <w:rsid w:val="00E5471D"/>
    <w:rsid w:val="00E55CDB"/>
    <w:rsid w:val="00E57B50"/>
    <w:rsid w:val="00E60186"/>
    <w:rsid w:val="00E6140E"/>
    <w:rsid w:val="00E648DE"/>
    <w:rsid w:val="00E66442"/>
    <w:rsid w:val="00E664D6"/>
    <w:rsid w:val="00E66566"/>
    <w:rsid w:val="00E66E68"/>
    <w:rsid w:val="00E678ED"/>
    <w:rsid w:val="00E70E18"/>
    <w:rsid w:val="00E71B43"/>
    <w:rsid w:val="00E71E46"/>
    <w:rsid w:val="00E72772"/>
    <w:rsid w:val="00E73DF0"/>
    <w:rsid w:val="00E741FE"/>
    <w:rsid w:val="00E74B4F"/>
    <w:rsid w:val="00E75D72"/>
    <w:rsid w:val="00E76052"/>
    <w:rsid w:val="00E80D7C"/>
    <w:rsid w:val="00E82968"/>
    <w:rsid w:val="00E83344"/>
    <w:rsid w:val="00E840AD"/>
    <w:rsid w:val="00E87299"/>
    <w:rsid w:val="00E87CDC"/>
    <w:rsid w:val="00E9414F"/>
    <w:rsid w:val="00E959C7"/>
    <w:rsid w:val="00EA33CD"/>
    <w:rsid w:val="00EA565D"/>
    <w:rsid w:val="00EB0655"/>
    <w:rsid w:val="00EB2DEA"/>
    <w:rsid w:val="00EB5600"/>
    <w:rsid w:val="00EB6C44"/>
    <w:rsid w:val="00EC2322"/>
    <w:rsid w:val="00EC2581"/>
    <w:rsid w:val="00EC3CCA"/>
    <w:rsid w:val="00EC419E"/>
    <w:rsid w:val="00EC5B7F"/>
    <w:rsid w:val="00EC6548"/>
    <w:rsid w:val="00EC675A"/>
    <w:rsid w:val="00EC6BDE"/>
    <w:rsid w:val="00EC7E07"/>
    <w:rsid w:val="00ED060E"/>
    <w:rsid w:val="00ED2CBA"/>
    <w:rsid w:val="00ED4CDF"/>
    <w:rsid w:val="00ED6134"/>
    <w:rsid w:val="00ED65BF"/>
    <w:rsid w:val="00EE0334"/>
    <w:rsid w:val="00EE1975"/>
    <w:rsid w:val="00EE1CE2"/>
    <w:rsid w:val="00EE2607"/>
    <w:rsid w:val="00EE4053"/>
    <w:rsid w:val="00EE5569"/>
    <w:rsid w:val="00EE5BCF"/>
    <w:rsid w:val="00EE7B6B"/>
    <w:rsid w:val="00EF603F"/>
    <w:rsid w:val="00EF7692"/>
    <w:rsid w:val="00F00D67"/>
    <w:rsid w:val="00F05C83"/>
    <w:rsid w:val="00F0727E"/>
    <w:rsid w:val="00F10E42"/>
    <w:rsid w:val="00F1118B"/>
    <w:rsid w:val="00F12171"/>
    <w:rsid w:val="00F127BD"/>
    <w:rsid w:val="00F12ADE"/>
    <w:rsid w:val="00F14EAA"/>
    <w:rsid w:val="00F17466"/>
    <w:rsid w:val="00F17ACA"/>
    <w:rsid w:val="00F17F9F"/>
    <w:rsid w:val="00F20698"/>
    <w:rsid w:val="00F2209D"/>
    <w:rsid w:val="00F2252C"/>
    <w:rsid w:val="00F24811"/>
    <w:rsid w:val="00F24A20"/>
    <w:rsid w:val="00F317A7"/>
    <w:rsid w:val="00F32637"/>
    <w:rsid w:val="00F35C6E"/>
    <w:rsid w:val="00F40091"/>
    <w:rsid w:val="00F40BB2"/>
    <w:rsid w:val="00F42672"/>
    <w:rsid w:val="00F43870"/>
    <w:rsid w:val="00F43D4A"/>
    <w:rsid w:val="00F469EB"/>
    <w:rsid w:val="00F4726E"/>
    <w:rsid w:val="00F50E8F"/>
    <w:rsid w:val="00F50F92"/>
    <w:rsid w:val="00F54E50"/>
    <w:rsid w:val="00F56423"/>
    <w:rsid w:val="00F609F8"/>
    <w:rsid w:val="00F62302"/>
    <w:rsid w:val="00F62B98"/>
    <w:rsid w:val="00F66243"/>
    <w:rsid w:val="00F67748"/>
    <w:rsid w:val="00F67C58"/>
    <w:rsid w:val="00F75414"/>
    <w:rsid w:val="00F77718"/>
    <w:rsid w:val="00F83A07"/>
    <w:rsid w:val="00F84351"/>
    <w:rsid w:val="00F845B6"/>
    <w:rsid w:val="00F863BA"/>
    <w:rsid w:val="00F900AB"/>
    <w:rsid w:val="00F92FCB"/>
    <w:rsid w:val="00F94391"/>
    <w:rsid w:val="00F950E8"/>
    <w:rsid w:val="00F96A9D"/>
    <w:rsid w:val="00FA0CE4"/>
    <w:rsid w:val="00FA0F3A"/>
    <w:rsid w:val="00FA0FDE"/>
    <w:rsid w:val="00FA1341"/>
    <w:rsid w:val="00FA28FA"/>
    <w:rsid w:val="00FA3DA7"/>
    <w:rsid w:val="00FA43CA"/>
    <w:rsid w:val="00FA4C49"/>
    <w:rsid w:val="00FA4E75"/>
    <w:rsid w:val="00FA4EE8"/>
    <w:rsid w:val="00FA581E"/>
    <w:rsid w:val="00FA633B"/>
    <w:rsid w:val="00FA73B5"/>
    <w:rsid w:val="00FB25A6"/>
    <w:rsid w:val="00FB2FE4"/>
    <w:rsid w:val="00FB55D2"/>
    <w:rsid w:val="00FB7769"/>
    <w:rsid w:val="00FC3985"/>
    <w:rsid w:val="00FC57D2"/>
    <w:rsid w:val="00FC7081"/>
    <w:rsid w:val="00FC7D7A"/>
    <w:rsid w:val="00FD0D78"/>
    <w:rsid w:val="00FD5A6D"/>
    <w:rsid w:val="00FE1B47"/>
    <w:rsid w:val="00FE3D42"/>
    <w:rsid w:val="00FE57AA"/>
    <w:rsid w:val="00FE6CA9"/>
    <w:rsid w:val="00FE7396"/>
    <w:rsid w:val="00FF2329"/>
    <w:rsid w:val="00FF4883"/>
    <w:rsid w:val="00FF52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EAC60E"/>
  <w15:chartTrackingRefBased/>
  <w15:docId w15:val="{CBD281D7-00A0-4832-88B5-78BB94F2F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43CA"/>
    <w:pPr>
      <w:tabs>
        <w:tab w:val="left" w:pos="1440"/>
        <w:tab w:val="center" w:pos="4320"/>
        <w:tab w:val="right" w:pos="9072"/>
      </w:tabs>
      <w:snapToGrid w:val="0"/>
    </w:pPr>
    <w:rPr>
      <w:sz w:val="28"/>
    </w:rPr>
  </w:style>
  <w:style w:type="paragraph" w:styleId="Heading1">
    <w:name w:val="heading 1"/>
    <w:basedOn w:val="Normal"/>
    <w:next w:val="Normal"/>
    <w:qFormat/>
    <w:rsid w:val="00FA43CA"/>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rsid w:val="00FA43CA"/>
    <w:pPr>
      <w:keepNext/>
      <w:snapToGrid/>
      <w:outlineLvl w:val="1"/>
    </w:pPr>
    <w:rPr>
      <w:b/>
      <w:bCs/>
      <w:sz w:val="20"/>
      <w:szCs w:val="24"/>
    </w:rPr>
  </w:style>
  <w:style w:type="paragraph" w:styleId="Heading3">
    <w:name w:val="heading 3"/>
    <w:basedOn w:val="Normal"/>
    <w:next w:val="Normal"/>
    <w:qFormat/>
    <w:rsid w:val="00FA43CA"/>
    <w:pPr>
      <w:keepNext/>
      <w:snapToGrid/>
      <w:jc w:val="center"/>
      <w:outlineLvl w:val="2"/>
    </w:pPr>
    <w:rPr>
      <w:b/>
      <w:bCs/>
      <w:sz w:val="20"/>
      <w:szCs w:val="24"/>
    </w:rPr>
  </w:style>
  <w:style w:type="paragraph" w:styleId="Heading4">
    <w:name w:val="heading 4"/>
    <w:basedOn w:val="Normal"/>
    <w:next w:val="Normal"/>
    <w:qFormat/>
    <w:rsid w:val="00FA43CA"/>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rsid w:val="00FA43CA"/>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rsid w:val="00FA43CA"/>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rsid w:val="00FA43CA"/>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rsid w:val="00FA43CA"/>
    <w:pPr>
      <w:keepNext/>
      <w:tabs>
        <w:tab w:val="clear" w:pos="4320"/>
        <w:tab w:val="clear" w:pos="9072"/>
      </w:tabs>
      <w:spacing w:line="480" w:lineRule="auto"/>
      <w:jc w:val="center"/>
      <w:outlineLvl w:val="7"/>
    </w:pPr>
    <w:rPr>
      <w:sz w:val="26"/>
      <w:u w:val="single"/>
      <w:lang w:val="en-GB"/>
    </w:rPr>
  </w:style>
  <w:style w:type="paragraph" w:styleId="Heading9">
    <w:name w:val="heading 9"/>
    <w:basedOn w:val="Normal"/>
    <w:next w:val="NormalIndent"/>
    <w:qFormat/>
    <w:rsid w:val="00FA43CA"/>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FA43CA"/>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link w:val="HeaderChar"/>
    <w:uiPriority w:val="99"/>
    <w:rsid w:val="00FA43CA"/>
    <w:pPr>
      <w:tabs>
        <w:tab w:val="center" w:pos="4153"/>
        <w:tab w:val="right" w:pos="8306"/>
      </w:tabs>
      <w:jc w:val="center"/>
    </w:pPr>
    <w:rPr>
      <w:sz w:val="18"/>
      <w:lang w:val="x-none" w:eastAsia="x-none"/>
    </w:rPr>
  </w:style>
  <w:style w:type="character" w:customStyle="1" w:styleId="HeaderChar">
    <w:name w:val="Header Char"/>
    <w:link w:val="Header"/>
    <w:uiPriority w:val="99"/>
    <w:rsid w:val="004F5E0D"/>
    <w:rPr>
      <w:sz w:val="18"/>
    </w:rPr>
  </w:style>
  <w:style w:type="paragraph" w:customStyle="1" w:styleId="altd">
    <w:name w:val="altd"/>
    <w:basedOn w:val="Normal"/>
    <w:rsid w:val="00FA43CA"/>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FA43CA"/>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sid w:val="00FA43CA"/>
    <w:rPr>
      <w:b w:val="0"/>
    </w:rPr>
  </w:style>
  <w:style w:type="paragraph" w:customStyle="1" w:styleId="normal3">
    <w:name w:val="normal3"/>
    <w:basedOn w:val="Normal"/>
    <w:rsid w:val="00FA43CA"/>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FA43CA"/>
    <w:pPr>
      <w:spacing w:line="240" w:lineRule="auto"/>
      <w:jc w:val="right"/>
    </w:pPr>
    <w:rPr>
      <w:b w:val="0"/>
    </w:rPr>
  </w:style>
  <w:style w:type="paragraph" w:styleId="Footer">
    <w:name w:val="footer"/>
    <w:basedOn w:val="Normal"/>
    <w:link w:val="FooterChar"/>
    <w:uiPriority w:val="99"/>
    <w:rsid w:val="00FA43CA"/>
    <w:pPr>
      <w:tabs>
        <w:tab w:val="center" w:pos="4153"/>
        <w:tab w:val="right" w:pos="8306"/>
      </w:tabs>
    </w:pPr>
    <w:rPr>
      <w:sz w:val="20"/>
    </w:rPr>
  </w:style>
  <w:style w:type="character" w:customStyle="1" w:styleId="FooterChar">
    <w:name w:val="Footer Char"/>
    <w:basedOn w:val="DefaultParagraphFont"/>
    <w:link w:val="Footer"/>
    <w:uiPriority w:val="99"/>
    <w:rsid w:val="004F5E0D"/>
  </w:style>
  <w:style w:type="character" w:styleId="PageNumber">
    <w:name w:val="page number"/>
    <w:basedOn w:val="DefaultParagraphFont"/>
    <w:semiHidden/>
    <w:rsid w:val="00FA43CA"/>
  </w:style>
  <w:style w:type="paragraph" w:customStyle="1" w:styleId="Draft">
    <w:name w:val="Draft"/>
    <w:basedOn w:val="Normal"/>
    <w:rsid w:val="00FA43CA"/>
    <w:pPr>
      <w:spacing w:line="600" w:lineRule="exact"/>
    </w:pPr>
  </w:style>
  <w:style w:type="paragraph" w:customStyle="1" w:styleId="Final">
    <w:name w:val="Final"/>
    <w:basedOn w:val="Draft"/>
    <w:rsid w:val="00FA43CA"/>
    <w:pPr>
      <w:spacing w:line="360" w:lineRule="auto"/>
    </w:pPr>
  </w:style>
  <w:style w:type="paragraph" w:customStyle="1" w:styleId="Quotation">
    <w:name w:val="Quotation"/>
    <w:basedOn w:val="Normal"/>
    <w:rsid w:val="00FA43CA"/>
    <w:pPr>
      <w:tabs>
        <w:tab w:val="left" w:pos="1872"/>
        <w:tab w:val="left" w:pos="2304"/>
      </w:tabs>
      <w:spacing w:before="240"/>
      <w:ind w:left="1440" w:right="720"/>
    </w:pPr>
    <w:rPr>
      <w:kern w:val="2"/>
      <w:sz w:val="24"/>
    </w:rPr>
  </w:style>
  <w:style w:type="paragraph" w:customStyle="1" w:styleId="Hanging">
    <w:name w:val="Hanging"/>
    <w:basedOn w:val="Normal"/>
    <w:rsid w:val="00FA43CA"/>
    <w:pPr>
      <w:snapToGrid/>
      <w:spacing w:before="120" w:line="440" w:lineRule="exact"/>
      <w:ind w:left="1440" w:hanging="720"/>
    </w:pPr>
    <w:rPr>
      <w:kern w:val="2"/>
    </w:rPr>
  </w:style>
  <w:style w:type="paragraph" w:customStyle="1" w:styleId="hspace">
    <w:name w:val="hspace"/>
    <w:basedOn w:val="Normal"/>
    <w:rsid w:val="00FA43CA"/>
    <w:pPr>
      <w:spacing w:line="200" w:lineRule="exact"/>
    </w:pPr>
  </w:style>
  <w:style w:type="paragraph" w:customStyle="1" w:styleId="Heading">
    <w:name w:val="Heading"/>
    <w:basedOn w:val="Normal"/>
    <w:rsid w:val="00FA43CA"/>
    <w:pPr>
      <w:spacing w:line="360" w:lineRule="auto"/>
    </w:pPr>
  </w:style>
  <w:style w:type="paragraph" w:customStyle="1" w:styleId="Indent3">
    <w:name w:val="Indent3"/>
    <w:basedOn w:val="Normal"/>
    <w:rsid w:val="00FA43CA"/>
    <w:pPr>
      <w:ind w:left="4320"/>
    </w:pPr>
  </w:style>
  <w:style w:type="paragraph" w:styleId="BlockText">
    <w:name w:val="Block Text"/>
    <w:basedOn w:val="Normal"/>
    <w:semiHidden/>
    <w:rsid w:val="00FA43CA"/>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FA43CA"/>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link w:val="BodyTextChar"/>
    <w:rsid w:val="00FA43CA"/>
    <w:pPr>
      <w:tabs>
        <w:tab w:val="clear" w:pos="1440"/>
        <w:tab w:val="clear" w:pos="4320"/>
        <w:tab w:val="clear" w:pos="9072"/>
      </w:tabs>
      <w:snapToGrid/>
      <w:spacing w:line="360" w:lineRule="auto"/>
    </w:pPr>
    <w:rPr>
      <w:lang w:val="en-GB" w:eastAsia="x-none"/>
    </w:rPr>
  </w:style>
  <w:style w:type="character" w:customStyle="1" w:styleId="BodyTextChar">
    <w:name w:val="Body Text Char"/>
    <w:link w:val="BodyText"/>
    <w:rsid w:val="008C5EB6"/>
    <w:rPr>
      <w:sz w:val="28"/>
      <w:lang w:val="en-GB"/>
    </w:rPr>
  </w:style>
  <w:style w:type="paragraph" w:styleId="BodyTextIndent2">
    <w:name w:val="Body Text Indent 2"/>
    <w:basedOn w:val="Normal"/>
    <w:semiHidden/>
    <w:rsid w:val="00FA43CA"/>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rsid w:val="00FA43CA"/>
    <w:pPr>
      <w:spacing w:line="480" w:lineRule="auto"/>
      <w:jc w:val="both"/>
    </w:pPr>
    <w:rPr>
      <w:sz w:val="26"/>
    </w:rPr>
  </w:style>
  <w:style w:type="paragraph" w:styleId="BodyTextIndent3">
    <w:name w:val="Body Text Indent 3"/>
    <w:basedOn w:val="Normal"/>
    <w:semiHidden/>
    <w:rsid w:val="00FA43CA"/>
    <w:pPr>
      <w:tabs>
        <w:tab w:val="clear" w:pos="4320"/>
      </w:tabs>
      <w:ind w:left="1120" w:hanging="1120"/>
    </w:pPr>
    <w:rPr>
      <w:sz w:val="26"/>
    </w:rPr>
  </w:style>
  <w:style w:type="paragraph" w:styleId="Title">
    <w:name w:val="Title"/>
    <w:basedOn w:val="Normal"/>
    <w:qFormat/>
    <w:rsid w:val="00FA43CA"/>
    <w:pPr>
      <w:tabs>
        <w:tab w:val="clear" w:pos="1440"/>
        <w:tab w:val="clear" w:pos="4320"/>
        <w:tab w:val="clear" w:pos="9072"/>
      </w:tabs>
      <w:snapToGrid/>
      <w:spacing w:line="360" w:lineRule="auto"/>
      <w:jc w:val="center"/>
    </w:pPr>
    <w:rPr>
      <w:b/>
      <w:sz w:val="24"/>
      <w:u w:val="single"/>
    </w:rPr>
  </w:style>
  <w:style w:type="paragraph" w:styleId="BodyText3">
    <w:name w:val="Body Text 3"/>
    <w:basedOn w:val="Normal"/>
    <w:semiHidden/>
    <w:rsid w:val="00FA43CA"/>
    <w:pPr>
      <w:tabs>
        <w:tab w:val="clear" w:pos="4320"/>
        <w:tab w:val="clear" w:pos="9072"/>
      </w:tabs>
      <w:spacing w:line="360" w:lineRule="auto"/>
      <w:ind w:right="46"/>
      <w:jc w:val="both"/>
    </w:pPr>
  </w:style>
  <w:style w:type="paragraph" w:styleId="ListParagraph">
    <w:name w:val="List Paragraph"/>
    <w:basedOn w:val="Normal"/>
    <w:uiPriority w:val="34"/>
    <w:qFormat/>
    <w:rsid w:val="00D82C4D"/>
    <w:pPr>
      <w:ind w:left="720"/>
    </w:pPr>
  </w:style>
  <w:style w:type="table" w:styleId="TableGrid">
    <w:name w:val="Table Grid"/>
    <w:basedOn w:val="TableNormal"/>
    <w:uiPriority w:val="59"/>
    <w:rsid w:val="006371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8C5EB6"/>
  </w:style>
  <w:style w:type="paragraph" w:styleId="BalloonText">
    <w:name w:val="Balloon Text"/>
    <w:basedOn w:val="Normal"/>
    <w:link w:val="BalloonTextChar"/>
    <w:uiPriority w:val="99"/>
    <w:semiHidden/>
    <w:unhideWhenUsed/>
    <w:rsid w:val="00A24C5B"/>
    <w:rPr>
      <w:rFonts w:ascii="Tahoma" w:hAnsi="Tahoma"/>
      <w:sz w:val="16"/>
      <w:szCs w:val="16"/>
      <w:lang w:val="x-none" w:eastAsia="x-none"/>
    </w:rPr>
  </w:style>
  <w:style w:type="character" w:customStyle="1" w:styleId="BalloonTextChar">
    <w:name w:val="Balloon Text Char"/>
    <w:link w:val="BalloonText"/>
    <w:uiPriority w:val="99"/>
    <w:semiHidden/>
    <w:rsid w:val="00A24C5B"/>
    <w:rPr>
      <w:rFonts w:ascii="Tahoma" w:hAnsi="Tahoma" w:cs="Tahoma"/>
      <w:sz w:val="16"/>
      <w:szCs w:val="16"/>
    </w:rPr>
  </w:style>
  <w:style w:type="paragraph" w:styleId="NormalWeb">
    <w:name w:val="Normal (Web)"/>
    <w:basedOn w:val="Normal"/>
    <w:uiPriority w:val="99"/>
    <w:unhideWhenUsed/>
    <w:rsid w:val="00736929"/>
    <w:pPr>
      <w:tabs>
        <w:tab w:val="clear" w:pos="1440"/>
        <w:tab w:val="clear" w:pos="4320"/>
        <w:tab w:val="clear" w:pos="9072"/>
      </w:tabs>
      <w:snapToGrid/>
      <w:spacing w:before="100" w:beforeAutospacing="1" w:after="100" w:afterAutospacing="1"/>
    </w:pPr>
    <w:rPr>
      <w:rFonts w:eastAsia="Times New Roman"/>
      <w:color w:val="000000"/>
      <w:sz w:val="24"/>
      <w:szCs w:val="24"/>
    </w:rPr>
  </w:style>
  <w:style w:type="paragraph" w:customStyle="1" w:styleId="Bob1">
    <w:name w:val="Bob1"/>
    <w:rsid w:val="003C33E4"/>
    <w:pPr>
      <w:numPr>
        <w:numId w:val="1"/>
      </w:numPr>
      <w:tabs>
        <w:tab w:val="left" w:pos="1440"/>
      </w:tabs>
      <w:overflowPunct w:val="0"/>
      <w:autoSpaceDE w:val="0"/>
      <w:autoSpaceDN w:val="0"/>
      <w:snapToGrid w:val="0"/>
      <w:spacing w:after="240" w:line="360" w:lineRule="auto"/>
      <w:jc w:val="both"/>
    </w:pPr>
    <w:rPr>
      <w:rFonts w:eastAsia="PMingLiU"/>
      <w:sz w:val="28"/>
      <w:lang w:val="en-GB" w:eastAsia="en-US"/>
    </w:rPr>
  </w:style>
  <w:style w:type="character" w:styleId="Hyperlink">
    <w:name w:val="Hyperlink"/>
    <w:uiPriority w:val="99"/>
    <w:semiHidden/>
    <w:unhideWhenUsed/>
    <w:rsid w:val="00FC3985"/>
    <w:rPr>
      <w:rFonts w:ascii="Arial" w:hAnsi="Arial" w:cs="Arial" w:hint="default"/>
      <w:strike w:val="0"/>
      <w:dstrike w:val="0"/>
      <w:color w:val="0000CC"/>
      <w:sz w:val="24"/>
      <w:szCs w:val="24"/>
      <w:u w:val="none"/>
      <w:effect w:val="none"/>
    </w:rPr>
  </w:style>
  <w:style w:type="paragraph" w:styleId="PlainText">
    <w:name w:val="Plain Text"/>
    <w:basedOn w:val="Normal"/>
    <w:link w:val="PlainTextChar"/>
    <w:uiPriority w:val="99"/>
    <w:unhideWhenUsed/>
    <w:rsid w:val="00E57B50"/>
    <w:pPr>
      <w:tabs>
        <w:tab w:val="clear" w:pos="1440"/>
        <w:tab w:val="clear" w:pos="4320"/>
        <w:tab w:val="clear" w:pos="9072"/>
      </w:tabs>
      <w:snapToGrid/>
      <w:spacing w:before="100" w:beforeAutospacing="1" w:after="100" w:afterAutospacing="1"/>
    </w:pPr>
    <w:rPr>
      <w:rFonts w:eastAsia="Times New Roman"/>
      <w:sz w:val="24"/>
      <w:szCs w:val="24"/>
      <w:lang w:val="x-none" w:eastAsia="x-none"/>
    </w:rPr>
  </w:style>
  <w:style w:type="character" w:customStyle="1" w:styleId="PlainTextChar">
    <w:name w:val="Plain Text Char"/>
    <w:link w:val="PlainText"/>
    <w:uiPriority w:val="99"/>
    <w:rsid w:val="00E57B50"/>
    <w:rPr>
      <w:rFonts w:eastAsia="Times New Roman"/>
      <w:sz w:val="24"/>
      <w:szCs w:val="24"/>
    </w:rPr>
  </w:style>
  <w:style w:type="paragraph" w:customStyle="1" w:styleId="para">
    <w:name w:val="para"/>
    <w:rsid w:val="00AB3E10"/>
    <w:pPr>
      <w:numPr>
        <w:numId w:val="2"/>
      </w:numPr>
      <w:tabs>
        <w:tab w:val="clear" w:pos="360"/>
        <w:tab w:val="num" w:pos="1400"/>
      </w:tabs>
      <w:snapToGrid w:val="0"/>
      <w:spacing w:before="480" w:line="360" w:lineRule="auto"/>
    </w:pPr>
    <w:rPr>
      <w:sz w:val="28"/>
      <w:lang w:val="en-GB"/>
    </w:rPr>
  </w:style>
  <w:style w:type="paragraph" w:customStyle="1" w:styleId="StanleyLegal">
    <w:name w:val="Stanley Legal"/>
    <w:basedOn w:val="Normal"/>
    <w:link w:val="StanleyLegal0"/>
    <w:qFormat/>
    <w:rsid w:val="004F5E0D"/>
    <w:pPr>
      <w:widowControl w:val="0"/>
      <w:tabs>
        <w:tab w:val="clear" w:pos="1440"/>
        <w:tab w:val="clear" w:pos="4320"/>
        <w:tab w:val="clear" w:pos="9072"/>
      </w:tabs>
      <w:snapToGrid/>
      <w:jc w:val="both"/>
    </w:pPr>
    <w:rPr>
      <w:kern w:val="2"/>
      <w:sz w:val="26"/>
      <w:szCs w:val="26"/>
      <w:lang w:val="x-none" w:eastAsia="zh-TW"/>
    </w:rPr>
  </w:style>
  <w:style w:type="character" w:customStyle="1" w:styleId="StanleyLegal0">
    <w:name w:val="Stanley Legal 字元"/>
    <w:link w:val="StanleyLegal"/>
    <w:rsid w:val="004F5E0D"/>
    <w:rPr>
      <w:rFonts w:eastAsia="宋体"/>
      <w:kern w:val="2"/>
      <w:sz w:val="26"/>
      <w:szCs w:val="26"/>
      <w:lang w:eastAsia="zh-TW"/>
    </w:rPr>
  </w:style>
  <w:style w:type="paragraph" w:styleId="FootnoteText">
    <w:name w:val="footnote text"/>
    <w:basedOn w:val="Normal"/>
    <w:link w:val="FootnoteTextChar"/>
    <w:uiPriority w:val="99"/>
    <w:unhideWhenUsed/>
    <w:rsid w:val="006B7718"/>
    <w:pPr>
      <w:tabs>
        <w:tab w:val="clear" w:pos="1440"/>
        <w:tab w:val="clear" w:pos="4320"/>
        <w:tab w:val="clear" w:pos="9072"/>
      </w:tabs>
      <w:snapToGrid/>
    </w:pPr>
    <w:rPr>
      <w:sz w:val="20"/>
      <w:lang w:val="en-GB"/>
    </w:rPr>
  </w:style>
  <w:style w:type="character" w:customStyle="1" w:styleId="FootnoteTextChar">
    <w:name w:val="Footnote Text Char"/>
    <w:basedOn w:val="DefaultParagraphFont"/>
    <w:link w:val="FootnoteText"/>
    <w:uiPriority w:val="99"/>
    <w:rsid w:val="006B7718"/>
    <w:rPr>
      <w:lang w:val="en-GB"/>
    </w:rPr>
  </w:style>
  <w:style w:type="character" w:styleId="FootnoteReference">
    <w:name w:val="footnote reference"/>
    <w:uiPriority w:val="99"/>
    <w:unhideWhenUsed/>
    <w:rsid w:val="006B7718"/>
    <w:rPr>
      <w:vertAlign w:val="superscript"/>
    </w:rPr>
  </w:style>
  <w:style w:type="paragraph" w:customStyle="1" w:styleId="Quote1">
    <w:name w:val="Quote1"/>
    <w:basedOn w:val="Normal"/>
    <w:rsid w:val="006B7718"/>
    <w:pPr>
      <w:tabs>
        <w:tab w:val="clear" w:pos="1440"/>
        <w:tab w:val="clear" w:pos="4320"/>
        <w:tab w:val="clear" w:pos="9072"/>
      </w:tabs>
      <w:snapToGrid/>
      <w:spacing w:before="100" w:beforeAutospacing="1" w:after="100" w:afterAutospacing="1"/>
    </w:pPr>
    <w:rPr>
      <w:rFonts w:eastAsia="Times New Roman"/>
      <w:sz w:val="24"/>
      <w:szCs w:val="24"/>
      <w:lang w:val="en-GB"/>
    </w:rPr>
  </w:style>
  <w:style w:type="paragraph" w:styleId="Date">
    <w:name w:val="Date"/>
    <w:basedOn w:val="Normal"/>
    <w:next w:val="Normal"/>
    <w:link w:val="DateChar"/>
    <w:uiPriority w:val="99"/>
    <w:semiHidden/>
    <w:unhideWhenUsed/>
    <w:rsid w:val="006B7718"/>
    <w:pPr>
      <w:tabs>
        <w:tab w:val="clear" w:pos="1440"/>
        <w:tab w:val="clear" w:pos="4320"/>
        <w:tab w:val="clear" w:pos="9072"/>
      </w:tabs>
      <w:snapToGrid/>
      <w:spacing w:after="200" w:line="276" w:lineRule="auto"/>
    </w:pPr>
    <w:rPr>
      <w:sz w:val="24"/>
      <w:szCs w:val="22"/>
    </w:rPr>
  </w:style>
  <w:style w:type="character" w:customStyle="1" w:styleId="DateChar">
    <w:name w:val="Date Char"/>
    <w:basedOn w:val="DefaultParagraphFont"/>
    <w:link w:val="Date"/>
    <w:uiPriority w:val="99"/>
    <w:semiHidden/>
    <w:rsid w:val="006B7718"/>
    <w:rPr>
      <w:sz w:val="24"/>
      <w:szCs w:val="22"/>
    </w:rPr>
  </w:style>
  <w:style w:type="paragraph" w:customStyle="1" w:styleId="Level1">
    <w:name w:val="Level 1"/>
    <w:basedOn w:val="Normal"/>
    <w:rsid w:val="007745A1"/>
    <w:pPr>
      <w:widowControl w:val="0"/>
      <w:tabs>
        <w:tab w:val="clear" w:pos="1440"/>
        <w:tab w:val="clear" w:pos="4320"/>
        <w:tab w:val="clear" w:pos="9072"/>
      </w:tabs>
      <w:suppressAutoHyphens/>
      <w:snapToGrid/>
    </w:pPr>
    <w:rPr>
      <w:rFonts w:eastAsia="PMingLiU"/>
      <w:sz w:val="24"/>
      <w:lang w:eastAsia="ar-SA"/>
    </w:rPr>
  </w:style>
  <w:style w:type="character" w:customStyle="1" w:styleId="apple-converted-space">
    <w:name w:val="apple-converted-space"/>
    <w:rsid w:val="007456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714123">
      <w:bodyDiv w:val="1"/>
      <w:marLeft w:val="0"/>
      <w:marRight w:val="0"/>
      <w:marTop w:val="0"/>
      <w:marBottom w:val="0"/>
      <w:divBdr>
        <w:top w:val="none" w:sz="0" w:space="0" w:color="auto"/>
        <w:left w:val="none" w:sz="0" w:space="0" w:color="auto"/>
        <w:bottom w:val="none" w:sz="0" w:space="0" w:color="auto"/>
        <w:right w:val="none" w:sz="0" w:space="0" w:color="auto"/>
      </w:divBdr>
      <w:divsChild>
        <w:div w:id="543370230">
          <w:marLeft w:val="0"/>
          <w:marRight w:val="0"/>
          <w:marTop w:val="0"/>
          <w:marBottom w:val="136"/>
          <w:divBdr>
            <w:top w:val="none" w:sz="0" w:space="0" w:color="auto"/>
            <w:left w:val="none" w:sz="0" w:space="0" w:color="auto"/>
            <w:bottom w:val="none" w:sz="0" w:space="0" w:color="auto"/>
            <w:right w:val="none" w:sz="0" w:space="0" w:color="auto"/>
          </w:divBdr>
          <w:divsChild>
            <w:div w:id="1039357108">
              <w:marLeft w:val="136"/>
              <w:marRight w:val="0"/>
              <w:marTop w:val="0"/>
              <w:marBottom w:val="0"/>
              <w:divBdr>
                <w:top w:val="none" w:sz="0" w:space="0" w:color="auto"/>
                <w:left w:val="none" w:sz="0" w:space="0" w:color="auto"/>
                <w:bottom w:val="none" w:sz="0" w:space="0" w:color="auto"/>
                <w:right w:val="none" w:sz="0" w:space="0" w:color="auto"/>
              </w:divBdr>
            </w:div>
          </w:divsChild>
        </w:div>
      </w:divsChild>
    </w:div>
    <w:div w:id="255985836">
      <w:bodyDiv w:val="1"/>
      <w:marLeft w:val="0"/>
      <w:marRight w:val="0"/>
      <w:marTop w:val="0"/>
      <w:marBottom w:val="0"/>
      <w:divBdr>
        <w:top w:val="none" w:sz="0" w:space="0" w:color="auto"/>
        <w:left w:val="none" w:sz="0" w:space="0" w:color="auto"/>
        <w:bottom w:val="none" w:sz="0" w:space="0" w:color="auto"/>
        <w:right w:val="none" w:sz="0" w:space="0" w:color="auto"/>
      </w:divBdr>
      <w:divsChild>
        <w:div w:id="780876354">
          <w:marLeft w:val="0"/>
          <w:marRight w:val="0"/>
          <w:marTop w:val="0"/>
          <w:marBottom w:val="136"/>
          <w:divBdr>
            <w:top w:val="none" w:sz="0" w:space="0" w:color="auto"/>
            <w:left w:val="none" w:sz="0" w:space="0" w:color="auto"/>
            <w:bottom w:val="none" w:sz="0" w:space="0" w:color="auto"/>
            <w:right w:val="none" w:sz="0" w:space="0" w:color="auto"/>
          </w:divBdr>
          <w:divsChild>
            <w:div w:id="1054935178">
              <w:marLeft w:val="136"/>
              <w:marRight w:val="0"/>
              <w:marTop w:val="0"/>
              <w:marBottom w:val="0"/>
              <w:divBdr>
                <w:top w:val="none" w:sz="0" w:space="0" w:color="auto"/>
                <w:left w:val="none" w:sz="0" w:space="0" w:color="auto"/>
                <w:bottom w:val="none" w:sz="0" w:space="0" w:color="auto"/>
                <w:right w:val="none" w:sz="0" w:space="0" w:color="auto"/>
              </w:divBdr>
            </w:div>
          </w:divsChild>
        </w:div>
      </w:divsChild>
    </w:div>
    <w:div w:id="491678551">
      <w:bodyDiv w:val="1"/>
      <w:marLeft w:val="0"/>
      <w:marRight w:val="0"/>
      <w:marTop w:val="0"/>
      <w:marBottom w:val="0"/>
      <w:divBdr>
        <w:top w:val="none" w:sz="0" w:space="0" w:color="auto"/>
        <w:left w:val="none" w:sz="0" w:space="0" w:color="auto"/>
        <w:bottom w:val="none" w:sz="0" w:space="0" w:color="auto"/>
        <w:right w:val="none" w:sz="0" w:space="0" w:color="auto"/>
      </w:divBdr>
      <w:divsChild>
        <w:div w:id="471682654">
          <w:marLeft w:val="0"/>
          <w:marRight w:val="0"/>
          <w:marTop w:val="0"/>
          <w:marBottom w:val="125"/>
          <w:divBdr>
            <w:top w:val="none" w:sz="0" w:space="0" w:color="auto"/>
            <w:left w:val="none" w:sz="0" w:space="0" w:color="auto"/>
            <w:bottom w:val="none" w:sz="0" w:space="0" w:color="auto"/>
            <w:right w:val="none" w:sz="0" w:space="0" w:color="auto"/>
          </w:divBdr>
          <w:divsChild>
            <w:div w:id="651064149">
              <w:marLeft w:val="125"/>
              <w:marRight w:val="0"/>
              <w:marTop w:val="0"/>
              <w:marBottom w:val="0"/>
              <w:divBdr>
                <w:top w:val="none" w:sz="0" w:space="0" w:color="auto"/>
                <w:left w:val="none" w:sz="0" w:space="0" w:color="auto"/>
                <w:bottom w:val="none" w:sz="0" w:space="0" w:color="auto"/>
                <w:right w:val="none" w:sz="0" w:space="0" w:color="auto"/>
              </w:divBdr>
            </w:div>
          </w:divsChild>
        </w:div>
      </w:divsChild>
    </w:div>
    <w:div w:id="591859040">
      <w:bodyDiv w:val="1"/>
      <w:marLeft w:val="0"/>
      <w:marRight w:val="0"/>
      <w:marTop w:val="0"/>
      <w:marBottom w:val="0"/>
      <w:divBdr>
        <w:top w:val="none" w:sz="0" w:space="0" w:color="auto"/>
        <w:left w:val="none" w:sz="0" w:space="0" w:color="auto"/>
        <w:bottom w:val="none" w:sz="0" w:space="0" w:color="auto"/>
        <w:right w:val="none" w:sz="0" w:space="0" w:color="auto"/>
      </w:divBdr>
      <w:divsChild>
        <w:div w:id="503513706">
          <w:marLeft w:val="0"/>
          <w:marRight w:val="0"/>
          <w:marTop w:val="0"/>
          <w:marBottom w:val="125"/>
          <w:divBdr>
            <w:top w:val="none" w:sz="0" w:space="0" w:color="auto"/>
            <w:left w:val="none" w:sz="0" w:space="0" w:color="auto"/>
            <w:bottom w:val="none" w:sz="0" w:space="0" w:color="auto"/>
            <w:right w:val="none" w:sz="0" w:space="0" w:color="auto"/>
          </w:divBdr>
          <w:divsChild>
            <w:div w:id="2121412969">
              <w:marLeft w:val="125"/>
              <w:marRight w:val="0"/>
              <w:marTop w:val="0"/>
              <w:marBottom w:val="0"/>
              <w:divBdr>
                <w:top w:val="none" w:sz="0" w:space="0" w:color="auto"/>
                <w:left w:val="none" w:sz="0" w:space="0" w:color="auto"/>
                <w:bottom w:val="none" w:sz="0" w:space="0" w:color="auto"/>
                <w:right w:val="none" w:sz="0" w:space="0" w:color="auto"/>
              </w:divBdr>
            </w:div>
          </w:divsChild>
        </w:div>
      </w:divsChild>
    </w:div>
    <w:div w:id="613900950">
      <w:bodyDiv w:val="1"/>
      <w:marLeft w:val="0"/>
      <w:marRight w:val="0"/>
      <w:marTop w:val="0"/>
      <w:marBottom w:val="0"/>
      <w:divBdr>
        <w:top w:val="none" w:sz="0" w:space="0" w:color="auto"/>
        <w:left w:val="none" w:sz="0" w:space="0" w:color="auto"/>
        <w:bottom w:val="none" w:sz="0" w:space="0" w:color="auto"/>
        <w:right w:val="none" w:sz="0" w:space="0" w:color="auto"/>
      </w:divBdr>
      <w:divsChild>
        <w:div w:id="1831946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207635">
      <w:bodyDiv w:val="1"/>
      <w:marLeft w:val="0"/>
      <w:marRight w:val="0"/>
      <w:marTop w:val="0"/>
      <w:marBottom w:val="0"/>
      <w:divBdr>
        <w:top w:val="none" w:sz="0" w:space="0" w:color="auto"/>
        <w:left w:val="none" w:sz="0" w:space="0" w:color="auto"/>
        <w:bottom w:val="none" w:sz="0" w:space="0" w:color="auto"/>
        <w:right w:val="none" w:sz="0" w:space="0" w:color="auto"/>
      </w:divBdr>
      <w:divsChild>
        <w:div w:id="944531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278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4D51CC-10F0-448F-8643-4418DDE76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ABC.dot</Template>
  <TotalTime>7</TotalTime>
  <Pages>22</Pages>
  <Words>3831</Words>
  <Characters>21843</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25623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Windows User</cp:lastModifiedBy>
  <cp:revision>2</cp:revision>
  <cp:lastPrinted>2017-10-31T03:59:00Z</cp:lastPrinted>
  <dcterms:created xsi:type="dcterms:W3CDTF">2017-10-31T09:50:00Z</dcterms:created>
  <dcterms:modified xsi:type="dcterms:W3CDTF">2017-10-31T09:50:00Z</dcterms:modified>
</cp:coreProperties>
</file>