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639" w:rsidRDefault="00B737D1">
      <w:pPr>
        <w:pStyle w:val="Heading2"/>
        <w:tabs>
          <w:tab w:val="clear" w:pos="4320"/>
          <w:tab w:val="clear" w:pos="9072"/>
        </w:tabs>
        <w:spacing w:line="360" w:lineRule="auto"/>
        <w:jc w:val="right"/>
        <w:rPr>
          <w:b w:val="0"/>
          <w:sz w:val="28"/>
        </w:rPr>
      </w:pPr>
      <w:r>
        <w:rPr>
          <w:rFonts w:hint="eastAsia"/>
          <w:b w:val="0"/>
          <w:sz w:val="28"/>
        </w:rPr>
        <w:t xml:space="preserve"> </w:t>
      </w:r>
      <w:r w:rsidR="00540639">
        <w:rPr>
          <w:rFonts w:hint="eastAsia"/>
          <w:b w:val="0"/>
          <w:sz w:val="28"/>
        </w:rPr>
        <w:t>D</w:t>
      </w:r>
      <w:r w:rsidR="00540639">
        <w:rPr>
          <w:b w:val="0"/>
          <w:sz w:val="28"/>
        </w:rPr>
        <w:t>C</w:t>
      </w:r>
      <w:r w:rsidR="006C642D">
        <w:rPr>
          <w:rFonts w:hint="eastAsia"/>
          <w:b w:val="0"/>
          <w:sz w:val="28"/>
        </w:rPr>
        <w:t>PI</w:t>
      </w:r>
      <w:r w:rsidR="00540639">
        <w:rPr>
          <w:b w:val="0"/>
          <w:sz w:val="28"/>
        </w:rPr>
        <w:t xml:space="preserve"> </w:t>
      </w:r>
      <w:r w:rsidR="00A16D71">
        <w:rPr>
          <w:rFonts w:hint="eastAsia"/>
          <w:b w:val="0"/>
          <w:sz w:val="28"/>
        </w:rPr>
        <w:t>297</w:t>
      </w:r>
      <w:r w:rsidR="00540639">
        <w:rPr>
          <w:rFonts w:hint="eastAsia"/>
          <w:b w:val="0"/>
          <w:sz w:val="28"/>
        </w:rPr>
        <w:t>/20</w:t>
      </w:r>
      <w:r w:rsidR="006C642D">
        <w:rPr>
          <w:rFonts w:hint="eastAsia"/>
          <w:b w:val="0"/>
          <w:sz w:val="28"/>
        </w:rPr>
        <w:t>10</w:t>
      </w:r>
    </w:p>
    <w:p w:rsidR="00540639" w:rsidRDefault="00540639">
      <w:pPr>
        <w:pStyle w:val="normal3"/>
        <w:tabs>
          <w:tab w:val="clear" w:pos="4320"/>
          <w:tab w:val="clear" w:pos="4500"/>
          <w:tab w:val="clear" w:pos="9000"/>
          <w:tab w:val="clear" w:pos="9072"/>
        </w:tabs>
        <w:overflowPunct/>
        <w:autoSpaceDE/>
        <w:autoSpaceDN/>
        <w:spacing w:line="240" w:lineRule="auto"/>
        <w:rPr>
          <w:rFonts w:eastAsia="SimSun"/>
          <w:lang w:val="en-US"/>
        </w:rPr>
      </w:pPr>
    </w:p>
    <w:p w:rsidR="00540639" w:rsidRDefault="00540639">
      <w:pPr>
        <w:pStyle w:val="normal3"/>
        <w:tabs>
          <w:tab w:val="clear" w:pos="4320"/>
          <w:tab w:val="clear" w:pos="4500"/>
          <w:tab w:val="clear" w:pos="9000"/>
          <w:tab w:val="clear" w:pos="9072"/>
        </w:tabs>
        <w:overflowPunct/>
        <w:autoSpaceDE/>
        <w:autoSpaceDN/>
        <w:spacing w:line="240" w:lineRule="auto"/>
        <w:rPr>
          <w:rFonts w:eastAsia="SimSun"/>
          <w:lang w:val="en-US"/>
        </w:rPr>
        <w:sectPr w:rsidR="00540639" w:rsidSect="006E47BE">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540639" w:rsidRDefault="00540639">
      <w:pPr>
        <w:tabs>
          <w:tab w:val="clear" w:pos="4320"/>
          <w:tab w:val="clear" w:pos="9072"/>
        </w:tabs>
        <w:adjustRightInd w:val="0"/>
        <w:spacing w:line="360" w:lineRule="auto"/>
        <w:jc w:val="center"/>
        <w:rPr>
          <w:rFonts w:hint="eastAsia"/>
          <w:b/>
          <w:bCs/>
        </w:rPr>
      </w:pPr>
      <w:r>
        <w:rPr>
          <w:rFonts w:hint="eastAsia"/>
          <w:b/>
          <w:bCs/>
        </w:rPr>
        <w:t>IN THE DISTRICT COURT OF THE</w:t>
      </w:r>
    </w:p>
    <w:p w:rsidR="00540639" w:rsidRDefault="00540639">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540639" w:rsidRDefault="006C642D">
      <w:pPr>
        <w:tabs>
          <w:tab w:val="clear" w:pos="4320"/>
          <w:tab w:val="clear" w:pos="9072"/>
        </w:tabs>
        <w:adjustRightInd w:val="0"/>
        <w:spacing w:line="360" w:lineRule="auto"/>
        <w:jc w:val="center"/>
        <w:rPr>
          <w:b/>
        </w:rPr>
      </w:pPr>
      <w:r w:rsidRPr="006E47BE">
        <w:rPr>
          <w:rFonts w:hint="eastAsia"/>
          <w:b/>
        </w:rPr>
        <w:t xml:space="preserve">PERSONAL INJURIES ACTION </w:t>
      </w:r>
      <w:r w:rsidR="00540639" w:rsidRPr="006E47BE">
        <w:rPr>
          <w:b/>
        </w:rPr>
        <w:t>N</w:t>
      </w:r>
      <w:r w:rsidR="00540639" w:rsidRPr="006E47BE">
        <w:rPr>
          <w:rFonts w:hint="eastAsia"/>
          <w:b/>
        </w:rPr>
        <w:t>O.</w:t>
      </w:r>
      <w:r w:rsidR="00540639" w:rsidRPr="006E47BE">
        <w:rPr>
          <w:b/>
        </w:rPr>
        <w:t xml:space="preserve"> </w:t>
      </w:r>
      <w:r w:rsidR="00A16D71" w:rsidRPr="006E47BE">
        <w:rPr>
          <w:rFonts w:hint="eastAsia"/>
          <w:b/>
        </w:rPr>
        <w:t>297</w:t>
      </w:r>
      <w:r w:rsidR="00540639" w:rsidRPr="006E47BE">
        <w:rPr>
          <w:rFonts w:hint="eastAsia"/>
          <w:b/>
        </w:rPr>
        <w:t xml:space="preserve"> OF 20</w:t>
      </w:r>
      <w:r w:rsidRPr="006E47BE">
        <w:rPr>
          <w:rFonts w:hint="eastAsia"/>
          <w:b/>
        </w:rPr>
        <w:t>10</w:t>
      </w:r>
    </w:p>
    <w:p w:rsidR="006E47BE" w:rsidRPr="006E47BE" w:rsidRDefault="006E47BE">
      <w:pPr>
        <w:tabs>
          <w:tab w:val="clear" w:pos="4320"/>
          <w:tab w:val="clear" w:pos="9072"/>
        </w:tabs>
        <w:adjustRightInd w:val="0"/>
        <w:spacing w:line="360" w:lineRule="auto"/>
        <w:jc w:val="center"/>
        <w:rPr>
          <w:b/>
        </w:rPr>
      </w:pPr>
    </w:p>
    <w:p w:rsidR="00540639" w:rsidRDefault="00540639">
      <w:pPr>
        <w:tabs>
          <w:tab w:val="clear" w:pos="4320"/>
          <w:tab w:val="clear" w:pos="9072"/>
        </w:tabs>
        <w:adjustRightInd w:val="0"/>
        <w:spacing w:line="360" w:lineRule="auto"/>
        <w:jc w:val="center"/>
        <w:rPr>
          <w:rFonts w:hint="eastAsia"/>
        </w:rPr>
      </w:pPr>
      <w:r>
        <w:rPr>
          <w:rFonts w:hint="eastAsia"/>
        </w:rPr>
        <w:t>--------------------</w:t>
      </w:r>
    </w:p>
    <w:tbl>
      <w:tblPr>
        <w:tblW w:w="8883" w:type="dxa"/>
        <w:tblInd w:w="108" w:type="dxa"/>
        <w:tblLayout w:type="fixed"/>
        <w:tblLook w:val="0000" w:firstRow="0" w:lastRow="0" w:firstColumn="0" w:lastColumn="0" w:noHBand="0" w:noVBand="0"/>
      </w:tblPr>
      <w:tblGrid>
        <w:gridCol w:w="1620"/>
        <w:gridCol w:w="5130"/>
        <w:gridCol w:w="2133"/>
      </w:tblGrid>
      <w:tr w:rsidR="00540639" w:rsidTr="006E47BE">
        <w:tblPrEx>
          <w:tblCellMar>
            <w:top w:w="0" w:type="dxa"/>
            <w:bottom w:w="0" w:type="dxa"/>
          </w:tblCellMar>
        </w:tblPrEx>
        <w:tc>
          <w:tcPr>
            <w:tcW w:w="1620" w:type="dxa"/>
          </w:tcPr>
          <w:p w:rsidR="00540639" w:rsidRDefault="00540639">
            <w:pPr>
              <w:tabs>
                <w:tab w:val="clear" w:pos="4320"/>
                <w:tab w:val="clear" w:pos="9072"/>
              </w:tabs>
              <w:snapToGrid/>
              <w:spacing w:line="360" w:lineRule="auto"/>
            </w:pPr>
            <w:r>
              <w:t>BETWEEN</w:t>
            </w:r>
          </w:p>
        </w:tc>
        <w:tc>
          <w:tcPr>
            <w:tcW w:w="5130" w:type="dxa"/>
          </w:tcPr>
          <w:p w:rsidR="00540639" w:rsidRDefault="00540639">
            <w:pPr>
              <w:pStyle w:val="normal2"/>
              <w:tabs>
                <w:tab w:val="clear" w:pos="1411"/>
                <w:tab w:val="clear" w:pos="4320"/>
                <w:tab w:val="clear" w:pos="9072"/>
              </w:tabs>
              <w:overflowPunct/>
              <w:autoSpaceDE/>
              <w:autoSpaceDN/>
              <w:snapToGrid/>
              <w:rPr>
                <w:rFonts w:eastAsia="SimSun" w:hint="eastAsia"/>
                <w:caps w:val="0"/>
                <w:lang w:val="en-US"/>
              </w:rPr>
            </w:pPr>
          </w:p>
          <w:p w:rsidR="00540639" w:rsidRDefault="00A16D71">
            <w:pPr>
              <w:pStyle w:val="normal3"/>
              <w:tabs>
                <w:tab w:val="clear" w:pos="1440"/>
                <w:tab w:val="clear" w:pos="4320"/>
                <w:tab w:val="clear" w:pos="4500"/>
                <w:tab w:val="clear" w:pos="9000"/>
                <w:tab w:val="clear" w:pos="9072"/>
              </w:tabs>
              <w:overflowPunct/>
              <w:autoSpaceDE/>
              <w:autoSpaceDN/>
              <w:snapToGrid/>
              <w:jc w:val="center"/>
              <w:rPr>
                <w:rFonts w:hint="eastAsia"/>
              </w:rPr>
            </w:pPr>
            <w:r>
              <w:rPr>
                <w:rFonts w:eastAsia="SimSun" w:hint="eastAsia"/>
              </w:rPr>
              <w:t>L</w:t>
            </w:r>
            <w:r w:rsidR="006C642D">
              <w:rPr>
                <w:rFonts w:eastAsia="SimSun" w:hint="eastAsia"/>
              </w:rPr>
              <w:t xml:space="preserve">EUNG </w:t>
            </w:r>
            <w:r>
              <w:rPr>
                <w:rFonts w:eastAsia="SimSun" w:hint="eastAsia"/>
              </w:rPr>
              <w:t>KANG WAI</w:t>
            </w:r>
          </w:p>
          <w:p w:rsidR="00540639" w:rsidRDefault="00540639">
            <w:pPr>
              <w:pStyle w:val="normal2"/>
              <w:tabs>
                <w:tab w:val="clear" w:pos="1411"/>
                <w:tab w:val="clear" w:pos="4320"/>
                <w:tab w:val="clear" w:pos="9072"/>
              </w:tabs>
              <w:overflowPunct/>
              <w:autoSpaceDE/>
              <w:autoSpaceDN/>
              <w:snapToGrid/>
              <w:spacing w:line="240" w:lineRule="auto"/>
            </w:pPr>
          </w:p>
        </w:tc>
        <w:tc>
          <w:tcPr>
            <w:tcW w:w="2133" w:type="dxa"/>
          </w:tcPr>
          <w:p w:rsidR="00540639" w:rsidRDefault="00540639">
            <w:pPr>
              <w:pStyle w:val="Heading2"/>
              <w:tabs>
                <w:tab w:val="clear" w:pos="4320"/>
                <w:tab w:val="clear" w:pos="9072"/>
              </w:tabs>
              <w:spacing w:line="360" w:lineRule="auto"/>
              <w:ind w:left="375"/>
              <w:jc w:val="right"/>
              <w:rPr>
                <w:rFonts w:hint="eastAsia"/>
                <w:b w:val="0"/>
                <w:bCs w:val="0"/>
                <w:sz w:val="28"/>
              </w:rPr>
            </w:pPr>
          </w:p>
          <w:p w:rsidR="00540639" w:rsidRDefault="00A16D71">
            <w:pPr>
              <w:pStyle w:val="Heading6"/>
              <w:spacing w:line="360" w:lineRule="auto"/>
              <w:ind w:left="176"/>
              <w:rPr>
                <w:rFonts w:hint="eastAsia"/>
                <w:sz w:val="28"/>
              </w:rPr>
            </w:pPr>
            <w:r>
              <w:rPr>
                <w:rFonts w:hint="eastAsia"/>
                <w:sz w:val="28"/>
              </w:rPr>
              <w:t xml:space="preserve"> </w:t>
            </w:r>
            <w:r w:rsidR="00540639">
              <w:rPr>
                <w:rFonts w:hint="eastAsia"/>
                <w:sz w:val="28"/>
              </w:rPr>
              <w:t>Plaintiff</w:t>
            </w:r>
          </w:p>
        </w:tc>
      </w:tr>
      <w:tr w:rsidR="00540639" w:rsidTr="006E47BE">
        <w:tblPrEx>
          <w:tblCellMar>
            <w:top w:w="0" w:type="dxa"/>
            <w:bottom w:w="0" w:type="dxa"/>
          </w:tblCellMar>
        </w:tblPrEx>
        <w:tc>
          <w:tcPr>
            <w:tcW w:w="1620" w:type="dxa"/>
          </w:tcPr>
          <w:p w:rsidR="00540639" w:rsidRDefault="00540639">
            <w:pPr>
              <w:tabs>
                <w:tab w:val="clear" w:pos="4320"/>
                <w:tab w:val="clear" w:pos="9072"/>
              </w:tabs>
              <w:snapToGrid/>
              <w:spacing w:line="360" w:lineRule="auto"/>
            </w:pPr>
          </w:p>
        </w:tc>
        <w:tc>
          <w:tcPr>
            <w:tcW w:w="5130" w:type="dxa"/>
          </w:tcPr>
          <w:p w:rsidR="00540639" w:rsidRDefault="00540639">
            <w:pPr>
              <w:jc w:val="center"/>
              <w:rPr>
                <w:rFonts w:hint="eastAsia"/>
              </w:rPr>
            </w:pPr>
            <w:r>
              <w:rPr>
                <w:rFonts w:hint="eastAsia"/>
              </w:rPr>
              <w:t>a</w:t>
            </w:r>
            <w:r>
              <w:t>nd</w:t>
            </w:r>
          </w:p>
          <w:p w:rsidR="00540639" w:rsidRDefault="00540639">
            <w:pPr>
              <w:pStyle w:val="normal2"/>
              <w:tabs>
                <w:tab w:val="clear" w:pos="1411"/>
              </w:tabs>
              <w:overflowPunct/>
              <w:autoSpaceDE/>
              <w:autoSpaceDN/>
              <w:spacing w:line="240" w:lineRule="auto"/>
              <w:rPr>
                <w:rFonts w:eastAsia="SimSun" w:hint="eastAsia"/>
                <w:caps w:val="0"/>
                <w:lang w:val="en-US"/>
              </w:rPr>
            </w:pPr>
          </w:p>
        </w:tc>
        <w:tc>
          <w:tcPr>
            <w:tcW w:w="2133" w:type="dxa"/>
          </w:tcPr>
          <w:p w:rsidR="00540639" w:rsidRDefault="00540639">
            <w:pPr>
              <w:tabs>
                <w:tab w:val="clear" w:pos="4320"/>
                <w:tab w:val="clear" w:pos="9072"/>
              </w:tabs>
              <w:snapToGrid/>
              <w:spacing w:line="360" w:lineRule="auto"/>
              <w:ind w:left="375"/>
              <w:jc w:val="right"/>
            </w:pPr>
          </w:p>
        </w:tc>
      </w:tr>
      <w:tr w:rsidR="00540639" w:rsidTr="006E47BE">
        <w:tblPrEx>
          <w:tblCellMar>
            <w:top w:w="0" w:type="dxa"/>
            <w:bottom w:w="0" w:type="dxa"/>
          </w:tblCellMar>
        </w:tblPrEx>
        <w:tc>
          <w:tcPr>
            <w:tcW w:w="1620" w:type="dxa"/>
          </w:tcPr>
          <w:p w:rsidR="00540639" w:rsidRDefault="00540639">
            <w:pPr>
              <w:tabs>
                <w:tab w:val="clear" w:pos="4320"/>
                <w:tab w:val="clear" w:pos="9072"/>
              </w:tabs>
              <w:snapToGrid/>
            </w:pPr>
          </w:p>
        </w:tc>
        <w:tc>
          <w:tcPr>
            <w:tcW w:w="5130" w:type="dxa"/>
          </w:tcPr>
          <w:p w:rsidR="006E47BE" w:rsidRDefault="00A16D71">
            <w:pPr>
              <w:pStyle w:val="normal3"/>
              <w:tabs>
                <w:tab w:val="clear" w:pos="1440"/>
                <w:tab w:val="clear" w:pos="4320"/>
                <w:tab w:val="clear" w:pos="4500"/>
                <w:tab w:val="clear" w:pos="9000"/>
                <w:tab w:val="clear" w:pos="9072"/>
              </w:tabs>
              <w:overflowPunct/>
              <w:autoSpaceDE/>
              <w:autoSpaceDN/>
              <w:snapToGrid/>
              <w:spacing w:line="240" w:lineRule="auto"/>
              <w:jc w:val="center"/>
              <w:rPr>
                <w:rFonts w:eastAsia="SimSun"/>
              </w:rPr>
            </w:pPr>
            <w:r>
              <w:rPr>
                <w:rFonts w:eastAsia="SimSun" w:hint="eastAsia"/>
              </w:rPr>
              <w:t xml:space="preserve">DUSSMANN SERVICE HONG KONG LIMITED </w:t>
            </w:r>
            <w:r w:rsidR="006E47BE">
              <w:rPr>
                <w:rFonts w:eastAsia="SimSun"/>
              </w:rPr>
              <w:t>formerly known as</w:t>
            </w:r>
          </w:p>
          <w:p w:rsidR="00540639" w:rsidRDefault="00A16D71">
            <w:pPr>
              <w:pStyle w:val="normal3"/>
              <w:tabs>
                <w:tab w:val="clear" w:pos="1440"/>
                <w:tab w:val="clear" w:pos="4320"/>
                <w:tab w:val="clear" w:pos="4500"/>
                <w:tab w:val="clear" w:pos="9000"/>
                <w:tab w:val="clear" w:pos="9072"/>
              </w:tabs>
              <w:overflowPunct/>
              <w:autoSpaceDE/>
              <w:autoSpaceDN/>
              <w:snapToGrid/>
              <w:spacing w:line="240" w:lineRule="auto"/>
              <w:jc w:val="center"/>
              <w:rPr>
                <w:rFonts w:ascii="SimSun" w:eastAsia="SimSun" w:hAnsi="SimSun" w:hint="eastAsia"/>
              </w:rPr>
            </w:pPr>
            <w:r>
              <w:rPr>
                <w:rFonts w:eastAsia="SimSun" w:hint="eastAsia"/>
              </w:rPr>
              <w:t>P.</w:t>
            </w:r>
            <w:r w:rsidR="006E47BE">
              <w:rPr>
                <w:rFonts w:eastAsia="SimSun"/>
              </w:rPr>
              <w:t xml:space="preserve"> </w:t>
            </w:r>
            <w:r>
              <w:rPr>
                <w:rFonts w:eastAsia="SimSun" w:hint="eastAsia"/>
              </w:rPr>
              <w:t>DUSSMANN HONG KONG LIMITED</w:t>
            </w:r>
          </w:p>
          <w:p w:rsidR="00540639" w:rsidRDefault="00540639">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540639" w:rsidRDefault="00540639">
            <w:pPr>
              <w:pStyle w:val="Heading6"/>
              <w:spacing w:line="240" w:lineRule="auto"/>
              <w:ind w:left="176"/>
              <w:rPr>
                <w:rFonts w:hint="eastAsia"/>
                <w:sz w:val="28"/>
              </w:rPr>
            </w:pPr>
            <w:r>
              <w:rPr>
                <w:rFonts w:hint="eastAsia"/>
                <w:sz w:val="28"/>
              </w:rPr>
              <w:t>Defendant</w:t>
            </w:r>
          </w:p>
        </w:tc>
      </w:tr>
      <w:tr w:rsidR="00540639" w:rsidTr="006E47BE">
        <w:tblPrEx>
          <w:tblCellMar>
            <w:top w:w="0" w:type="dxa"/>
            <w:bottom w:w="0" w:type="dxa"/>
          </w:tblCellMar>
        </w:tblPrEx>
        <w:tc>
          <w:tcPr>
            <w:tcW w:w="1620" w:type="dxa"/>
          </w:tcPr>
          <w:p w:rsidR="00540639" w:rsidRDefault="00540639">
            <w:pPr>
              <w:tabs>
                <w:tab w:val="clear" w:pos="4320"/>
                <w:tab w:val="clear" w:pos="9072"/>
              </w:tabs>
              <w:snapToGrid/>
            </w:pPr>
          </w:p>
        </w:tc>
        <w:tc>
          <w:tcPr>
            <w:tcW w:w="5130" w:type="dxa"/>
          </w:tcPr>
          <w:p w:rsidR="00540639" w:rsidRDefault="00540639">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3B39AE" w:rsidRPr="003B39AE" w:rsidRDefault="003B39AE" w:rsidP="003B39AE">
            <w:pPr>
              <w:pStyle w:val="Heading6"/>
              <w:spacing w:line="240" w:lineRule="auto"/>
              <w:ind w:left="176"/>
              <w:rPr>
                <w:rFonts w:hint="eastAsia"/>
              </w:rPr>
            </w:pPr>
          </w:p>
        </w:tc>
      </w:tr>
    </w:tbl>
    <w:p w:rsidR="00540639" w:rsidRDefault="00540639">
      <w:pPr>
        <w:tabs>
          <w:tab w:val="clear" w:pos="1440"/>
          <w:tab w:val="clear" w:pos="4320"/>
          <w:tab w:val="clear" w:pos="9072"/>
          <w:tab w:val="left" w:pos="3080"/>
          <w:tab w:val="left" w:pos="7140"/>
        </w:tabs>
        <w:ind w:right="-94"/>
        <w:jc w:val="center"/>
        <w:rPr>
          <w:rFonts w:hint="eastAsia"/>
          <w:caps/>
        </w:rPr>
      </w:pPr>
      <w:r>
        <w:rPr>
          <w:rFonts w:hint="eastAsia"/>
          <w:caps/>
        </w:rPr>
        <w:t>---------------------</w:t>
      </w:r>
    </w:p>
    <w:p w:rsidR="00540639" w:rsidRDefault="00540639">
      <w:pPr>
        <w:tabs>
          <w:tab w:val="clear" w:pos="4320"/>
          <w:tab w:val="clear" w:pos="9072"/>
        </w:tabs>
        <w:adjustRightInd w:val="0"/>
        <w:spacing w:line="360" w:lineRule="auto"/>
        <w:rPr>
          <w:rFonts w:hint="eastAsia"/>
        </w:rPr>
      </w:pPr>
      <w:r>
        <w:rPr>
          <w:rFonts w:hint="eastAsia"/>
        </w:rPr>
        <w:t xml:space="preserve"> </w:t>
      </w:r>
    </w:p>
    <w:p w:rsidR="00540639" w:rsidRDefault="00540639">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w:t>
      </w:r>
      <w:r w:rsidR="003979E0">
        <w:rPr>
          <w:rFonts w:hint="eastAsia"/>
        </w:rPr>
        <w:t xml:space="preserve">Deputy District Judge </w:t>
      </w:r>
      <w:r w:rsidR="005802C4">
        <w:rPr>
          <w:rFonts w:hint="eastAsia"/>
        </w:rPr>
        <w:t>Shipp</w:t>
      </w:r>
      <w:r>
        <w:t xml:space="preserve"> </w:t>
      </w:r>
      <w:r>
        <w:rPr>
          <w:rFonts w:hint="eastAsia"/>
        </w:rPr>
        <w:t>in Chambers (open to public)</w:t>
      </w:r>
    </w:p>
    <w:p w:rsidR="00540639" w:rsidRDefault="00540639">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rsidR="00A16D71">
        <w:rPr>
          <w:rFonts w:hint="eastAsia"/>
        </w:rPr>
        <w:t>23</w:t>
      </w:r>
      <w:r w:rsidR="003979E0">
        <w:rPr>
          <w:rFonts w:hint="eastAsia"/>
        </w:rPr>
        <w:t xml:space="preserve"> </w:t>
      </w:r>
      <w:r w:rsidR="00A16D71">
        <w:rPr>
          <w:rFonts w:hint="eastAsia"/>
        </w:rPr>
        <w:t>Septem</w:t>
      </w:r>
      <w:r w:rsidR="003979E0">
        <w:rPr>
          <w:rFonts w:hint="eastAsia"/>
        </w:rPr>
        <w:t>ber 2011</w:t>
      </w:r>
    </w:p>
    <w:p w:rsidR="00540639" w:rsidRDefault="00540639">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own d</w:t>
      </w:r>
      <w:r>
        <w:t>ecision</w:t>
      </w:r>
      <w:r>
        <w:rPr>
          <w:rFonts w:hint="eastAsia"/>
        </w:rPr>
        <w:t xml:space="preserve"> </w:t>
      </w:r>
      <w:r>
        <w:t xml:space="preserve"> </w:t>
      </w:r>
      <w:r>
        <w:rPr>
          <w:rFonts w:hint="eastAsia"/>
        </w:rPr>
        <w:t>:</w:t>
      </w:r>
      <w:r>
        <w:t xml:space="preserve">  </w:t>
      </w:r>
      <w:r w:rsidR="003979E0">
        <w:rPr>
          <w:rFonts w:hint="eastAsia"/>
        </w:rPr>
        <w:t xml:space="preserve">  </w:t>
      </w:r>
      <w:r w:rsidR="00736FDA">
        <w:rPr>
          <w:rFonts w:hint="eastAsia"/>
        </w:rPr>
        <w:t>1</w:t>
      </w:r>
      <w:r w:rsidR="0039200C">
        <w:rPr>
          <w:rFonts w:hint="eastAsia"/>
        </w:rPr>
        <w:t>1</w:t>
      </w:r>
      <w:r w:rsidR="00736FDA">
        <w:rPr>
          <w:rFonts w:hint="eastAsia"/>
        </w:rPr>
        <w:t xml:space="preserve"> </w:t>
      </w:r>
      <w:r w:rsidRPr="00736FDA">
        <w:rPr>
          <w:rFonts w:hint="eastAsia"/>
        </w:rPr>
        <w:t>October 2</w:t>
      </w:r>
      <w:r w:rsidRPr="00736FDA">
        <w:t>0</w:t>
      </w:r>
      <w:r w:rsidR="003979E0" w:rsidRPr="00736FDA">
        <w:rPr>
          <w:rFonts w:hint="eastAsia"/>
        </w:rPr>
        <w:t>11</w:t>
      </w:r>
    </w:p>
    <w:p w:rsidR="00540639" w:rsidRDefault="00540639">
      <w:pPr>
        <w:pStyle w:val="normal3"/>
        <w:tabs>
          <w:tab w:val="clear" w:pos="4320"/>
          <w:tab w:val="clear" w:pos="4500"/>
          <w:tab w:val="clear" w:pos="9000"/>
          <w:tab w:val="clear" w:pos="9072"/>
        </w:tabs>
        <w:overflowPunct/>
        <w:autoSpaceDE/>
        <w:autoSpaceDN/>
        <w:rPr>
          <w:rFonts w:eastAsia="SimSun" w:hint="eastAsia"/>
          <w:lang w:val="en-US"/>
        </w:rPr>
      </w:pPr>
    </w:p>
    <w:p w:rsidR="00540639" w:rsidRDefault="00540639">
      <w:pPr>
        <w:pStyle w:val="Heading1"/>
        <w:jc w:val="center"/>
        <w:rPr>
          <w:rFonts w:ascii="Times New Roman" w:hAnsi="Times New Roman"/>
          <w:b w:val="0"/>
          <w:bCs/>
          <w:u w:val="single"/>
        </w:rPr>
      </w:pPr>
      <w:r>
        <w:rPr>
          <w:rFonts w:ascii="Times New Roman" w:hAnsi="Times New Roman"/>
          <w:b w:val="0"/>
          <w:bCs/>
          <w:u w:val="single"/>
        </w:rPr>
        <w:t>DECISION</w:t>
      </w:r>
    </w:p>
    <w:p w:rsidR="00540639" w:rsidRDefault="00540639">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szCs w:val="24"/>
          <w:lang w:val="en-US"/>
        </w:rPr>
      </w:pPr>
    </w:p>
    <w:p w:rsidR="00264694" w:rsidRDefault="00264694">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szCs w:val="24"/>
          <w:lang w:val="en-US"/>
        </w:rPr>
      </w:pPr>
    </w:p>
    <w:p w:rsidR="005802C4" w:rsidRPr="00A16D71" w:rsidRDefault="00BD7F6C" w:rsidP="006E47BE">
      <w:pPr>
        <w:tabs>
          <w:tab w:val="clear" w:pos="1440"/>
          <w:tab w:val="left" w:pos="1080"/>
        </w:tabs>
        <w:spacing w:line="360" w:lineRule="auto"/>
        <w:jc w:val="both"/>
      </w:pPr>
      <w:r>
        <w:rPr>
          <w:rFonts w:hint="eastAsia"/>
        </w:rPr>
        <w:t>1.</w:t>
      </w:r>
      <w:r>
        <w:rPr>
          <w:rFonts w:hint="eastAsia"/>
        </w:rPr>
        <w:tab/>
      </w:r>
      <w:r w:rsidR="005802C4" w:rsidRPr="00A16D71">
        <w:t>This is an application by the plaintiff to seek leave to appeal to the Court of Appeal from the Order dated 29 July 2011.  The factual background of this case has been sufficiently set out in my Ruling of 29 July 2011.  I take this opportunity to set out some of the relevant background of this case which was raised during the hearing on 23 Se</w:t>
      </w:r>
      <w:r w:rsidR="006E47BE">
        <w:t>p</w:t>
      </w:r>
      <w:r w:rsidR="005802C4" w:rsidRPr="00A16D71">
        <w:t>t</w:t>
      </w:r>
      <w:r w:rsidR="006E47BE">
        <w:t>e</w:t>
      </w:r>
      <w:r w:rsidR="005802C4" w:rsidRPr="00A16D71">
        <w:t>mber</w:t>
      </w:r>
      <w:r w:rsidR="006E47BE">
        <w:t xml:space="preserve"> </w:t>
      </w:r>
      <w:r w:rsidR="005802C4" w:rsidRPr="00A16D71">
        <w:t>2011.</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2.</w:t>
      </w:r>
      <w:r>
        <w:rPr>
          <w:rFonts w:hint="eastAsia"/>
        </w:rPr>
        <w:tab/>
      </w:r>
      <w:r w:rsidR="005802C4" w:rsidRPr="00A16D71">
        <w:t>The following was pleaded in paragraph 2 of the Statement of Claim:-</w:t>
      </w:r>
    </w:p>
    <w:p w:rsidR="005802C4" w:rsidRPr="00A16D71" w:rsidRDefault="005802C4" w:rsidP="006E47BE">
      <w:pPr>
        <w:tabs>
          <w:tab w:val="clear" w:pos="1440"/>
          <w:tab w:val="left" w:pos="1080"/>
        </w:tabs>
        <w:spacing w:line="360" w:lineRule="auto"/>
        <w:jc w:val="both"/>
      </w:pPr>
    </w:p>
    <w:p w:rsidR="005802C4" w:rsidRPr="00A16D71" w:rsidRDefault="005802C4" w:rsidP="006E47BE">
      <w:pPr>
        <w:tabs>
          <w:tab w:val="clear" w:pos="1440"/>
          <w:tab w:val="left" w:pos="1080"/>
        </w:tabs>
        <w:spacing w:line="360" w:lineRule="auto"/>
        <w:ind w:left="1080" w:right="32"/>
        <w:jc w:val="both"/>
      </w:pPr>
      <w:r w:rsidRPr="00A16D71">
        <w:t>“As a result of the Accident, the Plaintiff suffered serious injuries to his back and left shoulder and subsequently developed post-traumatic stress disorder”</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3.</w:t>
      </w:r>
      <w:r>
        <w:rPr>
          <w:rFonts w:hint="eastAsia"/>
        </w:rPr>
        <w:tab/>
      </w:r>
      <w:r w:rsidR="005802C4" w:rsidRPr="00A16D71">
        <w:t>It was on this basis that the plaintiff sought leave by way of summons on 11 March 2011 from Master J. Chow to adduce psychiatric evidence.  Master J. Chow dismissed the application on 25 May 2011.  The defendant appealed and the appeal was heard before me on 29 July 2011.  I dismissed the appeal for the reasons set out in my Ruling.  During the hearing on 29 July 2011, the defendant’s arguments have shifted from PTSD to depression i.e. the defendant was suffering from depression rather than PTSD.</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4.</w:t>
      </w:r>
      <w:r>
        <w:rPr>
          <w:rFonts w:hint="eastAsia"/>
        </w:rPr>
        <w:tab/>
      </w:r>
      <w:r w:rsidR="005802C4" w:rsidRPr="00A16D71">
        <w:t>The defendant’s arguments have shifted again, albeit not drastically, that by reason of the pain caused by the accident, the defendant was/is suffering from depression.  Thus there is a causal link between the accident and the defendant’s depression.  Mr. Chan concedes there is no diagnosis of PTSD.</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5.</w:t>
      </w:r>
      <w:r>
        <w:rPr>
          <w:rFonts w:hint="eastAsia"/>
        </w:rPr>
        <w:tab/>
      </w:r>
      <w:r w:rsidR="005802C4" w:rsidRPr="00A16D71">
        <w:t xml:space="preserve">Mr. Chan argues that the defendant had been diagnosed with recurrent depressive disorder, moderate with somatic syndrome by Dr. Cheng on 19 August 2010.  Mr. Chan says this is attributed to the pain caused by the accident and I was taken to paragraph 3 of the report of Ms. Valda Cho, a clinical psychologist at Caritas Medical Centre, where she </w:t>
      </w:r>
      <w:r w:rsidR="005802C4" w:rsidRPr="00A16D71">
        <w:lastRenderedPageBreak/>
        <w:t xml:space="preserve">referred to the defendant’s difficulties adjusting to the pain.  However, Ms. Valda Cho did not say the defendant was suffering from depression.  </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6.</w:t>
      </w:r>
      <w:r>
        <w:rPr>
          <w:rFonts w:hint="eastAsia"/>
        </w:rPr>
        <w:tab/>
      </w:r>
      <w:r w:rsidR="005802C4" w:rsidRPr="00A16D71">
        <w:t xml:space="preserve">Mr. Chan also referred to several psychiatric reports prepared by Dr. Cheng.  Mr. Chan submits that looking at these reports at face value, one should discern that the depression was caused by the pain and the pain was caused by the accident.  Thus, there is causation.  </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7.</w:t>
      </w:r>
      <w:r>
        <w:rPr>
          <w:rFonts w:hint="eastAsia"/>
        </w:rPr>
        <w:tab/>
      </w:r>
      <w:r w:rsidR="005802C4" w:rsidRPr="00A16D71">
        <w:t xml:space="preserve">Mr. Chan referred to paragraphs 18 and 19 of the case of Farman Khan v Lau Lai Hong HCPI 850/2008, 29/4/2010 Fung J (unreported), in support of his submission that the court should order psychiatric reports on whether the accident is a possible cause for the depression.  </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8.</w:t>
      </w:r>
      <w:r>
        <w:rPr>
          <w:rFonts w:hint="eastAsia"/>
        </w:rPr>
        <w:tab/>
      </w:r>
      <w:r w:rsidR="005802C4" w:rsidRPr="00A16D71">
        <w:t xml:space="preserve">The case of Farman Khan is of no assistance to Mr. Chan.  One should look at the case of Farman Khan in its own factual context.   The court did not order a full expert opinion in that case but simply asked the plaintiff to consult his treatment doctors to see if there is some explanation of a possible link between the accident  and other ailments of the plaintiff.  </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9.</w:t>
      </w:r>
      <w:r>
        <w:rPr>
          <w:rFonts w:hint="eastAsia"/>
        </w:rPr>
        <w:tab/>
      </w:r>
      <w:r w:rsidR="005802C4" w:rsidRPr="00A16D71">
        <w:t>Mr. Cheng for the defendant referred to the case summaries prepared by Dr. Cheng.  Dr. Cheng first saw the plaintiff on 23 February 2010.  According to Dr. Cheng’s notes, the plaintiff had no depressive features in the first 2 years after the accident despite experiencing some degree of pain.  It was only in 2009 that the plaintiff began to have “depressive features” because he was bothered by financial problems.</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10.</w:t>
      </w:r>
      <w:r>
        <w:rPr>
          <w:rFonts w:hint="eastAsia"/>
        </w:rPr>
        <w:tab/>
      </w:r>
      <w:r w:rsidR="005802C4" w:rsidRPr="00A16D71">
        <w:t xml:space="preserve">I was also reminded by Mr. Cheng of the high threshold required in applications of this nature.  In light of paragraph 9 herein, I am not convinced I have erred in the exercise of my discretion.  I am not convinced that the plaintiff has a prospect of success, let alone a high prospect of success in his intended appeal.  </w:t>
      </w:r>
    </w:p>
    <w:p w:rsidR="005802C4" w:rsidRPr="00A16D71" w:rsidRDefault="005802C4" w:rsidP="006E47BE">
      <w:pPr>
        <w:tabs>
          <w:tab w:val="clear" w:pos="1440"/>
          <w:tab w:val="left" w:pos="1080"/>
        </w:tabs>
        <w:spacing w:line="360" w:lineRule="auto"/>
        <w:jc w:val="both"/>
      </w:pPr>
    </w:p>
    <w:p w:rsidR="005802C4" w:rsidRPr="00A16D71" w:rsidRDefault="00BD7F6C" w:rsidP="006E47BE">
      <w:pPr>
        <w:tabs>
          <w:tab w:val="clear" w:pos="1440"/>
          <w:tab w:val="left" w:pos="1080"/>
        </w:tabs>
        <w:spacing w:line="360" w:lineRule="auto"/>
        <w:jc w:val="both"/>
      </w:pPr>
      <w:r>
        <w:rPr>
          <w:rFonts w:hint="eastAsia"/>
        </w:rPr>
        <w:t>11.</w:t>
      </w:r>
      <w:r>
        <w:rPr>
          <w:rFonts w:hint="eastAsia"/>
        </w:rPr>
        <w:tab/>
      </w:r>
      <w:r w:rsidR="005802C4" w:rsidRPr="00A16D71">
        <w:t>Accordingly, the application is dismissed with costs to the defendant.  The plaintiff’s costs are to be taxed in accordance with Legal Aid Regulations.  The costs order will be made absolute within 14 days.</w:t>
      </w:r>
    </w:p>
    <w:p w:rsidR="00794EA9" w:rsidRDefault="00794EA9" w:rsidP="006E47BE">
      <w:pPr>
        <w:pStyle w:val="ListParagraph"/>
        <w:jc w:val="both"/>
      </w:pPr>
    </w:p>
    <w:p w:rsidR="00325D22" w:rsidRDefault="00325D22" w:rsidP="006E47BE">
      <w:pPr>
        <w:tabs>
          <w:tab w:val="clear" w:pos="4320"/>
          <w:tab w:val="clear" w:pos="9072"/>
        </w:tabs>
        <w:spacing w:line="360" w:lineRule="auto"/>
        <w:jc w:val="both"/>
        <w:rPr>
          <w:rFonts w:hint="eastAsia"/>
        </w:rPr>
      </w:pPr>
    </w:p>
    <w:p w:rsidR="00223532" w:rsidRDefault="00223532" w:rsidP="006E47BE">
      <w:pPr>
        <w:tabs>
          <w:tab w:val="clear" w:pos="4320"/>
          <w:tab w:val="clear" w:pos="9072"/>
        </w:tabs>
        <w:spacing w:line="360" w:lineRule="auto"/>
        <w:jc w:val="both"/>
      </w:pPr>
    </w:p>
    <w:p w:rsidR="00223532" w:rsidRDefault="00223532" w:rsidP="006E47BE">
      <w:pPr>
        <w:pStyle w:val="BodyText"/>
        <w:tabs>
          <w:tab w:val="center" w:pos="6480"/>
        </w:tabs>
        <w:spacing w:line="240" w:lineRule="auto"/>
        <w:jc w:val="both"/>
        <w:rPr>
          <w:rFonts w:hint="eastAsia"/>
        </w:rPr>
      </w:pPr>
    </w:p>
    <w:p w:rsidR="00540639" w:rsidRDefault="00540639" w:rsidP="006E47BE">
      <w:pPr>
        <w:pStyle w:val="BodyText"/>
        <w:tabs>
          <w:tab w:val="center" w:pos="6480"/>
        </w:tabs>
        <w:spacing w:line="240" w:lineRule="auto"/>
        <w:jc w:val="both"/>
        <w:rPr>
          <w:rFonts w:hint="eastAsia"/>
        </w:rPr>
      </w:pPr>
      <w:r>
        <w:rPr>
          <w:rFonts w:hint="eastAsia"/>
        </w:rPr>
        <w:tab/>
      </w:r>
      <w:r w:rsidR="007F1C07">
        <w:rPr>
          <w:rFonts w:hint="eastAsia"/>
        </w:rPr>
        <w:t>(</w:t>
      </w:r>
      <w:r w:rsidR="005A4743">
        <w:rPr>
          <w:rFonts w:hint="eastAsia"/>
        </w:rPr>
        <w:t>COLIN ANDREW SHIPP</w:t>
      </w:r>
      <w:r>
        <w:rPr>
          <w:rFonts w:hint="eastAsia"/>
        </w:rPr>
        <w:t>)</w:t>
      </w:r>
    </w:p>
    <w:p w:rsidR="00540639" w:rsidRDefault="00540639" w:rsidP="006E47BE">
      <w:pPr>
        <w:pStyle w:val="BodyText"/>
        <w:tabs>
          <w:tab w:val="center" w:pos="6480"/>
        </w:tabs>
        <w:spacing w:line="240" w:lineRule="auto"/>
        <w:jc w:val="both"/>
      </w:pPr>
      <w:r>
        <w:rPr>
          <w:rFonts w:hint="eastAsia"/>
        </w:rPr>
        <w:tab/>
      </w:r>
      <w:r w:rsidR="002F6E8B">
        <w:rPr>
          <w:rFonts w:hint="eastAsia"/>
        </w:rPr>
        <w:t xml:space="preserve">Deputy </w:t>
      </w:r>
      <w:r>
        <w:rPr>
          <w:rFonts w:hint="eastAsia"/>
        </w:rPr>
        <w:t>District Judge</w:t>
      </w:r>
    </w:p>
    <w:p w:rsidR="00540639" w:rsidRDefault="00540639" w:rsidP="006E47BE">
      <w:pPr>
        <w:pStyle w:val="BodyText"/>
        <w:tabs>
          <w:tab w:val="center" w:pos="6480"/>
        </w:tabs>
        <w:spacing w:line="240" w:lineRule="auto"/>
        <w:jc w:val="both"/>
        <w:rPr>
          <w:rFonts w:hint="eastAsia"/>
        </w:rPr>
      </w:pPr>
    </w:p>
    <w:p w:rsidR="002A2E29" w:rsidRDefault="002A2E29" w:rsidP="006E47BE">
      <w:pPr>
        <w:pStyle w:val="BodyText"/>
        <w:tabs>
          <w:tab w:val="center" w:pos="6480"/>
        </w:tabs>
        <w:spacing w:line="240" w:lineRule="auto"/>
        <w:jc w:val="both"/>
        <w:rPr>
          <w:rFonts w:hint="eastAsia"/>
        </w:rPr>
      </w:pPr>
    </w:p>
    <w:p w:rsidR="002A2E29" w:rsidRDefault="002A2E29" w:rsidP="006E47BE">
      <w:pPr>
        <w:pStyle w:val="BodyText"/>
        <w:tabs>
          <w:tab w:val="center" w:pos="6480"/>
        </w:tabs>
        <w:spacing w:line="240" w:lineRule="auto"/>
        <w:jc w:val="both"/>
      </w:pPr>
    </w:p>
    <w:p w:rsidR="00540639" w:rsidRPr="006E47BE" w:rsidRDefault="00540639" w:rsidP="006E47BE">
      <w:pPr>
        <w:pStyle w:val="BodyText"/>
        <w:tabs>
          <w:tab w:val="center" w:pos="6480"/>
        </w:tabs>
        <w:spacing w:line="240" w:lineRule="auto"/>
        <w:jc w:val="both"/>
        <w:rPr>
          <w:iCs/>
        </w:rPr>
      </w:pPr>
      <w:r w:rsidRPr="006E47BE">
        <w:rPr>
          <w:iCs/>
        </w:rPr>
        <w:t>M</w:t>
      </w:r>
      <w:r w:rsidR="005A4743" w:rsidRPr="006E47BE">
        <w:rPr>
          <w:rFonts w:hint="eastAsia"/>
          <w:iCs/>
        </w:rPr>
        <w:t>r</w:t>
      </w:r>
      <w:r w:rsidRPr="006E47BE">
        <w:rPr>
          <w:iCs/>
        </w:rPr>
        <w:t>.</w:t>
      </w:r>
      <w:r w:rsidRPr="006E47BE">
        <w:rPr>
          <w:rFonts w:hint="eastAsia"/>
          <w:iCs/>
        </w:rPr>
        <w:t xml:space="preserve"> </w:t>
      </w:r>
      <w:r w:rsidR="005A4743" w:rsidRPr="006E47BE">
        <w:rPr>
          <w:rFonts w:hint="eastAsia"/>
          <w:iCs/>
        </w:rPr>
        <w:t>Alwin C</w:t>
      </w:r>
      <w:r w:rsidR="008E082B" w:rsidRPr="006E47BE">
        <w:rPr>
          <w:rFonts w:hint="eastAsia"/>
          <w:iCs/>
        </w:rPr>
        <w:t>HAN</w:t>
      </w:r>
      <w:r w:rsidRPr="006E47BE">
        <w:rPr>
          <w:iCs/>
        </w:rPr>
        <w:t xml:space="preserve">, instructed by Messrs. </w:t>
      </w:r>
      <w:r w:rsidR="002F6E8B" w:rsidRPr="006E47BE">
        <w:rPr>
          <w:rFonts w:hint="eastAsia"/>
          <w:iCs/>
        </w:rPr>
        <w:t xml:space="preserve">Au </w:t>
      </w:r>
      <w:r w:rsidR="005A4743" w:rsidRPr="006E47BE">
        <w:rPr>
          <w:rFonts w:hint="eastAsia"/>
          <w:iCs/>
        </w:rPr>
        <w:t>&amp; Vr</w:t>
      </w:r>
      <w:r w:rsidR="00520BAE" w:rsidRPr="006E47BE">
        <w:rPr>
          <w:rFonts w:hint="eastAsia"/>
          <w:iCs/>
        </w:rPr>
        <w:t>ij</w:t>
      </w:r>
      <w:r w:rsidR="005A4743" w:rsidRPr="006E47BE">
        <w:rPr>
          <w:rFonts w:hint="eastAsia"/>
          <w:iCs/>
        </w:rPr>
        <w:t>moed</w:t>
      </w:r>
      <w:r w:rsidRPr="006E47BE">
        <w:rPr>
          <w:iCs/>
        </w:rPr>
        <w:t>,</w:t>
      </w:r>
      <w:r w:rsidR="006E47BE" w:rsidRPr="006E47BE">
        <w:rPr>
          <w:iCs/>
        </w:rPr>
        <w:t xml:space="preserve"> assigned by the Director of Legal Aid for the </w:t>
      </w:r>
      <w:r w:rsidR="002F6E8B" w:rsidRPr="006E47BE">
        <w:rPr>
          <w:rFonts w:hint="eastAsia"/>
          <w:iCs/>
        </w:rPr>
        <w:t>Plaintiff</w:t>
      </w:r>
    </w:p>
    <w:p w:rsidR="0045738C" w:rsidRPr="006E47BE" w:rsidRDefault="0045738C" w:rsidP="006E47BE">
      <w:pPr>
        <w:pStyle w:val="BodyText"/>
        <w:tabs>
          <w:tab w:val="center" w:pos="6480"/>
        </w:tabs>
        <w:spacing w:line="240" w:lineRule="auto"/>
        <w:jc w:val="both"/>
        <w:rPr>
          <w:rFonts w:hint="eastAsia"/>
          <w:iCs/>
        </w:rPr>
      </w:pPr>
    </w:p>
    <w:p w:rsidR="009C6BF6" w:rsidRPr="006E47BE" w:rsidRDefault="00540639" w:rsidP="006E47BE">
      <w:pPr>
        <w:pStyle w:val="BodyText"/>
        <w:tabs>
          <w:tab w:val="center" w:pos="6480"/>
        </w:tabs>
        <w:spacing w:line="240" w:lineRule="auto"/>
        <w:jc w:val="both"/>
        <w:rPr>
          <w:iCs/>
        </w:rPr>
      </w:pPr>
      <w:r w:rsidRPr="006E47BE">
        <w:rPr>
          <w:iCs/>
        </w:rPr>
        <w:t xml:space="preserve">Mr. </w:t>
      </w:r>
      <w:r w:rsidR="005A4743" w:rsidRPr="006E47BE">
        <w:rPr>
          <w:rFonts w:hint="eastAsia"/>
          <w:iCs/>
        </w:rPr>
        <w:t>Alfred C P CHENG</w:t>
      </w:r>
      <w:r w:rsidRPr="006E47BE">
        <w:rPr>
          <w:iCs/>
        </w:rPr>
        <w:t xml:space="preserve">, instructed by </w:t>
      </w:r>
      <w:r w:rsidRPr="006E47BE">
        <w:rPr>
          <w:rFonts w:hint="eastAsia"/>
          <w:iCs/>
        </w:rPr>
        <w:t xml:space="preserve">Messrs. </w:t>
      </w:r>
      <w:r w:rsidR="005A4743" w:rsidRPr="006E47BE">
        <w:rPr>
          <w:rFonts w:hint="eastAsia"/>
          <w:iCs/>
        </w:rPr>
        <w:t>Winnie Leung &amp; Co</w:t>
      </w:r>
      <w:r w:rsidRPr="006E47BE">
        <w:rPr>
          <w:rFonts w:hint="eastAsia"/>
          <w:iCs/>
        </w:rPr>
        <w:t>.</w:t>
      </w:r>
      <w:r w:rsidRPr="006E47BE">
        <w:rPr>
          <w:iCs/>
        </w:rPr>
        <w:t xml:space="preserve">, for the </w:t>
      </w:r>
      <w:r w:rsidR="002F6E8B" w:rsidRPr="006E47BE">
        <w:rPr>
          <w:rFonts w:hint="eastAsia"/>
          <w:iCs/>
        </w:rPr>
        <w:t>Defendant</w:t>
      </w:r>
    </w:p>
    <w:p w:rsidR="009C6BF6" w:rsidRPr="009C6BF6" w:rsidRDefault="009C6BF6" w:rsidP="00AD61EA">
      <w:pPr>
        <w:pStyle w:val="BodyText"/>
        <w:tabs>
          <w:tab w:val="center" w:pos="6480"/>
        </w:tabs>
        <w:spacing w:line="240" w:lineRule="auto"/>
        <w:jc w:val="center"/>
        <w:rPr>
          <w:iCs/>
        </w:rPr>
      </w:pPr>
    </w:p>
    <w:sectPr w:rsidR="009C6BF6" w:rsidRPr="009C6BF6">
      <w:headerReference w:type="default" r:id="rId11"/>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B20" w:rsidRDefault="00EC3B20">
      <w:r>
        <w:separator/>
      </w:r>
    </w:p>
  </w:endnote>
  <w:endnote w:type="continuationSeparator" w:id="0">
    <w:p w:rsidR="00EC3B20" w:rsidRDefault="00EC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5159" w:rsidRDefault="00E85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Footer"/>
      <w:framePr w:wrap="around" w:vAnchor="text" w:hAnchor="margin" w:xAlign="right" w:y="1"/>
      <w:rPr>
        <w:rStyle w:val="PageNumber"/>
      </w:rPr>
    </w:pPr>
  </w:p>
  <w:p w:rsidR="00E85159" w:rsidRDefault="00E85159">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B20" w:rsidRDefault="00EC3B20">
      <w:r>
        <w:separator/>
      </w:r>
    </w:p>
  </w:footnote>
  <w:footnote w:type="continuationSeparator" w:id="0">
    <w:p w:rsidR="00EC3B20" w:rsidRDefault="00EC3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FE63E2">
    <w:pPr>
      <w:pStyle w:val="Header"/>
      <w:rPr>
        <w:rFonts w:hint="eastAsia"/>
      </w:rPr>
    </w:pPr>
    <w:r>
      <w:rPr>
        <w:noProof/>
        <w:sz w:val="20"/>
      </w:rPr>
    </w:r>
    <w:r w:rsidR="00FE63E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r>
      <w:rPr>
        <w:noProof/>
        <w:sz w:val="20"/>
      </w:rPr>
    </w:r>
    <w:r w:rsidR="00FE63E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85159" w:rsidRDefault="00E85159">
                <w:pPr>
                  <w:rPr>
                    <w:rFonts w:eastAsia="SimHei" w:hint="eastAsia"/>
                    <w:b/>
                    <w:sz w:val="18"/>
                  </w:rPr>
                </w:pPr>
                <w:r>
                  <w:rPr>
                    <w:rFonts w:eastAsia="SimHei" w:hint="eastAsia"/>
                    <w:b/>
                    <w:sz w:val="18"/>
                  </w:rPr>
                  <w:t>由此</w:t>
                </w:r>
              </w:p>
            </w:txbxContent>
          </v:textbox>
        </v:shape>
      </w:pict>
    </w:r>
    <w:r>
      <w:rPr>
        <w:noProof/>
        <w:sz w:val="20"/>
      </w:rPr>
    </w:r>
    <w:r w:rsidR="00FE63E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159" w:rsidRDefault="00E85159">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A4AB6">
      <w:rPr>
        <w:rStyle w:val="PageNumber"/>
        <w:noProof/>
        <w:sz w:val="28"/>
      </w:rPr>
      <w:t>4</w:t>
    </w:r>
    <w:r>
      <w:rPr>
        <w:rStyle w:val="PageNumber"/>
        <w:sz w:val="28"/>
      </w:rPr>
      <w:fldChar w:fldCharType="end"/>
    </w:r>
    <w:r>
      <w:rPr>
        <w:rStyle w:val="PageNumber"/>
        <w:rFonts w:hint="eastAsia"/>
        <w:sz w:val="28"/>
      </w:rPr>
      <w:t xml:space="preserve">  -</w:t>
    </w:r>
    <w:r w:rsidR="00FE63E2">
      <w:rPr>
        <w:noProof/>
        <w:sz w:val="28"/>
      </w:rPr>
    </w:r>
    <w:r w:rsidR="00FE63E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r w:rsidR="00FE63E2">
      <w:rPr>
        <w:noProof/>
        <w:sz w:val="28"/>
      </w:rPr>
    </w:r>
    <w:r w:rsidR="00FE63E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85159" w:rsidRDefault="00E85159">
                <w:pPr>
                  <w:rPr>
                    <w:rFonts w:eastAsia="SimHei" w:hint="eastAsia"/>
                    <w:b/>
                    <w:sz w:val="18"/>
                  </w:rPr>
                </w:pPr>
                <w:r>
                  <w:rPr>
                    <w:rFonts w:eastAsia="SimHei" w:hint="eastAsia"/>
                    <w:b/>
                    <w:sz w:val="18"/>
                  </w:rPr>
                  <w:t>由此</w:t>
                </w:r>
              </w:p>
            </w:txbxContent>
          </v:textbox>
        </v:shape>
      </w:pict>
    </w:r>
    <w:r w:rsidR="00FE63E2">
      <w:rPr>
        <w:noProof/>
        <w:sz w:val="28"/>
      </w:rPr>
    </w:r>
    <w:r w:rsidR="00FE63E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85159" w:rsidRDefault="00E85159">
                <w:pPr>
                  <w:rPr>
                    <w:rFonts w:hint="eastAsia"/>
                    <w:b/>
                    <w:sz w:val="20"/>
                  </w:rPr>
                </w:pPr>
                <w:r>
                  <w:rPr>
                    <w:rFonts w:hint="eastAsia"/>
                    <w:b/>
                    <w:sz w:val="20"/>
                  </w:rPr>
                  <w:t>A</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B</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C</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2"/>
                  <w:rPr>
                    <w:rFonts w:hint="eastAsia"/>
                    <w:sz w:val="16"/>
                  </w:rPr>
                </w:pPr>
                <w:r>
                  <w:rPr>
                    <w:rFonts w:hint="eastAsia"/>
                  </w:rPr>
                  <w:t>D</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E</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20"/>
                  </w:rPr>
                </w:pPr>
                <w:r>
                  <w:rPr>
                    <w:rFonts w:hint="eastAsia"/>
                    <w:b/>
                    <w:sz w:val="20"/>
                  </w:rPr>
                  <w:t>F</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G</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H</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I</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J</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K</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L</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M</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N</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O</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P</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Q</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R</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S</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T</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rPr>
                    <w:rFonts w:hint="eastAsia"/>
                    <w:b/>
                    <w:sz w:val="16"/>
                  </w:rPr>
                </w:pPr>
                <w:r>
                  <w:rPr>
                    <w:rFonts w:hint="eastAsia"/>
                    <w:b/>
                    <w:sz w:val="20"/>
                  </w:rPr>
                  <w:t>U</w:t>
                </w:r>
              </w:p>
              <w:p w:rsidR="00E85159" w:rsidRDefault="00E85159">
                <w:pPr>
                  <w:rPr>
                    <w:rFonts w:hint="eastAsia"/>
                    <w:b/>
                    <w:sz w:val="10"/>
                  </w:rPr>
                </w:pPr>
              </w:p>
              <w:p w:rsidR="00E85159" w:rsidRDefault="00E85159">
                <w:pPr>
                  <w:rPr>
                    <w:rFonts w:hint="eastAsia"/>
                    <w:b/>
                    <w:sz w:val="16"/>
                  </w:rPr>
                </w:pPr>
              </w:p>
              <w:p w:rsidR="00E85159" w:rsidRDefault="00E85159">
                <w:pPr>
                  <w:rPr>
                    <w:rFonts w:hint="eastAsia"/>
                    <w:b/>
                    <w:sz w:val="16"/>
                  </w:rPr>
                </w:pPr>
              </w:p>
              <w:p w:rsidR="00E85159" w:rsidRDefault="00E85159">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5F78"/>
    <w:multiLevelType w:val="hybridMultilevel"/>
    <w:tmpl w:val="EC0E7356"/>
    <w:lvl w:ilvl="0" w:tplc="C324D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6E4844"/>
    <w:multiLevelType w:val="hybridMultilevel"/>
    <w:tmpl w:val="E976E50E"/>
    <w:lvl w:ilvl="0" w:tplc="122C77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33C41"/>
    <w:multiLevelType w:val="hybridMultilevel"/>
    <w:tmpl w:val="F6A6C90A"/>
    <w:lvl w:ilvl="0" w:tplc="0409000F">
      <w:start w:val="1"/>
      <w:numFmt w:val="decimal"/>
      <w:lvlText w:val="%1."/>
      <w:lvlJc w:val="left"/>
      <w:pPr>
        <w:tabs>
          <w:tab w:val="num" w:pos="720"/>
        </w:tabs>
        <w:ind w:left="720" w:hanging="360"/>
      </w:pPr>
    </w:lvl>
    <w:lvl w:ilvl="1" w:tplc="243C7A5E">
      <w:start w:val="1"/>
      <w:numFmt w:val="decimal"/>
      <w:lvlText w:val="(%2)"/>
      <w:lvlJc w:val="left"/>
      <w:pPr>
        <w:tabs>
          <w:tab w:val="num" w:pos="1443"/>
        </w:tabs>
        <w:ind w:left="1443"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293945"/>
    <w:multiLevelType w:val="hybridMultilevel"/>
    <w:tmpl w:val="1E98352C"/>
    <w:lvl w:ilvl="0" w:tplc="F000E5F8">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57594528"/>
    <w:multiLevelType w:val="hybridMultilevel"/>
    <w:tmpl w:val="AEDC9D4E"/>
    <w:lvl w:ilvl="0" w:tplc="36C69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671E1"/>
    <w:multiLevelType w:val="hybridMultilevel"/>
    <w:tmpl w:val="A1E6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582570">
    <w:abstractNumId w:val="2"/>
  </w:num>
  <w:num w:numId="2" w16cid:durableId="318582659">
    <w:abstractNumId w:val="4"/>
  </w:num>
  <w:num w:numId="3" w16cid:durableId="32198975">
    <w:abstractNumId w:val="1"/>
  </w:num>
  <w:num w:numId="4" w16cid:durableId="319315214">
    <w:abstractNumId w:val="0"/>
  </w:num>
  <w:num w:numId="5" w16cid:durableId="515004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1286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2125499">
    <w:abstractNumId w:val="3"/>
  </w:num>
  <w:num w:numId="8" w16cid:durableId="15541516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42D"/>
    <w:rsid w:val="000139E0"/>
    <w:rsid w:val="000339B0"/>
    <w:rsid w:val="0003521B"/>
    <w:rsid w:val="00041715"/>
    <w:rsid w:val="000822F5"/>
    <w:rsid w:val="000911C4"/>
    <w:rsid w:val="00092EFA"/>
    <w:rsid w:val="000B0549"/>
    <w:rsid w:val="000D29B2"/>
    <w:rsid w:val="00100816"/>
    <w:rsid w:val="00152BF9"/>
    <w:rsid w:val="00163DA1"/>
    <w:rsid w:val="00181772"/>
    <w:rsid w:val="00186288"/>
    <w:rsid w:val="001900B6"/>
    <w:rsid w:val="00193083"/>
    <w:rsid w:val="001A6C0B"/>
    <w:rsid w:val="001D1EB4"/>
    <w:rsid w:val="001D5477"/>
    <w:rsid w:val="001D5ABE"/>
    <w:rsid w:val="00211539"/>
    <w:rsid w:val="00223532"/>
    <w:rsid w:val="00223E77"/>
    <w:rsid w:val="0022454A"/>
    <w:rsid w:val="00232BD2"/>
    <w:rsid w:val="00243D35"/>
    <w:rsid w:val="00257649"/>
    <w:rsid w:val="00264694"/>
    <w:rsid w:val="0029414F"/>
    <w:rsid w:val="002A2E29"/>
    <w:rsid w:val="002A4AB6"/>
    <w:rsid w:val="002C3990"/>
    <w:rsid w:val="002D359B"/>
    <w:rsid w:val="002E173C"/>
    <w:rsid w:val="002F3CD2"/>
    <w:rsid w:val="002F6E8B"/>
    <w:rsid w:val="00300B61"/>
    <w:rsid w:val="00310FF5"/>
    <w:rsid w:val="00314A50"/>
    <w:rsid w:val="00323AC5"/>
    <w:rsid w:val="00325D22"/>
    <w:rsid w:val="00333C4D"/>
    <w:rsid w:val="00346E6F"/>
    <w:rsid w:val="00351D2F"/>
    <w:rsid w:val="00357418"/>
    <w:rsid w:val="0039200C"/>
    <w:rsid w:val="003979E0"/>
    <w:rsid w:val="003B39AE"/>
    <w:rsid w:val="003B46D0"/>
    <w:rsid w:val="003C071E"/>
    <w:rsid w:val="003D7687"/>
    <w:rsid w:val="003E7C45"/>
    <w:rsid w:val="004114FF"/>
    <w:rsid w:val="004363E3"/>
    <w:rsid w:val="00440151"/>
    <w:rsid w:val="0044664E"/>
    <w:rsid w:val="00452493"/>
    <w:rsid w:val="0045738C"/>
    <w:rsid w:val="00461E6F"/>
    <w:rsid w:val="00471C3F"/>
    <w:rsid w:val="004876FB"/>
    <w:rsid w:val="00492FDA"/>
    <w:rsid w:val="0049490E"/>
    <w:rsid w:val="004A374E"/>
    <w:rsid w:val="004B210F"/>
    <w:rsid w:val="004B2F16"/>
    <w:rsid w:val="004B7606"/>
    <w:rsid w:val="004C2820"/>
    <w:rsid w:val="005144F7"/>
    <w:rsid w:val="00520BAE"/>
    <w:rsid w:val="00540639"/>
    <w:rsid w:val="0054161D"/>
    <w:rsid w:val="00557FF2"/>
    <w:rsid w:val="005802C4"/>
    <w:rsid w:val="00584ACC"/>
    <w:rsid w:val="005A31C5"/>
    <w:rsid w:val="005A4743"/>
    <w:rsid w:val="005B237D"/>
    <w:rsid w:val="005C077D"/>
    <w:rsid w:val="005D2738"/>
    <w:rsid w:val="005E141E"/>
    <w:rsid w:val="006151F5"/>
    <w:rsid w:val="006517D8"/>
    <w:rsid w:val="006556C1"/>
    <w:rsid w:val="00655FEB"/>
    <w:rsid w:val="00665352"/>
    <w:rsid w:val="00696CF1"/>
    <w:rsid w:val="006B7BA1"/>
    <w:rsid w:val="006C642D"/>
    <w:rsid w:val="006C6443"/>
    <w:rsid w:val="006D3634"/>
    <w:rsid w:val="006D5F41"/>
    <w:rsid w:val="006E47BE"/>
    <w:rsid w:val="006F5E5F"/>
    <w:rsid w:val="006F7F5C"/>
    <w:rsid w:val="007148AD"/>
    <w:rsid w:val="00733AAC"/>
    <w:rsid w:val="00736FDA"/>
    <w:rsid w:val="00745675"/>
    <w:rsid w:val="0076288A"/>
    <w:rsid w:val="00767A0B"/>
    <w:rsid w:val="0077321A"/>
    <w:rsid w:val="00794EA9"/>
    <w:rsid w:val="007B38AD"/>
    <w:rsid w:val="007B7270"/>
    <w:rsid w:val="007B727C"/>
    <w:rsid w:val="007C2D89"/>
    <w:rsid w:val="007E5E3D"/>
    <w:rsid w:val="007F1C07"/>
    <w:rsid w:val="00803C9A"/>
    <w:rsid w:val="0080782D"/>
    <w:rsid w:val="00812FF7"/>
    <w:rsid w:val="008270E8"/>
    <w:rsid w:val="008404E1"/>
    <w:rsid w:val="008433EB"/>
    <w:rsid w:val="0084637B"/>
    <w:rsid w:val="00857000"/>
    <w:rsid w:val="00864A9C"/>
    <w:rsid w:val="00864C0C"/>
    <w:rsid w:val="00874570"/>
    <w:rsid w:val="008A2ECC"/>
    <w:rsid w:val="008A5F46"/>
    <w:rsid w:val="008B0831"/>
    <w:rsid w:val="008C1966"/>
    <w:rsid w:val="008D2578"/>
    <w:rsid w:val="008D4EE2"/>
    <w:rsid w:val="008E082B"/>
    <w:rsid w:val="00931082"/>
    <w:rsid w:val="00934898"/>
    <w:rsid w:val="009456E1"/>
    <w:rsid w:val="00972629"/>
    <w:rsid w:val="00974748"/>
    <w:rsid w:val="0097492D"/>
    <w:rsid w:val="0099249C"/>
    <w:rsid w:val="009C3D03"/>
    <w:rsid w:val="009C49C3"/>
    <w:rsid w:val="009C6BF6"/>
    <w:rsid w:val="009C74EB"/>
    <w:rsid w:val="009E5BCD"/>
    <w:rsid w:val="009F102E"/>
    <w:rsid w:val="009F3CFA"/>
    <w:rsid w:val="00A05B72"/>
    <w:rsid w:val="00A16D71"/>
    <w:rsid w:val="00A1779F"/>
    <w:rsid w:val="00A20CC9"/>
    <w:rsid w:val="00A25D09"/>
    <w:rsid w:val="00A82461"/>
    <w:rsid w:val="00A970C5"/>
    <w:rsid w:val="00AA6EE8"/>
    <w:rsid w:val="00AB2F32"/>
    <w:rsid w:val="00AD3E20"/>
    <w:rsid w:val="00AD61EA"/>
    <w:rsid w:val="00AD6ED3"/>
    <w:rsid w:val="00B00761"/>
    <w:rsid w:val="00B053F9"/>
    <w:rsid w:val="00B06778"/>
    <w:rsid w:val="00B24797"/>
    <w:rsid w:val="00B30125"/>
    <w:rsid w:val="00B370DC"/>
    <w:rsid w:val="00B40C33"/>
    <w:rsid w:val="00B737D1"/>
    <w:rsid w:val="00BB60F8"/>
    <w:rsid w:val="00BC0812"/>
    <w:rsid w:val="00BC0ECB"/>
    <w:rsid w:val="00BD1F38"/>
    <w:rsid w:val="00BD43AE"/>
    <w:rsid w:val="00BD7F6C"/>
    <w:rsid w:val="00BE6CA4"/>
    <w:rsid w:val="00BF1CCA"/>
    <w:rsid w:val="00C01CF0"/>
    <w:rsid w:val="00C020C0"/>
    <w:rsid w:val="00C057EB"/>
    <w:rsid w:val="00C36A6D"/>
    <w:rsid w:val="00C5539F"/>
    <w:rsid w:val="00C67174"/>
    <w:rsid w:val="00C7711D"/>
    <w:rsid w:val="00C952EA"/>
    <w:rsid w:val="00CB2CF9"/>
    <w:rsid w:val="00CC1456"/>
    <w:rsid w:val="00CC3089"/>
    <w:rsid w:val="00CD03EC"/>
    <w:rsid w:val="00CE0CDE"/>
    <w:rsid w:val="00D179F7"/>
    <w:rsid w:val="00D247BB"/>
    <w:rsid w:val="00D24A5E"/>
    <w:rsid w:val="00D34FA2"/>
    <w:rsid w:val="00D405DF"/>
    <w:rsid w:val="00D60B9A"/>
    <w:rsid w:val="00D642C9"/>
    <w:rsid w:val="00D77AD9"/>
    <w:rsid w:val="00D8781F"/>
    <w:rsid w:val="00DB7DEF"/>
    <w:rsid w:val="00DC276D"/>
    <w:rsid w:val="00DC4CF9"/>
    <w:rsid w:val="00DC758D"/>
    <w:rsid w:val="00DD093C"/>
    <w:rsid w:val="00DD53AE"/>
    <w:rsid w:val="00DD5C01"/>
    <w:rsid w:val="00E0366D"/>
    <w:rsid w:val="00E07EF4"/>
    <w:rsid w:val="00E259BF"/>
    <w:rsid w:val="00E3083A"/>
    <w:rsid w:val="00E33DAE"/>
    <w:rsid w:val="00E46472"/>
    <w:rsid w:val="00E521FE"/>
    <w:rsid w:val="00E71963"/>
    <w:rsid w:val="00E85159"/>
    <w:rsid w:val="00E852A2"/>
    <w:rsid w:val="00E87AEC"/>
    <w:rsid w:val="00E91919"/>
    <w:rsid w:val="00E93075"/>
    <w:rsid w:val="00EB5BC4"/>
    <w:rsid w:val="00EC0A80"/>
    <w:rsid w:val="00EC3B20"/>
    <w:rsid w:val="00ED1B59"/>
    <w:rsid w:val="00ED4628"/>
    <w:rsid w:val="00ED69E4"/>
    <w:rsid w:val="00EE699D"/>
    <w:rsid w:val="00EF4F16"/>
    <w:rsid w:val="00F04975"/>
    <w:rsid w:val="00F04BE4"/>
    <w:rsid w:val="00F20B59"/>
    <w:rsid w:val="00F3592E"/>
    <w:rsid w:val="00F771F9"/>
    <w:rsid w:val="00F80217"/>
    <w:rsid w:val="00F802F0"/>
    <w:rsid w:val="00FA1277"/>
    <w:rsid w:val="00FA2687"/>
    <w:rsid w:val="00FB003C"/>
    <w:rsid w:val="00FC59D6"/>
    <w:rsid w:val="00FE63E2"/>
    <w:rsid w:val="00FF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894C0C-D5B2-3343-AC4D-FF1D9024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9C6BF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7836B-4685-4590-B4D5-37DFC9B1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2011-10-06T04:10:00Z</cp:lastPrinted>
  <dcterms:created xsi:type="dcterms:W3CDTF">2023-10-14T01:11:00Z</dcterms:created>
  <dcterms:modified xsi:type="dcterms:W3CDTF">2023-10-14T01:11:00Z</dcterms:modified>
</cp:coreProperties>
</file>