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3E6" w:rsidRDefault="005A63E6">
      <w:pPr>
        <w:pStyle w:val="Heading4"/>
      </w:pPr>
    </w:p>
    <w:p w:rsidR="005A63E6" w:rsidRDefault="005A63E6">
      <w:pPr>
        <w:pStyle w:val="Heading4"/>
      </w:pPr>
      <w:r>
        <w:t>DCPI325/2007</w:t>
      </w:r>
    </w:p>
    <w:p w:rsidR="005A63E6" w:rsidRDefault="005A63E6">
      <w:pPr>
        <w:spacing w:line="360" w:lineRule="auto"/>
        <w:jc w:val="center"/>
        <w:rPr>
          <w:rFonts w:hint="eastAsia"/>
          <w:bCs/>
          <w:sz w:val="28"/>
          <w:lang w:val="en-GB"/>
        </w:rPr>
      </w:pPr>
    </w:p>
    <w:p w:rsidR="005A63E6" w:rsidRDefault="005A63E6">
      <w:pPr>
        <w:pStyle w:val="Heading3"/>
        <w:spacing w:line="360" w:lineRule="auto"/>
        <w:rPr>
          <w:rFonts w:hint="eastAsia"/>
          <w:szCs w:val="24"/>
          <w:lang w:eastAsia="zh-CN"/>
        </w:rPr>
      </w:pPr>
      <w:r>
        <w:rPr>
          <w:szCs w:val="24"/>
          <w:lang w:eastAsia="zh-CN"/>
        </w:rPr>
        <w:t>IN THE DISTRICT COURT OF THE</w:t>
      </w:r>
    </w:p>
    <w:p w:rsidR="005A63E6" w:rsidRDefault="005A63E6">
      <w:pPr>
        <w:pStyle w:val="Heading3"/>
        <w:spacing w:line="360" w:lineRule="auto"/>
      </w:pPr>
      <w:r>
        <w:t>HONG KONG SPECIAL ADMINISTRATIVE REGION</w:t>
      </w:r>
    </w:p>
    <w:p w:rsidR="005A63E6" w:rsidRDefault="005A63E6">
      <w:pPr>
        <w:pStyle w:val="Heading2"/>
        <w:spacing w:line="360" w:lineRule="auto"/>
        <w:rPr>
          <w:szCs w:val="24"/>
          <w:lang w:eastAsia="zh-CN"/>
        </w:rPr>
      </w:pPr>
      <w:r>
        <w:t>PERSONAL INJURIES</w:t>
      </w:r>
      <w:r>
        <w:rPr>
          <w:szCs w:val="24"/>
          <w:lang w:eastAsia="zh-CN"/>
        </w:rPr>
        <w:t xml:space="preserve"> ACTION NO. 325 OF 2007</w:t>
      </w:r>
    </w:p>
    <w:p w:rsidR="005A63E6" w:rsidRDefault="005A63E6">
      <w:pPr>
        <w:jc w:val="center"/>
        <w:rPr>
          <w:sz w:val="28"/>
          <w:lang w:val="en-GB"/>
        </w:rPr>
      </w:pPr>
    </w:p>
    <w:p w:rsidR="005A63E6" w:rsidRDefault="005A63E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5A63E6" w:rsidRDefault="005A63E6">
      <w:pPr>
        <w:jc w:val="center"/>
        <w:rPr>
          <w:bCs/>
          <w:sz w:val="28"/>
          <w:u w:val="single"/>
          <w:lang w:val="en-GB"/>
        </w:rPr>
      </w:pPr>
    </w:p>
    <w:p w:rsidR="005A63E6" w:rsidRDefault="005A63E6">
      <w:pPr>
        <w:jc w:val="center"/>
        <w:rPr>
          <w:bCs/>
          <w:sz w:val="28"/>
          <w:u w:val="single"/>
          <w:lang w:val="en-GB"/>
        </w:rPr>
      </w:pPr>
    </w:p>
    <w:p w:rsidR="005A63E6" w:rsidRDefault="005A63E6">
      <w:pPr>
        <w:rPr>
          <w:bCs/>
          <w:sz w:val="28"/>
          <w:lang w:val="en-GB"/>
        </w:rPr>
      </w:pPr>
      <w:r>
        <w:rPr>
          <w:bCs/>
          <w:sz w:val="28"/>
          <w:lang w:val="en-GB"/>
        </w:rPr>
        <w:t>BETWEEN</w:t>
      </w:r>
    </w:p>
    <w:p w:rsidR="005A63E6" w:rsidRDefault="005A63E6">
      <w:pPr>
        <w:tabs>
          <w:tab w:val="center" w:pos="4253"/>
          <w:tab w:val="right" w:pos="8505"/>
        </w:tabs>
        <w:rPr>
          <w:bCs/>
          <w:sz w:val="28"/>
          <w:lang w:val="en-GB"/>
        </w:rPr>
      </w:pPr>
    </w:p>
    <w:p w:rsidR="005A63E6" w:rsidRDefault="005A63E6">
      <w:pPr>
        <w:tabs>
          <w:tab w:val="center" w:pos="4253"/>
          <w:tab w:val="right" w:pos="8505"/>
        </w:tabs>
        <w:rPr>
          <w:bCs/>
          <w:sz w:val="28"/>
          <w:lang w:val="en-GB"/>
        </w:rPr>
      </w:pPr>
    </w:p>
    <w:p w:rsidR="005A63E6" w:rsidRDefault="005A63E6">
      <w:pPr>
        <w:tabs>
          <w:tab w:val="center" w:pos="4253"/>
          <w:tab w:val="right" w:pos="8505"/>
        </w:tabs>
        <w:rPr>
          <w:bCs/>
          <w:sz w:val="28"/>
          <w:lang w:val="en-GB"/>
        </w:rPr>
      </w:pPr>
      <w:r>
        <w:rPr>
          <w:bCs/>
          <w:sz w:val="28"/>
          <w:lang w:val="en-GB"/>
        </w:rPr>
        <w:tab/>
        <w:t>KOAH MING FUNG</w:t>
      </w:r>
      <w:r>
        <w:rPr>
          <w:bCs/>
          <w:sz w:val="28"/>
          <w:lang w:val="en-GB"/>
        </w:rPr>
        <w:tab/>
        <w:t xml:space="preserve">Plaintiff </w:t>
      </w:r>
    </w:p>
    <w:p w:rsidR="005A63E6" w:rsidRDefault="005A63E6">
      <w:pPr>
        <w:tabs>
          <w:tab w:val="center" w:pos="4253"/>
          <w:tab w:val="right" w:pos="8505"/>
        </w:tabs>
        <w:rPr>
          <w:bCs/>
          <w:sz w:val="28"/>
          <w:lang w:val="en-GB"/>
        </w:rPr>
      </w:pPr>
    </w:p>
    <w:p w:rsidR="005A63E6" w:rsidRDefault="005A63E6">
      <w:pPr>
        <w:tabs>
          <w:tab w:val="center" w:pos="4253"/>
          <w:tab w:val="right" w:pos="8505"/>
        </w:tabs>
        <w:rPr>
          <w:bCs/>
          <w:sz w:val="28"/>
          <w:lang w:val="en-GB"/>
        </w:rPr>
      </w:pPr>
      <w:r>
        <w:rPr>
          <w:bCs/>
          <w:sz w:val="28"/>
          <w:lang w:val="en-GB"/>
        </w:rPr>
        <w:tab/>
        <w:t>and</w:t>
      </w:r>
    </w:p>
    <w:p w:rsidR="005A63E6" w:rsidRDefault="005A63E6">
      <w:pPr>
        <w:tabs>
          <w:tab w:val="center" w:pos="4253"/>
          <w:tab w:val="right" w:pos="8505"/>
        </w:tabs>
        <w:rPr>
          <w:bCs/>
          <w:sz w:val="28"/>
          <w:lang w:val="en-GB"/>
        </w:rPr>
      </w:pPr>
    </w:p>
    <w:p w:rsidR="005A63E6" w:rsidRDefault="005A63E6">
      <w:pPr>
        <w:tabs>
          <w:tab w:val="center" w:pos="4253"/>
          <w:tab w:val="right" w:pos="8505"/>
        </w:tabs>
        <w:rPr>
          <w:bCs/>
          <w:sz w:val="28"/>
          <w:lang w:val="en-GB"/>
        </w:rPr>
      </w:pPr>
      <w:r>
        <w:rPr>
          <w:bCs/>
          <w:sz w:val="28"/>
          <w:lang w:val="en-GB"/>
        </w:rPr>
        <w:tab/>
        <w:t>GLORY GOLD LIMITED</w:t>
      </w:r>
      <w:r>
        <w:rPr>
          <w:bCs/>
          <w:sz w:val="28"/>
          <w:lang w:val="en-GB"/>
        </w:rPr>
        <w:tab/>
        <w:t>Defendant</w:t>
      </w:r>
    </w:p>
    <w:p w:rsidR="005A63E6" w:rsidRDefault="005A63E6">
      <w:pPr>
        <w:tabs>
          <w:tab w:val="center" w:pos="4253"/>
          <w:tab w:val="right" w:pos="8505"/>
        </w:tabs>
        <w:rPr>
          <w:bCs/>
          <w:sz w:val="28"/>
          <w:lang w:val="en-GB"/>
        </w:rPr>
      </w:pPr>
      <w:r>
        <w:rPr>
          <w:bCs/>
          <w:sz w:val="28"/>
          <w:lang w:val="en-GB"/>
        </w:rPr>
        <w:tab/>
        <w:t>Trading as KAM HO SEAFOOD RESTAURANT</w:t>
      </w:r>
    </w:p>
    <w:p w:rsidR="005A63E6" w:rsidRDefault="005A63E6">
      <w:pPr>
        <w:tabs>
          <w:tab w:val="center" w:pos="4253"/>
          <w:tab w:val="right" w:pos="8505"/>
        </w:tabs>
        <w:rPr>
          <w:bCs/>
          <w:sz w:val="28"/>
          <w:lang w:val="en-GB"/>
        </w:rPr>
      </w:pPr>
    </w:p>
    <w:p w:rsidR="005A63E6" w:rsidRDefault="005A63E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A63E6" w:rsidRDefault="005A63E6">
      <w:pPr>
        <w:pStyle w:val="Heading5"/>
      </w:pPr>
    </w:p>
    <w:p w:rsidR="005A63E6" w:rsidRDefault="005A63E6">
      <w:pPr>
        <w:pStyle w:val="Heading5"/>
        <w:jc w:val="left"/>
      </w:pPr>
      <w:r>
        <w:t>Before:</w:t>
      </w:r>
      <w:r>
        <w:tab/>
        <w:t>H H Judge Lok in Chambers (Open to the public)</w:t>
      </w:r>
    </w:p>
    <w:p w:rsidR="005A63E6" w:rsidRDefault="005A63E6">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14 August 2008</w:t>
      </w:r>
    </w:p>
    <w:p w:rsidR="005A63E6" w:rsidRDefault="005A63E6">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14 August 2008</w:t>
      </w:r>
    </w:p>
    <w:p w:rsidR="005A63E6" w:rsidRDefault="005A63E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A63E6" w:rsidRDefault="005A63E6">
      <w:pPr>
        <w:pStyle w:val="Heading2"/>
      </w:pPr>
    </w:p>
    <w:p w:rsidR="005A63E6" w:rsidRDefault="005A63E6">
      <w:pPr>
        <w:pStyle w:val="Heading2"/>
        <w:rPr>
          <w:rFonts w:hint="eastAsia"/>
          <w:lang w:eastAsia="zh-CN"/>
        </w:rPr>
      </w:pPr>
      <w:r>
        <w:t>D E C I S I O N</w:t>
      </w:r>
    </w:p>
    <w:p w:rsidR="005A63E6" w:rsidRDefault="005A63E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5A63E6" w:rsidRDefault="005A63E6">
      <w:pPr>
        <w:spacing w:line="360" w:lineRule="auto"/>
        <w:jc w:val="both"/>
        <w:rPr>
          <w:bCs/>
          <w:sz w:val="28"/>
          <w:lang w:val="en-GB"/>
        </w:rPr>
      </w:pPr>
    </w:p>
    <w:p w:rsidR="005A63E6" w:rsidRDefault="005A63E6">
      <w:pPr>
        <w:numPr>
          <w:ilvl w:val="0"/>
          <w:numId w:val="1"/>
        </w:numPr>
        <w:tabs>
          <w:tab w:val="clear" w:pos="360"/>
          <w:tab w:val="left" w:pos="1418"/>
        </w:tabs>
        <w:spacing w:line="360" w:lineRule="auto"/>
        <w:jc w:val="both"/>
        <w:rPr>
          <w:bCs/>
          <w:sz w:val="28"/>
          <w:lang w:val="en-GB"/>
        </w:rPr>
      </w:pPr>
      <w:r>
        <w:rPr>
          <w:bCs/>
          <w:sz w:val="28"/>
          <w:lang w:val="en-GB"/>
        </w:rPr>
        <w:t xml:space="preserve">This is an application by the Plaintiff to transfer this action to the Court of First Instance.  According to the supporting affirmation made by the Plaintiff, she thought that she could resume her former employment as a waitress when the claim was first filed in the District Court.  However, she later discovered that her injuries were much more serious than she expected.  As a result, she could not resume her former employment as a </w:t>
      </w:r>
      <w:r>
        <w:rPr>
          <w:bCs/>
          <w:sz w:val="28"/>
          <w:lang w:val="en-GB"/>
        </w:rPr>
        <w:lastRenderedPageBreak/>
        <w:t>waitress.  Based on these premises, the legal representative of the Plaintiff assessed that the Plaintiff’s claim would very much exceed the jurisdiction of the District Court and, as a result, she made the present application to transfer the case to the Court of First Instance.</w:t>
      </w:r>
    </w:p>
    <w:p w:rsidR="005A63E6" w:rsidRDefault="005A63E6">
      <w:pPr>
        <w:tabs>
          <w:tab w:val="left" w:pos="1418"/>
        </w:tabs>
        <w:spacing w:line="360" w:lineRule="auto"/>
        <w:jc w:val="both"/>
        <w:rPr>
          <w:bCs/>
          <w:sz w:val="28"/>
          <w:lang w:val="en-GB"/>
        </w:rPr>
      </w:pPr>
    </w:p>
    <w:p w:rsidR="005A63E6" w:rsidRDefault="005A63E6">
      <w:pPr>
        <w:numPr>
          <w:ilvl w:val="0"/>
          <w:numId w:val="1"/>
        </w:numPr>
        <w:tabs>
          <w:tab w:val="clear" w:pos="360"/>
          <w:tab w:val="left" w:pos="1418"/>
        </w:tabs>
        <w:spacing w:line="360" w:lineRule="auto"/>
        <w:jc w:val="both"/>
        <w:rPr>
          <w:bCs/>
          <w:sz w:val="28"/>
          <w:lang w:val="en-GB"/>
        </w:rPr>
      </w:pPr>
      <w:r>
        <w:rPr>
          <w:bCs/>
          <w:sz w:val="28"/>
          <w:lang w:val="en-GB"/>
        </w:rPr>
        <w:t>The Defendant objects the application on the ground that the claim by the Plaintiff is very much exaggerated, and also that the Plaintiff’s claim for quantum is not supported by the expert evidence of the Defendant.  This is, in fact, the first hearing of this summons.  The Defendant has not filed any affirmation in opposition, and the Court does not have a copy of the medical report of the Defendant’s expert.  However, I take that both parties want the Court to have a quick resolution of the present summon</w:t>
      </w:r>
      <w:r>
        <w:rPr>
          <w:bCs/>
          <w:sz w:val="28"/>
          <w:lang w:val="en-GB"/>
        </w:rPr>
        <w:t>s, and the parties just simply submit the expert reports to the Court so that further hearing can be avoided.  I agree that this is a sensible course to take in respect of this application.</w:t>
      </w:r>
    </w:p>
    <w:p w:rsidR="005A63E6" w:rsidRDefault="005A63E6">
      <w:pPr>
        <w:tabs>
          <w:tab w:val="left" w:pos="1418"/>
        </w:tabs>
        <w:spacing w:line="360" w:lineRule="auto"/>
        <w:jc w:val="both"/>
        <w:rPr>
          <w:bCs/>
          <w:sz w:val="28"/>
          <w:lang w:val="en-GB"/>
        </w:rPr>
      </w:pPr>
    </w:p>
    <w:p w:rsidR="005A63E6" w:rsidRDefault="005A63E6">
      <w:pPr>
        <w:numPr>
          <w:ilvl w:val="0"/>
          <w:numId w:val="1"/>
        </w:numPr>
        <w:tabs>
          <w:tab w:val="clear" w:pos="360"/>
          <w:tab w:val="left" w:pos="1418"/>
        </w:tabs>
        <w:spacing w:line="360" w:lineRule="auto"/>
        <w:jc w:val="both"/>
        <w:rPr>
          <w:bCs/>
          <w:sz w:val="28"/>
          <w:lang w:val="en-GB"/>
        </w:rPr>
      </w:pPr>
      <w:r>
        <w:rPr>
          <w:bCs/>
          <w:sz w:val="28"/>
          <w:lang w:val="en-GB"/>
        </w:rPr>
        <w:t>It seems that the main dispute between parties is in relation to the claim for loss of earnings.  The Plaintiff’s expert is of the view that the sick leave granted by the other doctors are reasonable, and that the Plaintiff should not be able to resume her former employment as a waitress.  However, the Defendant’s expert disagrees.  He thinks that 3 months of sick leave is more reasonable, and that there is nothing to prevent the Plaintiff from resuming her former employment as a waitress.</w:t>
      </w:r>
    </w:p>
    <w:p w:rsidR="005A63E6" w:rsidRDefault="005A63E6">
      <w:pPr>
        <w:tabs>
          <w:tab w:val="left" w:pos="1418"/>
        </w:tabs>
        <w:spacing w:line="360" w:lineRule="auto"/>
        <w:jc w:val="both"/>
        <w:rPr>
          <w:bCs/>
          <w:sz w:val="28"/>
          <w:lang w:val="en-GB"/>
        </w:rPr>
      </w:pPr>
    </w:p>
    <w:p w:rsidR="005A63E6" w:rsidRDefault="005A63E6">
      <w:pPr>
        <w:numPr>
          <w:ilvl w:val="0"/>
          <w:numId w:val="1"/>
        </w:numPr>
        <w:tabs>
          <w:tab w:val="clear" w:pos="360"/>
          <w:tab w:val="left" w:pos="1418"/>
        </w:tabs>
        <w:spacing w:line="360" w:lineRule="auto"/>
        <w:jc w:val="both"/>
        <w:rPr>
          <w:bCs/>
          <w:sz w:val="28"/>
          <w:lang w:val="en-GB"/>
        </w:rPr>
      </w:pPr>
      <w:r>
        <w:rPr>
          <w:bCs/>
          <w:sz w:val="28"/>
          <w:lang w:val="en-GB"/>
        </w:rPr>
        <w:t xml:space="preserve">The approach of the Court in dealing with this sort of application has already been discussed by me in the case of </w:t>
      </w:r>
      <w:r>
        <w:rPr>
          <w:bCs/>
          <w:i/>
          <w:iCs/>
          <w:sz w:val="28"/>
          <w:lang w:val="en-GB"/>
        </w:rPr>
        <w:t xml:space="preserve">Lai King Yiu v Acciona Infraestructuras </w:t>
      </w:r>
      <w:r>
        <w:rPr>
          <w:bCs/>
          <w:sz w:val="28"/>
          <w:lang w:val="en-GB"/>
        </w:rPr>
        <w:t xml:space="preserve">S.A., unreported, DCPI2256/2006 (decision on 25 April 2008).   In paragraph 8 of that judgment, I said the following: </w:t>
      </w:r>
    </w:p>
    <w:p w:rsidR="005A63E6" w:rsidRDefault="005A63E6">
      <w:pPr>
        <w:tabs>
          <w:tab w:val="left" w:pos="1418"/>
        </w:tabs>
        <w:jc w:val="both"/>
        <w:rPr>
          <w:bCs/>
          <w:sz w:val="28"/>
          <w:lang w:val="en-GB"/>
        </w:rPr>
      </w:pPr>
      <w:r>
        <w:rPr>
          <w:bCs/>
          <w:sz w:val="28"/>
          <w:lang w:val="en-GB"/>
        </w:rPr>
        <w:t xml:space="preserve"> </w:t>
      </w:r>
      <w:r>
        <w:rPr>
          <w:bCs/>
          <w:i/>
          <w:iCs/>
          <w:sz w:val="28"/>
          <w:lang w:val="en-GB"/>
        </w:rPr>
        <w:t xml:space="preserve"> </w:t>
      </w:r>
    </w:p>
    <w:p w:rsidR="005A63E6" w:rsidRDefault="005A63E6">
      <w:pPr>
        <w:pStyle w:val="BodyText2"/>
        <w:spacing w:line="240" w:lineRule="auto"/>
        <w:ind w:left="1418" w:hanging="1418"/>
        <w:rPr>
          <w:bCs w:val="0"/>
          <w:i/>
          <w:iCs/>
        </w:rPr>
      </w:pPr>
      <w:r>
        <w:rPr>
          <w:bCs w:val="0"/>
          <w:i/>
          <w:iCs/>
        </w:rPr>
        <w:lastRenderedPageBreak/>
        <w:tab/>
        <w:t xml:space="preserve">“In </w:t>
      </w:r>
      <w:r>
        <w:rPr>
          <w:i/>
          <w:iCs/>
        </w:rPr>
        <w:t>respect</w:t>
      </w:r>
      <w:r>
        <w:rPr>
          <w:bCs w:val="0"/>
          <w:i/>
          <w:iCs/>
        </w:rPr>
        <w:t xml:space="preserve"> of the principles to be considered in an application for transfer of the proceedings from the District Court to the High Court under section 41 of the District Court Ordinance, Cap. 336, Suffiad J said the following in the case of Wong Miu Kwan v FPD Savills Management Limited [2006] 1 HKC 575 at paragraph 21: </w:t>
      </w:r>
    </w:p>
    <w:p w:rsidR="005A63E6" w:rsidRDefault="005A63E6">
      <w:pPr>
        <w:pStyle w:val="BodyText2"/>
        <w:spacing w:line="240" w:lineRule="auto"/>
        <w:ind w:left="1418" w:hanging="1418"/>
        <w:rPr>
          <w:bCs w:val="0"/>
          <w:i/>
          <w:iCs/>
        </w:rPr>
      </w:pPr>
    </w:p>
    <w:p w:rsidR="005A63E6" w:rsidRDefault="005A63E6">
      <w:pPr>
        <w:pStyle w:val="BodyText2"/>
        <w:tabs>
          <w:tab w:val="clear" w:pos="1418"/>
        </w:tabs>
        <w:spacing w:line="240" w:lineRule="auto"/>
        <w:ind w:left="2160" w:hanging="1418"/>
        <w:rPr>
          <w:bCs w:val="0"/>
          <w:i/>
          <w:iCs/>
        </w:rPr>
      </w:pPr>
      <w:r>
        <w:rPr>
          <w:bCs w:val="0"/>
          <w:i/>
          <w:iCs/>
        </w:rPr>
        <w:tab/>
        <w:t xml:space="preserve">“21.  ...Quite apart from such statutory provisions, as a matter of practice, the Court or a Master should also consider the following matters: </w:t>
      </w:r>
    </w:p>
    <w:p w:rsidR="005A63E6" w:rsidRDefault="005A63E6">
      <w:pPr>
        <w:pStyle w:val="BodyText2"/>
        <w:spacing w:line="240" w:lineRule="auto"/>
        <w:ind w:left="1418" w:hanging="1418"/>
        <w:rPr>
          <w:bCs w:val="0"/>
          <w:i/>
          <w:iCs/>
        </w:rPr>
      </w:pPr>
    </w:p>
    <w:p w:rsidR="005A63E6" w:rsidRDefault="005A63E6">
      <w:pPr>
        <w:pStyle w:val="BodyText2"/>
        <w:tabs>
          <w:tab w:val="clear" w:pos="1418"/>
        </w:tabs>
        <w:spacing w:line="240" w:lineRule="auto"/>
        <w:ind w:left="2700" w:hanging="540"/>
        <w:rPr>
          <w:bCs w:val="0"/>
          <w:i/>
          <w:iCs/>
        </w:rPr>
      </w:pPr>
      <w:r>
        <w:rPr>
          <w:bCs w:val="0"/>
          <w:i/>
          <w:iCs/>
        </w:rPr>
        <w:t>(a)</w:t>
      </w:r>
      <w:r>
        <w:rPr>
          <w:bCs w:val="0"/>
          <w:i/>
          <w:iCs/>
        </w:rPr>
        <w:tab/>
        <w:t xml:space="preserve">In the absence of abuse, a Plaintiff should be entitled to frame his case in a manner that he wishes. </w:t>
      </w:r>
    </w:p>
    <w:p w:rsidR="005A63E6" w:rsidRDefault="005A63E6">
      <w:pPr>
        <w:pStyle w:val="BodyText2"/>
        <w:tabs>
          <w:tab w:val="clear" w:pos="1418"/>
        </w:tabs>
        <w:spacing w:line="240" w:lineRule="auto"/>
        <w:ind w:left="2160" w:hanging="1418"/>
        <w:rPr>
          <w:bCs w:val="0"/>
          <w:i/>
          <w:iCs/>
        </w:rPr>
      </w:pPr>
    </w:p>
    <w:p w:rsidR="005A63E6" w:rsidRDefault="005A63E6">
      <w:pPr>
        <w:pStyle w:val="BodyText2"/>
        <w:tabs>
          <w:tab w:val="clear" w:pos="1418"/>
        </w:tabs>
        <w:spacing w:line="240" w:lineRule="auto"/>
        <w:ind w:left="2700" w:hanging="540"/>
        <w:rPr>
          <w:bCs w:val="0"/>
          <w:i/>
          <w:iCs/>
        </w:rPr>
      </w:pPr>
      <w:r>
        <w:rPr>
          <w:bCs w:val="0"/>
          <w:i/>
          <w:iCs/>
        </w:rPr>
        <w:t>(b)</w:t>
      </w:r>
      <w:r>
        <w:rPr>
          <w:bCs w:val="0"/>
          <w:i/>
          <w:iCs/>
        </w:rPr>
        <w:tab/>
        <w:t xml:space="preserve">At an interlocutory stage, it will not be proper for the court or a master to view the Plaintiff’s claim in the same way as it would be viewed at a trial by weighing the different evidence or by believing or disbelieving some or all of the evidence.  That exercise can only be carried out when all the evidence, cross-examination and submission has been heard, particularly where there are factual and or other disputes between the parties, as for instance disputed expert opinion. </w:t>
      </w:r>
    </w:p>
    <w:p w:rsidR="005A63E6" w:rsidRDefault="005A63E6">
      <w:pPr>
        <w:pStyle w:val="BodyText2"/>
        <w:tabs>
          <w:tab w:val="clear" w:pos="1418"/>
        </w:tabs>
        <w:spacing w:line="240" w:lineRule="auto"/>
        <w:ind w:left="2700" w:hanging="540"/>
        <w:rPr>
          <w:bCs w:val="0"/>
          <w:i/>
          <w:iCs/>
        </w:rPr>
      </w:pPr>
    </w:p>
    <w:p w:rsidR="005A63E6" w:rsidRDefault="005A63E6">
      <w:pPr>
        <w:pStyle w:val="BodyText2"/>
        <w:tabs>
          <w:tab w:val="clear" w:pos="1418"/>
        </w:tabs>
        <w:spacing w:line="240" w:lineRule="auto"/>
        <w:ind w:left="2700" w:hanging="540"/>
        <w:rPr>
          <w:bCs w:val="0"/>
          <w:i/>
          <w:iCs/>
        </w:rPr>
      </w:pPr>
      <w:r>
        <w:rPr>
          <w:bCs w:val="0"/>
          <w:i/>
          <w:iCs/>
        </w:rPr>
        <w:t>(c)</w:t>
      </w:r>
      <w:r>
        <w:rPr>
          <w:bCs w:val="0"/>
          <w:i/>
          <w:iCs/>
        </w:rPr>
        <w:tab/>
        <w:t>Accordingly,  the Plaintiff’s case on quantum as framed by him ought to be viewed at its highest when determining the proper jurisdiction where the case should be heard.</w:t>
      </w:r>
    </w:p>
    <w:p w:rsidR="005A63E6" w:rsidRDefault="005A63E6">
      <w:pPr>
        <w:tabs>
          <w:tab w:val="left" w:pos="1418"/>
        </w:tabs>
        <w:spacing w:line="360" w:lineRule="auto"/>
        <w:jc w:val="both"/>
        <w:rPr>
          <w:bCs/>
          <w:sz w:val="28"/>
          <w:lang w:val="en-GB"/>
        </w:rPr>
      </w:pPr>
    </w:p>
    <w:p w:rsidR="005A63E6" w:rsidRDefault="005A63E6">
      <w:pPr>
        <w:pStyle w:val="BodyTextIndent2"/>
        <w:spacing w:line="240" w:lineRule="auto"/>
        <w:ind w:left="1418"/>
      </w:pPr>
      <w:r>
        <w:tab/>
        <w:t>These principles have been adopted by 2 District judges in Ng Wai Sun v China Overseas (HK) Ltd. &amp; Ors, unreported, DCPI1320/2004 (decision of HH Judge Marlene Ng on 25 September 2005) and Wong Kwong Wa v Hip Hing Construction Co. Ltd., unreported, DCPI2039/2006 (decision of HH Judge Thomas Au on 11 July 1997).”</w:t>
      </w:r>
    </w:p>
    <w:p w:rsidR="005A63E6" w:rsidRDefault="005A63E6">
      <w:pPr>
        <w:tabs>
          <w:tab w:val="left" w:pos="1418"/>
        </w:tabs>
        <w:spacing w:line="360" w:lineRule="auto"/>
        <w:jc w:val="both"/>
        <w:rPr>
          <w:bCs/>
          <w:lang w:val="en-GB"/>
        </w:rPr>
      </w:pPr>
    </w:p>
    <w:p w:rsidR="005A63E6" w:rsidRDefault="005A63E6">
      <w:pPr>
        <w:numPr>
          <w:ilvl w:val="0"/>
          <w:numId w:val="1"/>
        </w:numPr>
        <w:tabs>
          <w:tab w:val="clear" w:pos="360"/>
          <w:tab w:val="left" w:pos="1418"/>
        </w:tabs>
        <w:spacing w:line="360" w:lineRule="auto"/>
        <w:jc w:val="both"/>
        <w:rPr>
          <w:bCs/>
          <w:sz w:val="28"/>
          <w:lang w:val="en-GB"/>
        </w:rPr>
      </w:pPr>
      <w:r>
        <w:rPr>
          <w:bCs/>
          <w:sz w:val="28"/>
          <w:lang w:val="en-GB"/>
        </w:rPr>
        <w:t>I will also adopt the same principles in considering the present application.  There is a genuine dispute between the experts about the injuries of the Plaintiff, and also whether she should be able to resume her former employment as a waitress.  In my view, it is not for the Court at this interlocutory stage to decide on the merits of these issues.  These matters should be resolved by the trial Judge after hearing the expert evidence.  The Plaintiff’s case should, therefore, be viewed at the highest for th</w:t>
      </w:r>
      <w:r>
        <w:rPr>
          <w:bCs/>
          <w:sz w:val="28"/>
          <w:lang w:val="en-GB"/>
        </w:rPr>
        <w:t>e purpose of the present application.  As the Plaintiff assesses the quantum of her claim in excess of $1 million, I think that it would be an appropriate case for the Court to transfer the claim to the Court of First Instance.</w:t>
      </w:r>
    </w:p>
    <w:p w:rsidR="005A63E6" w:rsidRDefault="005A63E6">
      <w:pPr>
        <w:tabs>
          <w:tab w:val="left" w:pos="1418"/>
        </w:tabs>
        <w:spacing w:line="360" w:lineRule="auto"/>
        <w:jc w:val="both"/>
        <w:rPr>
          <w:bCs/>
          <w:sz w:val="28"/>
          <w:lang w:val="en-GB"/>
        </w:rPr>
      </w:pPr>
    </w:p>
    <w:p w:rsidR="005A63E6" w:rsidRDefault="005A63E6">
      <w:pPr>
        <w:numPr>
          <w:ilvl w:val="0"/>
          <w:numId w:val="1"/>
        </w:numPr>
        <w:tabs>
          <w:tab w:val="clear" w:pos="360"/>
          <w:tab w:val="left" w:pos="1418"/>
        </w:tabs>
        <w:spacing w:line="360" w:lineRule="auto"/>
        <w:jc w:val="both"/>
        <w:rPr>
          <w:bCs/>
          <w:sz w:val="28"/>
          <w:lang w:val="en-GB"/>
        </w:rPr>
      </w:pPr>
      <w:r>
        <w:rPr>
          <w:bCs/>
          <w:sz w:val="28"/>
          <w:lang w:val="en-GB"/>
        </w:rPr>
        <w:t>I make the order accordingly.</w:t>
      </w:r>
    </w:p>
    <w:p w:rsidR="005A63E6" w:rsidRDefault="005A63E6">
      <w:pPr>
        <w:pStyle w:val="Heading1"/>
        <w:keepNext w:val="0"/>
        <w:tabs>
          <w:tab w:val="center" w:pos="5670"/>
        </w:tabs>
        <w:ind w:left="0" w:firstLine="0"/>
        <w:jc w:val="left"/>
        <w:rPr>
          <w:szCs w:val="24"/>
          <w:lang w:eastAsia="zh-CN"/>
        </w:rPr>
      </w:pPr>
    </w:p>
    <w:p w:rsidR="005A63E6" w:rsidRDefault="005A63E6">
      <w:pPr>
        <w:rPr>
          <w:lang w:val="en-GB"/>
        </w:rPr>
      </w:pPr>
    </w:p>
    <w:p w:rsidR="005A63E6" w:rsidRDefault="005A63E6">
      <w:pPr>
        <w:pStyle w:val="Heading1"/>
        <w:keepNext w:val="0"/>
        <w:tabs>
          <w:tab w:val="center" w:pos="5670"/>
        </w:tabs>
        <w:ind w:left="0" w:firstLine="0"/>
        <w:jc w:val="left"/>
        <w:rPr>
          <w:szCs w:val="24"/>
          <w:lang w:eastAsia="zh-CN"/>
        </w:rPr>
      </w:pPr>
    </w:p>
    <w:p w:rsidR="005A63E6" w:rsidRDefault="005A63E6">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5A63E6" w:rsidRDefault="005A63E6">
      <w:pPr>
        <w:pStyle w:val="Heading1"/>
        <w:keepNext w:val="0"/>
        <w:tabs>
          <w:tab w:val="center" w:pos="5670"/>
        </w:tabs>
        <w:ind w:left="0" w:firstLine="0"/>
        <w:jc w:val="left"/>
        <w:rPr>
          <w:szCs w:val="24"/>
          <w:lang w:eastAsia="zh-CN"/>
        </w:rPr>
      </w:pPr>
      <w:r>
        <w:rPr>
          <w:szCs w:val="24"/>
          <w:lang w:eastAsia="zh-CN"/>
        </w:rPr>
        <w:tab/>
        <w:t>District Judge</w:t>
      </w:r>
    </w:p>
    <w:p w:rsidR="005A63E6" w:rsidRDefault="005A63E6">
      <w:pPr>
        <w:rPr>
          <w:bCs/>
          <w:lang w:val="en-GB"/>
        </w:rPr>
      </w:pPr>
    </w:p>
    <w:p w:rsidR="005A63E6" w:rsidRDefault="005A63E6">
      <w:pPr>
        <w:rPr>
          <w:bCs/>
          <w:lang w:val="en-GB"/>
        </w:rPr>
      </w:pPr>
    </w:p>
    <w:p w:rsidR="005A63E6" w:rsidRDefault="005A63E6">
      <w:pPr>
        <w:rPr>
          <w:bCs/>
          <w:lang w:val="en-GB"/>
        </w:rPr>
      </w:pPr>
    </w:p>
    <w:p w:rsidR="005A63E6" w:rsidRDefault="005A63E6">
      <w:pPr>
        <w:rPr>
          <w:bCs/>
          <w:sz w:val="28"/>
          <w:lang w:val="en-GB"/>
        </w:rPr>
      </w:pPr>
      <w:r>
        <w:rPr>
          <w:bCs/>
          <w:sz w:val="28"/>
          <w:lang w:val="en-GB"/>
        </w:rPr>
        <w:t xml:space="preserve">Miss P Wong, of Messrs Cheung Wong &amp; Associates, for the Plaintiff </w:t>
      </w:r>
    </w:p>
    <w:p w:rsidR="005A63E6" w:rsidRDefault="005A63E6">
      <w:pPr>
        <w:rPr>
          <w:bCs/>
          <w:sz w:val="28"/>
          <w:lang w:val="en-GB"/>
        </w:rPr>
      </w:pPr>
      <w:r>
        <w:rPr>
          <w:bCs/>
          <w:sz w:val="28"/>
          <w:lang w:val="en-GB"/>
        </w:rPr>
        <w:t>Miss Chong, of Messrs Tsang, Chan &amp; Wong,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63E6" w:rsidRDefault="005A63E6">
      <w:r>
        <w:separator/>
      </w:r>
    </w:p>
  </w:endnote>
  <w:endnote w:type="continuationSeparator" w:id="0">
    <w:p w:rsidR="005A63E6" w:rsidRDefault="005A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E6" w:rsidRDefault="005A63E6">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CRT25/14.8.2008/NB</w:t>
    </w:r>
    <w:r>
      <w:rPr>
        <w:rFonts w:ascii="Times New Roman" w:hAnsi="Times New Roman"/>
        <w:b w:val="0"/>
        <w:bCs/>
        <w:sz w:val="20"/>
      </w:rPr>
      <w:tab/>
    </w:r>
    <w:r>
      <w:rPr>
        <w:rStyle w:val="PageNumber"/>
        <w:rFonts w:ascii="Times New Roman" w:hAnsi="Times New Roman"/>
        <w:b w:val="0"/>
        <w:bCs/>
        <w:sz w:val="20"/>
      </w:rPr>
      <w:tab/>
      <w:t>DCPI325/2007/Decision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63E6" w:rsidRDefault="005A63E6">
      <w:r>
        <w:separator/>
      </w:r>
    </w:p>
  </w:footnote>
  <w:footnote w:type="continuationSeparator" w:id="0">
    <w:p w:rsidR="005A63E6" w:rsidRDefault="005A6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E6" w:rsidRDefault="005A63E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63E6" w:rsidRDefault="005A6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E6" w:rsidRDefault="005A63E6">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5A63E6" w:rsidRDefault="005A63E6">
    <w:pPr>
      <w:pStyle w:val="Header"/>
      <w:rPr>
        <w:rFonts w:hint="eastAsia"/>
        <w:lang w:eastAsia="zh-CN"/>
      </w:rPr>
    </w:pPr>
    <w:r>
      <w:rPr>
        <w:noProof/>
        <w:sz w:val="20"/>
        <w:lang w:val="en-US"/>
      </w:rPr>
    </w:r>
    <w:r w:rsidR="005A63E6">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5A63E6" w:rsidRDefault="005A63E6">
                <w:pPr>
                  <w:spacing w:line="720" w:lineRule="exact"/>
                  <w:rPr>
                    <w:color w:val="000000"/>
                    <w:sz w:val="21"/>
                  </w:rPr>
                </w:pPr>
                <w:r>
                  <w:rPr>
                    <w:color w:val="000000"/>
                    <w:sz w:val="21"/>
                  </w:rPr>
                  <w:t>A</w:t>
                </w:r>
              </w:p>
              <w:p w:rsidR="005A63E6" w:rsidRDefault="005A63E6">
                <w:pPr>
                  <w:spacing w:line="720" w:lineRule="exact"/>
                  <w:rPr>
                    <w:color w:val="000000"/>
                    <w:sz w:val="21"/>
                  </w:rPr>
                </w:pPr>
                <w:r>
                  <w:rPr>
                    <w:color w:val="000000"/>
                    <w:sz w:val="21"/>
                  </w:rPr>
                  <w:t>B</w:t>
                </w:r>
              </w:p>
              <w:p w:rsidR="005A63E6" w:rsidRDefault="005A63E6">
                <w:pPr>
                  <w:spacing w:line="720" w:lineRule="exact"/>
                  <w:rPr>
                    <w:color w:val="000000"/>
                    <w:sz w:val="21"/>
                  </w:rPr>
                </w:pPr>
                <w:r>
                  <w:rPr>
                    <w:color w:val="000000"/>
                    <w:sz w:val="21"/>
                  </w:rPr>
                  <w:t>C</w:t>
                </w:r>
              </w:p>
              <w:p w:rsidR="005A63E6" w:rsidRDefault="005A63E6">
                <w:pPr>
                  <w:spacing w:line="720" w:lineRule="exact"/>
                  <w:rPr>
                    <w:color w:val="000000"/>
                    <w:sz w:val="21"/>
                  </w:rPr>
                </w:pPr>
                <w:r>
                  <w:rPr>
                    <w:color w:val="000000"/>
                    <w:sz w:val="21"/>
                  </w:rPr>
                  <w:t>D</w:t>
                </w:r>
              </w:p>
              <w:p w:rsidR="005A63E6" w:rsidRDefault="005A63E6">
                <w:pPr>
                  <w:spacing w:line="720" w:lineRule="exact"/>
                  <w:rPr>
                    <w:color w:val="000000"/>
                    <w:sz w:val="21"/>
                  </w:rPr>
                </w:pPr>
                <w:r>
                  <w:rPr>
                    <w:color w:val="000000"/>
                    <w:sz w:val="21"/>
                  </w:rPr>
                  <w:t>E</w:t>
                </w:r>
              </w:p>
              <w:p w:rsidR="005A63E6" w:rsidRDefault="005A63E6">
                <w:pPr>
                  <w:spacing w:line="720" w:lineRule="exact"/>
                  <w:rPr>
                    <w:color w:val="000000"/>
                    <w:sz w:val="21"/>
                  </w:rPr>
                </w:pPr>
                <w:r>
                  <w:rPr>
                    <w:color w:val="000000"/>
                    <w:sz w:val="21"/>
                  </w:rPr>
                  <w:t>F</w:t>
                </w:r>
              </w:p>
              <w:p w:rsidR="005A63E6" w:rsidRDefault="005A63E6">
                <w:pPr>
                  <w:spacing w:line="720" w:lineRule="exact"/>
                  <w:rPr>
                    <w:color w:val="000000"/>
                    <w:sz w:val="21"/>
                  </w:rPr>
                </w:pPr>
                <w:r>
                  <w:rPr>
                    <w:color w:val="000000"/>
                    <w:sz w:val="21"/>
                  </w:rPr>
                  <w:t>G</w:t>
                </w:r>
              </w:p>
              <w:p w:rsidR="005A63E6" w:rsidRDefault="005A63E6">
                <w:pPr>
                  <w:spacing w:line="720" w:lineRule="exact"/>
                  <w:rPr>
                    <w:color w:val="000000"/>
                    <w:sz w:val="21"/>
                  </w:rPr>
                </w:pPr>
                <w:r>
                  <w:rPr>
                    <w:color w:val="000000"/>
                    <w:sz w:val="21"/>
                  </w:rPr>
                  <w:t>H</w:t>
                </w:r>
              </w:p>
              <w:p w:rsidR="005A63E6" w:rsidRDefault="005A63E6">
                <w:pPr>
                  <w:spacing w:line="720" w:lineRule="exact"/>
                  <w:rPr>
                    <w:color w:val="000000"/>
                    <w:sz w:val="21"/>
                  </w:rPr>
                </w:pPr>
                <w:r>
                  <w:rPr>
                    <w:color w:val="000000"/>
                    <w:sz w:val="21"/>
                  </w:rPr>
                  <w:t>I</w:t>
                </w:r>
              </w:p>
              <w:p w:rsidR="005A63E6" w:rsidRDefault="005A63E6">
                <w:pPr>
                  <w:spacing w:line="720" w:lineRule="exact"/>
                  <w:rPr>
                    <w:color w:val="000000"/>
                    <w:sz w:val="21"/>
                  </w:rPr>
                </w:pPr>
                <w:r>
                  <w:rPr>
                    <w:color w:val="000000"/>
                    <w:sz w:val="21"/>
                  </w:rPr>
                  <w:t>J</w:t>
                </w:r>
              </w:p>
              <w:p w:rsidR="005A63E6" w:rsidRDefault="005A63E6">
                <w:pPr>
                  <w:spacing w:line="720" w:lineRule="exact"/>
                  <w:rPr>
                    <w:color w:val="000000"/>
                    <w:sz w:val="21"/>
                  </w:rPr>
                </w:pPr>
                <w:r>
                  <w:rPr>
                    <w:color w:val="000000"/>
                    <w:sz w:val="21"/>
                  </w:rPr>
                  <w:t>K</w:t>
                </w:r>
              </w:p>
              <w:p w:rsidR="005A63E6" w:rsidRDefault="005A63E6">
                <w:pPr>
                  <w:spacing w:line="720" w:lineRule="exact"/>
                  <w:rPr>
                    <w:color w:val="000000"/>
                    <w:sz w:val="21"/>
                  </w:rPr>
                </w:pPr>
                <w:r>
                  <w:rPr>
                    <w:color w:val="000000"/>
                    <w:sz w:val="21"/>
                  </w:rPr>
                  <w:t>L</w:t>
                </w:r>
              </w:p>
              <w:p w:rsidR="005A63E6" w:rsidRDefault="005A63E6">
                <w:pPr>
                  <w:spacing w:line="720" w:lineRule="exact"/>
                  <w:rPr>
                    <w:color w:val="000000"/>
                    <w:sz w:val="21"/>
                  </w:rPr>
                </w:pPr>
                <w:r>
                  <w:rPr>
                    <w:color w:val="000000"/>
                    <w:sz w:val="21"/>
                  </w:rPr>
                  <w:t>M</w:t>
                </w:r>
              </w:p>
              <w:p w:rsidR="005A63E6" w:rsidRDefault="005A63E6">
                <w:pPr>
                  <w:spacing w:line="720" w:lineRule="exact"/>
                  <w:rPr>
                    <w:color w:val="000000"/>
                    <w:sz w:val="21"/>
                  </w:rPr>
                </w:pPr>
                <w:r>
                  <w:rPr>
                    <w:color w:val="000000"/>
                    <w:sz w:val="21"/>
                  </w:rPr>
                  <w:t>N</w:t>
                </w:r>
              </w:p>
              <w:p w:rsidR="005A63E6" w:rsidRDefault="005A63E6">
                <w:pPr>
                  <w:spacing w:line="720" w:lineRule="exact"/>
                  <w:rPr>
                    <w:color w:val="000000"/>
                    <w:sz w:val="21"/>
                  </w:rPr>
                </w:pPr>
                <w:r>
                  <w:rPr>
                    <w:color w:val="000000"/>
                    <w:sz w:val="21"/>
                  </w:rPr>
                  <w:t>O</w:t>
                </w:r>
              </w:p>
              <w:p w:rsidR="005A63E6" w:rsidRDefault="005A63E6">
                <w:pPr>
                  <w:spacing w:line="720" w:lineRule="exact"/>
                  <w:rPr>
                    <w:color w:val="000000"/>
                    <w:sz w:val="21"/>
                  </w:rPr>
                </w:pPr>
                <w:r>
                  <w:rPr>
                    <w:color w:val="000000"/>
                    <w:sz w:val="21"/>
                  </w:rPr>
                  <w:t>P</w:t>
                </w:r>
              </w:p>
              <w:p w:rsidR="005A63E6" w:rsidRDefault="005A63E6">
                <w:pPr>
                  <w:spacing w:line="720" w:lineRule="exact"/>
                  <w:rPr>
                    <w:color w:val="000000"/>
                    <w:sz w:val="21"/>
                  </w:rPr>
                </w:pPr>
                <w:r>
                  <w:rPr>
                    <w:color w:val="000000"/>
                    <w:sz w:val="21"/>
                  </w:rPr>
                  <w:t>Q</w:t>
                </w:r>
              </w:p>
              <w:p w:rsidR="005A63E6" w:rsidRDefault="005A63E6">
                <w:pPr>
                  <w:spacing w:line="720" w:lineRule="exact"/>
                  <w:rPr>
                    <w:color w:val="000000"/>
                    <w:sz w:val="21"/>
                  </w:rPr>
                </w:pPr>
                <w:r>
                  <w:rPr>
                    <w:color w:val="000000"/>
                    <w:sz w:val="21"/>
                  </w:rPr>
                  <w:t>R</w:t>
                </w:r>
              </w:p>
              <w:p w:rsidR="005A63E6" w:rsidRDefault="005A63E6">
                <w:pPr>
                  <w:spacing w:line="720" w:lineRule="exact"/>
                  <w:rPr>
                    <w:color w:val="000000"/>
                    <w:sz w:val="21"/>
                  </w:rPr>
                </w:pPr>
                <w:r>
                  <w:rPr>
                    <w:color w:val="000000"/>
                    <w:sz w:val="21"/>
                  </w:rPr>
                  <w:t>S</w:t>
                </w:r>
              </w:p>
              <w:p w:rsidR="005A63E6" w:rsidRDefault="005A63E6">
                <w:pPr>
                  <w:spacing w:line="720" w:lineRule="exact"/>
                  <w:rPr>
                    <w:color w:val="000000"/>
                    <w:sz w:val="21"/>
                  </w:rPr>
                </w:pPr>
                <w:r>
                  <w:rPr>
                    <w:color w:val="000000"/>
                    <w:sz w:val="21"/>
                  </w:rPr>
                  <w:t>T</w:t>
                </w:r>
              </w:p>
              <w:p w:rsidR="005A63E6" w:rsidRDefault="005A63E6">
                <w:pPr>
                  <w:spacing w:line="720" w:lineRule="exact"/>
                  <w:rPr>
                    <w:color w:val="000000"/>
                    <w:sz w:val="21"/>
                  </w:rPr>
                </w:pPr>
                <w:r>
                  <w:rPr>
                    <w:color w:val="000000"/>
                    <w:sz w:val="21"/>
                  </w:rPr>
                  <w:t>U</w:t>
                </w:r>
              </w:p>
              <w:p w:rsidR="005A63E6" w:rsidRDefault="005A63E6">
                <w:pPr>
                  <w:spacing w:line="720" w:lineRule="exact"/>
                  <w:rPr>
                    <w:color w:val="000000"/>
                    <w:sz w:val="21"/>
                  </w:rPr>
                </w:pPr>
                <w:r>
                  <w:rPr>
                    <w:color w:val="000000"/>
                    <w:sz w:val="21"/>
                  </w:rPr>
                  <w:t>V</w:t>
                </w:r>
              </w:p>
            </w:txbxContent>
          </v:textbox>
        </v:shape>
      </w:pict>
    </w:r>
    <w:r>
      <w:rPr>
        <w:noProof/>
      </w:rPr>
    </w:r>
    <w:r w:rsidR="005A63E6">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5A63E6" w:rsidRDefault="005A63E6">
                <w:pPr>
                  <w:spacing w:line="720" w:lineRule="exact"/>
                  <w:rPr>
                    <w:color w:val="000000"/>
                    <w:sz w:val="21"/>
                  </w:rPr>
                </w:pPr>
                <w:r>
                  <w:rPr>
                    <w:color w:val="000000"/>
                    <w:sz w:val="21"/>
                  </w:rPr>
                  <w:t>A</w:t>
                </w:r>
              </w:p>
              <w:p w:rsidR="005A63E6" w:rsidRDefault="005A63E6">
                <w:pPr>
                  <w:spacing w:line="720" w:lineRule="exact"/>
                  <w:rPr>
                    <w:color w:val="000000"/>
                    <w:sz w:val="21"/>
                  </w:rPr>
                </w:pPr>
                <w:r>
                  <w:rPr>
                    <w:color w:val="000000"/>
                    <w:sz w:val="21"/>
                  </w:rPr>
                  <w:t>B</w:t>
                </w:r>
              </w:p>
              <w:p w:rsidR="005A63E6" w:rsidRDefault="005A63E6">
                <w:pPr>
                  <w:spacing w:line="720" w:lineRule="exact"/>
                  <w:rPr>
                    <w:color w:val="000000"/>
                    <w:sz w:val="21"/>
                  </w:rPr>
                </w:pPr>
                <w:r>
                  <w:rPr>
                    <w:color w:val="000000"/>
                    <w:sz w:val="21"/>
                  </w:rPr>
                  <w:t>C</w:t>
                </w:r>
              </w:p>
              <w:p w:rsidR="005A63E6" w:rsidRDefault="005A63E6">
                <w:pPr>
                  <w:spacing w:line="720" w:lineRule="exact"/>
                  <w:rPr>
                    <w:color w:val="000000"/>
                    <w:sz w:val="21"/>
                  </w:rPr>
                </w:pPr>
                <w:r>
                  <w:rPr>
                    <w:color w:val="000000"/>
                    <w:sz w:val="21"/>
                  </w:rPr>
                  <w:t>D</w:t>
                </w:r>
              </w:p>
              <w:p w:rsidR="005A63E6" w:rsidRDefault="005A63E6">
                <w:pPr>
                  <w:spacing w:line="720" w:lineRule="exact"/>
                  <w:rPr>
                    <w:color w:val="000000"/>
                    <w:sz w:val="21"/>
                  </w:rPr>
                </w:pPr>
                <w:r>
                  <w:rPr>
                    <w:color w:val="000000"/>
                    <w:sz w:val="21"/>
                  </w:rPr>
                  <w:t>E</w:t>
                </w:r>
              </w:p>
              <w:p w:rsidR="005A63E6" w:rsidRDefault="005A63E6">
                <w:pPr>
                  <w:spacing w:line="720" w:lineRule="exact"/>
                  <w:rPr>
                    <w:color w:val="000000"/>
                    <w:sz w:val="21"/>
                  </w:rPr>
                </w:pPr>
                <w:r>
                  <w:rPr>
                    <w:color w:val="000000"/>
                    <w:sz w:val="21"/>
                  </w:rPr>
                  <w:t>F</w:t>
                </w:r>
              </w:p>
              <w:p w:rsidR="005A63E6" w:rsidRDefault="005A63E6">
                <w:pPr>
                  <w:spacing w:line="720" w:lineRule="exact"/>
                  <w:rPr>
                    <w:color w:val="000000"/>
                    <w:sz w:val="21"/>
                  </w:rPr>
                </w:pPr>
                <w:r>
                  <w:rPr>
                    <w:color w:val="000000"/>
                    <w:sz w:val="21"/>
                  </w:rPr>
                  <w:t>G</w:t>
                </w:r>
              </w:p>
              <w:p w:rsidR="005A63E6" w:rsidRDefault="005A63E6">
                <w:pPr>
                  <w:spacing w:line="720" w:lineRule="exact"/>
                  <w:rPr>
                    <w:color w:val="000000"/>
                    <w:sz w:val="21"/>
                  </w:rPr>
                </w:pPr>
                <w:r>
                  <w:rPr>
                    <w:color w:val="000000"/>
                    <w:sz w:val="21"/>
                  </w:rPr>
                  <w:t>H</w:t>
                </w:r>
              </w:p>
              <w:p w:rsidR="005A63E6" w:rsidRDefault="005A63E6">
                <w:pPr>
                  <w:spacing w:line="720" w:lineRule="exact"/>
                  <w:rPr>
                    <w:color w:val="000000"/>
                    <w:sz w:val="21"/>
                  </w:rPr>
                </w:pPr>
                <w:r>
                  <w:rPr>
                    <w:color w:val="000000"/>
                    <w:sz w:val="21"/>
                  </w:rPr>
                  <w:t>I</w:t>
                </w:r>
              </w:p>
              <w:p w:rsidR="005A63E6" w:rsidRDefault="005A63E6">
                <w:pPr>
                  <w:spacing w:line="720" w:lineRule="exact"/>
                  <w:rPr>
                    <w:color w:val="000000"/>
                    <w:sz w:val="21"/>
                  </w:rPr>
                </w:pPr>
                <w:r>
                  <w:rPr>
                    <w:color w:val="000000"/>
                    <w:sz w:val="21"/>
                  </w:rPr>
                  <w:t>J</w:t>
                </w:r>
              </w:p>
              <w:p w:rsidR="005A63E6" w:rsidRDefault="005A63E6">
                <w:pPr>
                  <w:spacing w:line="720" w:lineRule="exact"/>
                  <w:rPr>
                    <w:color w:val="000000"/>
                    <w:sz w:val="21"/>
                  </w:rPr>
                </w:pPr>
                <w:r>
                  <w:rPr>
                    <w:color w:val="000000"/>
                    <w:sz w:val="21"/>
                  </w:rPr>
                  <w:t>K</w:t>
                </w:r>
              </w:p>
              <w:p w:rsidR="005A63E6" w:rsidRDefault="005A63E6">
                <w:pPr>
                  <w:spacing w:line="720" w:lineRule="exact"/>
                  <w:rPr>
                    <w:color w:val="000000"/>
                    <w:sz w:val="21"/>
                  </w:rPr>
                </w:pPr>
                <w:r>
                  <w:rPr>
                    <w:color w:val="000000"/>
                    <w:sz w:val="21"/>
                  </w:rPr>
                  <w:t>L</w:t>
                </w:r>
              </w:p>
              <w:p w:rsidR="005A63E6" w:rsidRDefault="005A63E6">
                <w:pPr>
                  <w:spacing w:line="720" w:lineRule="exact"/>
                  <w:rPr>
                    <w:color w:val="000000"/>
                    <w:sz w:val="21"/>
                  </w:rPr>
                </w:pPr>
                <w:r>
                  <w:rPr>
                    <w:color w:val="000000"/>
                    <w:sz w:val="21"/>
                  </w:rPr>
                  <w:t>M</w:t>
                </w:r>
              </w:p>
              <w:p w:rsidR="005A63E6" w:rsidRDefault="005A63E6">
                <w:pPr>
                  <w:spacing w:line="720" w:lineRule="exact"/>
                  <w:rPr>
                    <w:color w:val="000000"/>
                    <w:sz w:val="21"/>
                  </w:rPr>
                </w:pPr>
                <w:r>
                  <w:rPr>
                    <w:color w:val="000000"/>
                    <w:sz w:val="21"/>
                  </w:rPr>
                  <w:t>N</w:t>
                </w:r>
              </w:p>
              <w:p w:rsidR="005A63E6" w:rsidRDefault="005A63E6">
                <w:pPr>
                  <w:spacing w:line="720" w:lineRule="exact"/>
                  <w:rPr>
                    <w:color w:val="000000"/>
                    <w:sz w:val="21"/>
                  </w:rPr>
                </w:pPr>
                <w:r>
                  <w:rPr>
                    <w:color w:val="000000"/>
                    <w:sz w:val="21"/>
                  </w:rPr>
                  <w:t>O</w:t>
                </w:r>
              </w:p>
              <w:p w:rsidR="005A63E6" w:rsidRDefault="005A63E6">
                <w:pPr>
                  <w:spacing w:line="720" w:lineRule="exact"/>
                  <w:rPr>
                    <w:color w:val="000000"/>
                    <w:sz w:val="21"/>
                  </w:rPr>
                </w:pPr>
                <w:r>
                  <w:rPr>
                    <w:color w:val="000000"/>
                    <w:sz w:val="21"/>
                  </w:rPr>
                  <w:t>P</w:t>
                </w:r>
              </w:p>
              <w:p w:rsidR="005A63E6" w:rsidRDefault="005A63E6">
                <w:pPr>
                  <w:spacing w:line="720" w:lineRule="exact"/>
                  <w:rPr>
                    <w:color w:val="000000"/>
                    <w:sz w:val="21"/>
                  </w:rPr>
                </w:pPr>
                <w:r>
                  <w:rPr>
                    <w:color w:val="000000"/>
                    <w:sz w:val="21"/>
                  </w:rPr>
                  <w:t>Q</w:t>
                </w:r>
              </w:p>
              <w:p w:rsidR="005A63E6" w:rsidRDefault="005A63E6">
                <w:pPr>
                  <w:spacing w:line="720" w:lineRule="exact"/>
                  <w:rPr>
                    <w:color w:val="000000"/>
                    <w:sz w:val="21"/>
                  </w:rPr>
                </w:pPr>
                <w:r>
                  <w:rPr>
                    <w:color w:val="000000"/>
                    <w:sz w:val="21"/>
                  </w:rPr>
                  <w:t>R</w:t>
                </w:r>
              </w:p>
              <w:p w:rsidR="005A63E6" w:rsidRDefault="005A63E6">
                <w:pPr>
                  <w:spacing w:line="720" w:lineRule="exact"/>
                  <w:rPr>
                    <w:color w:val="000000"/>
                    <w:sz w:val="21"/>
                  </w:rPr>
                </w:pPr>
                <w:r>
                  <w:rPr>
                    <w:color w:val="000000"/>
                    <w:sz w:val="21"/>
                  </w:rPr>
                  <w:t>S</w:t>
                </w:r>
              </w:p>
              <w:p w:rsidR="005A63E6" w:rsidRDefault="005A63E6">
                <w:pPr>
                  <w:spacing w:line="720" w:lineRule="exact"/>
                  <w:rPr>
                    <w:color w:val="000000"/>
                    <w:sz w:val="21"/>
                  </w:rPr>
                </w:pPr>
                <w:r>
                  <w:rPr>
                    <w:color w:val="000000"/>
                    <w:sz w:val="21"/>
                  </w:rPr>
                  <w:t>T</w:t>
                </w:r>
              </w:p>
              <w:p w:rsidR="005A63E6" w:rsidRDefault="005A63E6">
                <w:pPr>
                  <w:spacing w:line="720" w:lineRule="exact"/>
                  <w:rPr>
                    <w:color w:val="000000"/>
                    <w:sz w:val="21"/>
                  </w:rPr>
                </w:pPr>
                <w:r>
                  <w:rPr>
                    <w:color w:val="000000"/>
                    <w:sz w:val="21"/>
                  </w:rPr>
                  <w:t>U</w:t>
                </w:r>
              </w:p>
              <w:p w:rsidR="005A63E6" w:rsidRDefault="005A63E6">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E6" w:rsidRDefault="005A63E6">
    <w:pPr>
      <w:pStyle w:val="Header"/>
    </w:pPr>
    <w:r>
      <w:rPr>
        <w:noProof/>
        <w:sz w:val="20"/>
        <w:lang w:val="en-US"/>
      </w:rPr>
    </w:r>
    <w:r w:rsidR="005A63E6">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5A63E6" w:rsidRDefault="005A63E6">
                <w:pPr>
                  <w:spacing w:line="720" w:lineRule="exact"/>
                  <w:rPr>
                    <w:color w:val="000000"/>
                    <w:sz w:val="21"/>
                  </w:rPr>
                </w:pPr>
                <w:r>
                  <w:rPr>
                    <w:color w:val="000000"/>
                    <w:sz w:val="21"/>
                  </w:rPr>
                  <w:t>A</w:t>
                </w:r>
              </w:p>
              <w:p w:rsidR="005A63E6" w:rsidRDefault="005A63E6">
                <w:pPr>
                  <w:spacing w:line="720" w:lineRule="exact"/>
                  <w:rPr>
                    <w:color w:val="000000"/>
                    <w:sz w:val="21"/>
                  </w:rPr>
                </w:pPr>
                <w:r>
                  <w:rPr>
                    <w:color w:val="000000"/>
                    <w:sz w:val="21"/>
                  </w:rPr>
                  <w:t>B</w:t>
                </w:r>
              </w:p>
              <w:p w:rsidR="005A63E6" w:rsidRDefault="005A63E6">
                <w:pPr>
                  <w:spacing w:line="720" w:lineRule="exact"/>
                  <w:rPr>
                    <w:color w:val="000000"/>
                    <w:sz w:val="21"/>
                  </w:rPr>
                </w:pPr>
                <w:r>
                  <w:rPr>
                    <w:color w:val="000000"/>
                    <w:sz w:val="21"/>
                  </w:rPr>
                  <w:t>C</w:t>
                </w:r>
              </w:p>
              <w:p w:rsidR="005A63E6" w:rsidRDefault="005A63E6">
                <w:pPr>
                  <w:spacing w:line="720" w:lineRule="exact"/>
                  <w:rPr>
                    <w:color w:val="000000"/>
                    <w:sz w:val="21"/>
                  </w:rPr>
                </w:pPr>
                <w:r>
                  <w:rPr>
                    <w:color w:val="000000"/>
                    <w:sz w:val="21"/>
                  </w:rPr>
                  <w:t>D</w:t>
                </w:r>
              </w:p>
              <w:p w:rsidR="005A63E6" w:rsidRDefault="005A63E6">
                <w:pPr>
                  <w:spacing w:line="720" w:lineRule="exact"/>
                  <w:rPr>
                    <w:color w:val="000000"/>
                    <w:sz w:val="21"/>
                  </w:rPr>
                </w:pPr>
                <w:r>
                  <w:rPr>
                    <w:color w:val="000000"/>
                    <w:sz w:val="21"/>
                  </w:rPr>
                  <w:t>E</w:t>
                </w:r>
              </w:p>
              <w:p w:rsidR="005A63E6" w:rsidRDefault="005A63E6">
                <w:pPr>
                  <w:spacing w:line="720" w:lineRule="exact"/>
                  <w:rPr>
                    <w:color w:val="000000"/>
                    <w:sz w:val="21"/>
                  </w:rPr>
                </w:pPr>
                <w:r>
                  <w:rPr>
                    <w:color w:val="000000"/>
                    <w:sz w:val="21"/>
                  </w:rPr>
                  <w:t>F</w:t>
                </w:r>
              </w:p>
              <w:p w:rsidR="005A63E6" w:rsidRDefault="005A63E6">
                <w:pPr>
                  <w:spacing w:line="720" w:lineRule="exact"/>
                  <w:rPr>
                    <w:color w:val="000000"/>
                    <w:sz w:val="21"/>
                  </w:rPr>
                </w:pPr>
                <w:r>
                  <w:rPr>
                    <w:color w:val="000000"/>
                    <w:sz w:val="21"/>
                  </w:rPr>
                  <w:t>G</w:t>
                </w:r>
              </w:p>
              <w:p w:rsidR="005A63E6" w:rsidRDefault="005A63E6">
                <w:pPr>
                  <w:spacing w:line="720" w:lineRule="exact"/>
                  <w:rPr>
                    <w:color w:val="000000"/>
                    <w:sz w:val="21"/>
                  </w:rPr>
                </w:pPr>
                <w:r>
                  <w:rPr>
                    <w:color w:val="000000"/>
                    <w:sz w:val="21"/>
                  </w:rPr>
                  <w:t>H</w:t>
                </w:r>
              </w:p>
              <w:p w:rsidR="005A63E6" w:rsidRDefault="005A63E6">
                <w:pPr>
                  <w:spacing w:line="720" w:lineRule="exact"/>
                  <w:rPr>
                    <w:color w:val="000000"/>
                    <w:sz w:val="21"/>
                  </w:rPr>
                </w:pPr>
                <w:r>
                  <w:rPr>
                    <w:color w:val="000000"/>
                    <w:sz w:val="21"/>
                  </w:rPr>
                  <w:t>I</w:t>
                </w:r>
              </w:p>
              <w:p w:rsidR="005A63E6" w:rsidRDefault="005A63E6">
                <w:pPr>
                  <w:spacing w:line="720" w:lineRule="exact"/>
                  <w:rPr>
                    <w:color w:val="000000"/>
                    <w:sz w:val="21"/>
                  </w:rPr>
                </w:pPr>
                <w:r>
                  <w:rPr>
                    <w:color w:val="000000"/>
                    <w:sz w:val="21"/>
                  </w:rPr>
                  <w:t>J</w:t>
                </w:r>
              </w:p>
              <w:p w:rsidR="005A63E6" w:rsidRDefault="005A63E6">
                <w:pPr>
                  <w:spacing w:line="720" w:lineRule="exact"/>
                  <w:rPr>
                    <w:color w:val="000000"/>
                    <w:sz w:val="21"/>
                  </w:rPr>
                </w:pPr>
                <w:r>
                  <w:rPr>
                    <w:color w:val="000000"/>
                    <w:sz w:val="21"/>
                  </w:rPr>
                  <w:t>K</w:t>
                </w:r>
              </w:p>
              <w:p w:rsidR="005A63E6" w:rsidRDefault="005A63E6">
                <w:pPr>
                  <w:spacing w:line="720" w:lineRule="exact"/>
                  <w:rPr>
                    <w:color w:val="000000"/>
                    <w:sz w:val="21"/>
                  </w:rPr>
                </w:pPr>
                <w:r>
                  <w:rPr>
                    <w:color w:val="000000"/>
                    <w:sz w:val="21"/>
                  </w:rPr>
                  <w:t>L</w:t>
                </w:r>
              </w:p>
              <w:p w:rsidR="005A63E6" w:rsidRDefault="005A63E6">
                <w:pPr>
                  <w:spacing w:line="720" w:lineRule="exact"/>
                  <w:rPr>
                    <w:color w:val="000000"/>
                    <w:sz w:val="21"/>
                  </w:rPr>
                </w:pPr>
                <w:r>
                  <w:rPr>
                    <w:color w:val="000000"/>
                    <w:sz w:val="21"/>
                  </w:rPr>
                  <w:t>M</w:t>
                </w:r>
              </w:p>
              <w:p w:rsidR="005A63E6" w:rsidRDefault="005A63E6">
                <w:pPr>
                  <w:spacing w:line="720" w:lineRule="exact"/>
                  <w:rPr>
                    <w:color w:val="000000"/>
                    <w:sz w:val="21"/>
                  </w:rPr>
                </w:pPr>
                <w:r>
                  <w:rPr>
                    <w:color w:val="000000"/>
                    <w:sz w:val="21"/>
                  </w:rPr>
                  <w:t>N</w:t>
                </w:r>
              </w:p>
              <w:p w:rsidR="005A63E6" w:rsidRDefault="005A63E6">
                <w:pPr>
                  <w:spacing w:line="720" w:lineRule="exact"/>
                  <w:rPr>
                    <w:color w:val="000000"/>
                    <w:sz w:val="21"/>
                  </w:rPr>
                </w:pPr>
                <w:r>
                  <w:rPr>
                    <w:color w:val="000000"/>
                    <w:sz w:val="21"/>
                  </w:rPr>
                  <w:t>O</w:t>
                </w:r>
              </w:p>
              <w:p w:rsidR="005A63E6" w:rsidRDefault="005A63E6">
                <w:pPr>
                  <w:spacing w:line="720" w:lineRule="exact"/>
                  <w:rPr>
                    <w:color w:val="000000"/>
                    <w:sz w:val="21"/>
                  </w:rPr>
                </w:pPr>
                <w:r>
                  <w:rPr>
                    <w:color w:val="000000"/>
                    <w:sz w:val="21"/>
                  </w:rPr>
                  <w:t>P</w:t>
                </w:r>
              </w:p>
              <w:p w:rsidR="005A63E6" w:rsidRDefault="005A63E6">
                <w:pPr>
                  <w:spacing w:line="720" w:lineRule="exact"/>
                  <w:rPr>
                    <w:color w:val="000000"/>
                    <w:sz w:val="21"/>
                  </w:rPr>
                </w:pPr>
                <w:r>
                  <w:rPr>
                    <w:color w:val="000000"/>
                    <w:sz w:val="21"/>
                  </w:rPr>
                  <w:t>Q</w:t>
                </w:r>
              </w:p>
              <w:p w:rsidR="005A63E6" w:rsidRDefault="005A63E6">
                <w:pPr>
                  <w:spacing w:line="720" w:lineRule="exact"/>
                  <w:rPr>
                    <w:color w:val="000000"/>
                    <w:sz w:val="21"/>
                  </w:rPr>
                </w:pPr>
                <w:r>
                  <w:rPr>
                    <w:color w:val="000000"/>
                    <w:sz w:val="21"/>
                  </w:rPr>
                  <w:t>R</w:t>
                </w:r>
              </w:p>
              <w:p w:rsidR="005A63E6" w:rsidRDefault="005A63E6">
                <w:pPr>
                  <w:spacing w:line="720" w:lineRule="exact"/>
                  <w:rPr>
                    <w:color w:val="000000"/>
                    <w:sz w:val="21"/>
                  </w:rPr>
                </w:pPr>
                <w:r>
                  <w:rPr>
                    <w:color w:val="000000"/>
                    <w:sz w:val="21"/>
                  </w:rPr>
                  <w:t>S</w:t>
                </w:r>
              </w:p>
              <w:p w:rsidR="005A63E6" w:rsidRDefault="005A63E6">
                <w:pPr>
                  <w:spacing w:line="720" w:lineRule="exact"/>
                  <w:rPr>
                    <w:color w:val="000000"/>
                    <w:sz w:val="21"/>
                  </w:rPr>
                </w:pPr>
                <w:r>
                  <w:rPr>
                    <w:color w:val="000000"/>
                    <w:sz w:val="21"/>
                  </w:rPr>
                  <w:t>T</w:t>
                </w:r>
              </w:p>
              <w:p w:rsidR="005A63E6" w:rsidRDefault="005A63E6">
                <w:pPr>
                  <w:spacing w:line="720" w:lineRule="exact"/>
                  <w:rPr>
                    <w:color w:val="000000"/>
                    <w:sz w:val="21"/>
                  </w:rPr>
                </w:pPr>
                <w:r>
                  <w:rPr>
                    <w:color w:val="000000"/>
                    <w:sz w:val="21"/>
                  </w:rPr>
                  <w:t>U</w:t>
                </w:r>
              </w:p>
              <w:p w:rsidR="005A63E6" w:rsidRDefault="005A63E6">
                <w:pPr>
                  <w:spacing w:line="720" w:lineRule="exact"/>
                  <w:rPr>
                    <w:color w:val="000000"/>
                    <w:sz w:val="21"/>
                  </w:rPr>
                </w:pPr>
                <w:r>
                  <w:rPr>
                    <w:color w:val="000000"/>
                    <w:sz w:val="21"/>
                  </w:rPr>
                  <w:t>V</w:t>
                </w:r>
              </w:p>
            </w:txbxContent>
          </v:textbox>
        </v:shape>
      </w:pict>
    </w:r>
    <w:r>
      <w:rPr>
        <w:noProof/>
        <w:sz w:val="20"/>
        <w:lang w:val="en-US"/>
      </w:rPr>
    </w:r>
    <w:r w:rsidR="005A63E6">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5A63E6" w:rsidRDefault="005A63E6">
                <w:pPr>
                  <w:spacing w:line="720" w:lineRule="exact"/>
                  <w:rPr>
                    <w:color w:val="000000"/>
                    <w:sz w:val="21"/>
                  </w:rPr>
                </w:pPr>
                <w:r>
                  <w:rPr>
                    <w:color w:val="000000"/>
                    <w:sz w:val="21"/>
                  </w:rPr>
                  <w:t>A</w:t>
                </w:r>
              </w:p>
              <w:p w:rsidR="005A63E6" w:rsidRDefault="005A63E6">
                <w:pPr>
                  <w:spacing w:line="720" w:lineRule="exact"/>
                  <w:rPr>
                    <w:color w:val="000000"/>
                    <w:sz w:val="21"/>
                  </w:rPr>
                </w:pPr>
                <w:r>
                  <w:rPr>
                    <w:color w:val="000000"/>
                    <w:sz w:val="21"/>
                  </w:rPr>
                  <w:t>B</w:t>
                </w:r>
              </w:p>
              <w:p w:rsidR="005A63E6" w:rsidRDefault="005A63E6">
                <w:pPr>
                  <w:spacing w:line="720" w:lineRule="exact"/>
                  <w:rPr>
                    <w:color w:val="000000"/>
                    <w:sz w:val="21"/>
                  </w:rPr>
                </w:pPr>
                <w:r>
                  <w:rPr>
                    <w:color w:val="000000"/>
                    <w:sz w:val="21"/>
                  </w:rPr>
                  <w:t>C</w:t>
                </w:r>
              </w:p>
              <w:p w:rsidR="005A63E6" w:rsidRDefault="005A63E6">
                <w:pPr>
                  <w:spacing w:line="720" w:lineRule="exact"/>
                  <w:rPr>
                    <w:color w:val="000000"/>
                    <w:sz w:val="21"/>
                  </w:rPr>
                </w:pPr>
                <w:r>
                  <w:rPr>
                    <w:color w:val="000000"/>
                    <w:sz w:val="21"/>
                  </w:rPr>
                  <w:t>D</w:t>
                </w:r>
              </w:p>
              <w:p w:rsidR="005A63E6" w:rsidRDefault="005A63E6">
                <w:pPr>
                  <w:spacing w:line="720" w:lineRule="exact"/>
                  <w:rPr>
                    <w:color w:val="000000"/>
                    <w:sz w:val="21"/>
                  </w:rPr>
                </w:pPr>
                <w:r>
                  <w:rPr>
                    <w:color w:val="000000"/>
                    <w:sz w:val="21"/>
                  </w:rPr>
                  <w:t>E</w:t>
                </w:r>
              </w:p>
              <w:p w:rsidR="005A63E6" w:rsidRDefault="005A63E6">
                <w:pPr>
                  <w:spacing w:line="720" w:lineRule="exact"/>
                  <w:rPr>
                    <w:color w:val="000000"/>
                    <w:sz w:val="21"/>
                  </w:rPr>
                </w:pPr>
                <w:r>
                  <w:rPr>
                    <w:color w:val="000000"/>
                    <w:sz w:val="21"/>
                  </w:rPr>
                  <w:t>F</w:t>
                </w:r>
              </w:p>
              <w:p w:rsidR="005A63E6" w:rsidRDefault="005A63E6">
                <w:pPr>
                  <w:spacing w:line="720" w:lineRule="exact"/>
                  <w:rPr>
                    <w:color w:val="000000"/>
                    <w:sz w:val="21"/>
                  </w:rPr>
                </w:pPr>
                <w:r>
                  <w:rPr>
                    <w:color w:val="000000"/>
                    <w:sz w:val="21"/>
                  </w:rPr>
                  <w:t>G</w:t>
                </w:r>
              </w:p>
              <w:p w:rsidR="005A63E6" w:rsidRDefault="005A63E6">
                <w:pPr>
                  <w:spacing w:line="720" w:lineRule="exact"/>
                  <w:rPr>
                    <w:color w:val="000000"/>
                    <w:sz w:val="21"/>
                  </w:rPr>
                </w:pPr>
                <w:r>
                  <w:rPr>
                    <w:color w:val="000000"/>
                    <w:sz w:val="21"/>
                  </w:rPr>
                  <w:t>H</w:t>
                </w:r>
              </w:p>
              <w:p w:rsidR="005A63E6" w:rsidRDefault="005A63E6">
                <w:pPr>
                  <w:spacing w:line="720" w:lineRule="exact"/>
                  <w:rPr>
                    <w:color w:val="000000"/>
                    <w:sz w:val="21"/>
                  </w:rPr>
                </w:pPr>
                <w:r>
                  <w:rPr>
                    <w:color w:val="000000"/>
                    <w:sz w:val="21"/>
                  </w:rPr>
                  <w:t>I</w:t>
                </w:r>
              </w:p>
              <w:p w:rsidR="005A63E6" w:rsidRDefault="005A63E6">
                <w:pPr>
                  <w:spacing w:line="720" w:lineRule="exact"/>
                  <w:rPr>
                    <w:color w:val="000000"/>
                    <w:sz w:val="21"/>
                  </w:rPr>
                </w:pPr>
                <w:r>
                  <w:rPr>
                    <w:color w:val="000000"/>
                    <w:sz w:val="21"/>
                  </w:rPr>
                  <w:t>J</w:t>
                </w:r>
              </w:p>
              <w:p w:rsidR="005A63E6" w:rsidRDefault="005A63E6">
                <w:pPr>
                  <w:spacing w:line="720" w:lineRule="exact"/>
                  <w:rPr>
                    <w:color w:val="000000"/>
                    <w:sz w:val="21"/>
                  </w:rPr>
                </w:pPr>
                <w:r>
                  <w:rPr>
                    <w:color w:val="000000"/>
                    <w:sz w:val="21"/>
                  </w:rPr>
                  <w:t>K</w:t>
                </w:r>
              </w:p>
              <w:p w:rsidR="005A63E6" w:rsidRDefault="005A63E6">
                <w:pPr>
                  <w:spacing w:line="720" w:lineRule="exact"/>
                  <w:rPr>
                    <w:color w:val="000000"/>
                    <w:sz w:val="21"/>
                  </w:rPr>
                </w:pPr>
                <w:r>
                  <w:rPr>
                    <w:color w:val="000000"/>
                    <w:sz w:val="21"/>
                  </w:rPr>
                  <w:t>L</w:t>
                </w:r>
              </w:p>
              <w:p w:rsidR="005A63E6" w:rsidRDefault="005A63E6">
                <w:pPr>
                  <w:spacing w:line="720" w:lineRule="exact"/>
                  <w:rPr>
                    <w:color w:val="000000"/>
                    <w:sz w:val="21"/>
                  </w:rPr>
                </w:pPr>
                <w:r>
                  <w:rPr>
                    <w:color w:val="000000"/>
                    <w:sz w:val="21"/>
                  </w:rPr>
                  <w:t>M</w:t>
                </w:r>
              </w:p>
              <w:p w:rsidR="005A63E6" w:rsidRDefault="005A63E6">
                <w:pPr>
                  <w:spacing w:line="720" w:lineRule="exact"/>
                  <w:rPr>
                    <w:color w:val="000000"/>
                    <w:sz w:val="21"/>
                  </w:rPr>
                </w:pPr>
                <w:r>
                  <w:rPr>
                    <w:color w:val="000000"/>
                    <w:sz w:val="21"/>
                  </w:rPr>
                  <w:t>N</w:t>
                </w:r>
              </w:p>
              <w:p w:rsidR="005A63E6" w:rsidRDefault="005A63E6">
                <w:pPr>
                  <w:spacing w:line="720" w:lineRule="exact"/>
                  <w:rPr>
                    <w:color w:val="000000"/>
                    <w:sz w:val="21"/>
                  </w:rPr>
                </w:pPr>
                <w:r>
                  <w:rPr>
                    <w:color w:val="000000"/>
                    <w:sz w:val="21"/>
                  </w:rPr>
                  <w:t>O</w:t>
                </w:r>
              </w:p>
              <w:p w:rsidR="005A63E6" w:rsidRDefault="005A63E6">
                <w:pPr>
                  <w:spacing w:line="720" w:lineRule="exact"/>
                  <w:rPr>
                    <w:color w:val="000000"/>
                    <w:sz w:val="21"/>
                  </w:rPr>
                </w:pPr>
                <w:r>
                  <w:rPr>
                    <w:color w:val="000000"/>
                    <w:sz w:val="21"/>
                  </w:rPr>
                  <w:t>P</w:t>
                </w:r>
              </w:p>
              <w:p w:rsidR="005A63E6" w:rsidRDefault="005A63E6">
                <w:pPr>
                  <w:spacing w:line="720" w:lineRule="exact"/>
                  <w:rPr>
                    <w:color w:val="000000"/>
                    <w:sz w:val="21"/>
                  </w:rPr>
                </w:pPr>
                <w:r>
                  <w:rPr>
                    <w:color w:val="000000"/>
                    <w:sz w:val="21"/>
                  </w:rPr>
                  <w:t>Q</w:t>
                </w:r>
              </w:p>
              <w:p w:rsidR="005A63E6" w:rsidRDefault="005A63E6">
                <w:pPr>
                  <w:spacing w:line="720" w:lineRule="exact"/>
                  <w:rPr>
                    <w:color w:val="000000"/>
                    <w:sz w:val="21"/>
                  </w:rPr>
                </w:pPr>
                <w:r>
                  <w:rPr>
                    <w:color w:val="000000"/>
                    <w:sz w:val="21"/>
                  </w:rPr>
                  <w:t>R</w:t>
                </w:r>
              </w:p>
              <w:p w:rsidR="005A63E6" w:rsidRDefault="005A63E6">
                <w:pPr>
                  <w:spacing w:line="720" w:lineRule="exact"/>
                  <w:rPr>
                    <w:color w:val="000000"/>
                    <w:sz w:val="21"/>
                  </w:rPr>
                </w:pPr>
                <w:r>
                  <w:rPr>
                    <w:color w:val="000000"/>
                    <w:sz w:val="21"/>
                  </w:rPr>
                  <w:t>S</w:t>
                </w:r>
              </w:p>
              <w:p w:rsidR="005A63E6" w:rsidRDefault="005A63E6">
                <w:pPr>
                  <w:spacing w:line="720" w:lineRule="exact"/>
                  <w:rPr>
                    <w:color w:val="000000"/>
                    <w:sz w:val="21"/>
                  </w:rPr>
                </w:pPr>
                <w:r>
                  <w:rPr>
                    <w:color w:val="000000"/>
                    <w:sz w:val="21"/>
                  </w:rPr>
                  <w:t>T</w:t>
                </w:r>
              </w:p>
              <w:p w:rsidR="005A63E6" w:rsidRDefault="005A63E6">
                <w:pPr>
                  <w:spacing w:line="720" w:lineRule="exact"/>
                  <w:rPr>
                    <w:color w:val="000000"/>
                    <w:sz w:val="21"/>
                  </w:rPr>
                </w:pPr>
                <w:r>
                  <w:rPr>
                    <w:color w:val="000000"/>
                    <w:sz w:val="21"/>
                  </w:rPr>
                  <w:t>U</w:t>
                </w:r>
              </w:p>
              <w:p w:rsidR="005A63E6" w:rsidRDefault="005A63E6">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64B2633E"/>
    <w:lvl w:ilvl="0">
      <w:start w:val="1"/>
      <w:numFmt w:val="decimal"/>
      <w:lvlText w:val="%1."/>
      <w:lvlJc w:val="left"/>
      <w:pPr>
        <w:tabs>
          <w:tab w:val="num" w:pos="360"/>
        </w:tabs>
        <w:ind w:left="0" w:firstLine="0"/>
      </w:pPr>
      <w:rPr>
        <w:rFonts w:hint="default"/>
        <w:sz w:val="28"/>
      </w:rPr>
    </w:lvl>
  </w:abstractNum>
  <w:abstractNum w:abstractNumId="2"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326443292">
    <w:abstractNumId w:val="1"/>
  </w:num>
  <w:num w:numId="2" w16cid:durableId="1960333137">
    <w:abstractNumId w:val="0"/>
  </w:num>
  <w:num w:numId="3" w16cid:durableId="504442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63E6"/>
    <w:rsid w:val="005A63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4297727-AB1C-2345-97B2-F6AF527D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 w:type="paragraph" w:styleId="BodyTextIndent2">
    <w:name w:val="Body Text Indent 2"/>
    <w:basedOn w:val="Normal"/>
    <w:semiHidden/>
    <w:pPr>
      <w:tabs>
        <w:tab w:val="left" w:pos="1418"/>
      </w:tabs>
      <w:spacing w:line="360" w:lineRule="auto"/>
      <w:ind w:left="720"/>
      <w:jc w:val="both"/>
    </w:pPr>
    <w:rPr>
      <w:bCs/>
      <w:i/>
      <w:i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2008-08-15T08:53:00Z</cp:lastPrinted>
  <dcterms:created xsi:type="dcterms:W3CDTF">2023-10-14T01:11:00Z</dcterms:created>
  <dcterms:modified xsi:type="dcterms:W3CDTF">2023-10-14T01:11:00Z</dcterms:modified>
</cp:coreProperties>
</file>