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bookmarkStart w:id="0" w:name="_GoBack"/>
      <w:bookmarkEnd w:id="0"/>
      <w:r>
        <w:rPr>
          <w:rFonts w:hint="eastAsia"/>
          <w:b w:val="0"/>
          <w:bCs w:val="0"/>
          <w:sz w:val="28"/>
          <w:szCs w:val="26"/>
        </w:rPr>
        <w:t>D</w:t>
      </w:r>
      <w:r>
        <w:rPr>
          <w:b w:val="0"/>
          <w:bCs w:val="0"/>
          <w:sz w:val="28"/>
          <w:szCs w:val="26"/>
        </w:rPr>
        <w:t xml:space="preserve">CPI </w:t>
      </w:r>
      <w:r w:rsidR="000D0EFA">
        <w:rPr>
          <w:b w:val="0"/>
          <w:bCs w:val="0"/>
          <w:sz w:val="28"/>
          <w:szCs w:val="26"/>
        </w:rPr>
        <w:t>569</w:t>
      </w:r>
      <w:r>
        <w:rPr>
          <w:rFonts w:hint="eastAsia"/>
          <w:b w:val="0"/>
          <w:bCs w:val="0"/>
          <w:sz w:val="28"/>
          <w:szCs w:val="26"/>
        </w:rPr>
        <w:t>/2</w:t>
      </w:r>
      <w:r>
        <w:rPr>
          <w:b w:val="0"/>
          <w:bCs w:val="0"/>
          <w:sz w:val="28"/>
          <w:szCs w:val="26"/>
        </w:rPr>
        <w:t>0</w:t>
      </w:r>
      <w:r w:rsidR="005E4F81">
        <w:rPr>
          <w:b w:val="0"/>
          <w:bCs w:val="0"/>
          <w:sz w:val="28"/>
          <w:szCs w:val="26"/>
        </w:rPr>
        <w:t>1</w:t>
      </w:r>
      <w:r w:rsidR="000D0EFA">
        <w:rPr>
          <w:b w:val="0"/>
          <w:bCs w:val="0"/>
          <w:sz w:val="28"/>
          <w:szCs w:val="26"/>
        </w:rPr>
        <w:t>5</w:t>
      </w:r>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0D0EFA">
        <w:rPr>
          <w:szCs w:val="26"/>
        </w:rPr>
        <w:t>569</w:t>
      </w:r>
      <w:r>
        <w:rPr>
          <w:rFonts w:hint="eastAsia"/>
          <w:szCs w:val="26"/>
        </w:rPr>
        <w:t xml:space="preserve"> OF 20</w:t>
      </w:r>
      <w:r w:rsidR="005E4F81">
        <w:rPr>
          <w:szCs w:val="26"/>
        </w:rPr>
        <w:t>1</w:t>
      </w:r>
      <w:r w:rsidR="000D0EFA">
        <w:rPr>
          <w:szCs w:val="26"/>
        </w:rPr>
        <w:t>5</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0D0EFA">
      <w:pPr>
        <w:tabs>
          <w:tab w:val="clear" w:pos="1440"/>
          <w:tab w:val="clear" w:pos="4320"/>
          <w:tab w:val="clear" w:pos="9072"/>
          <w:tab w:val="center" w:pos="4140"/>
          <w:tab w:val="right" w:pos="8280"/>
        </w:tabs>
        <w:spacing w:line="360" w:lineRule="auto"/>
        <w:ind w:right="-36"/>
        <w:rPr>
          <w:szCs w:val="26"/>
        </w:rPr>
      </w:pPr>
      <w:r>
        <w:rPr>
          <w:szCs w:val="26"/>
        </w:rPr>
        <w:tab/>
      </w:r>
      <w:r w:rsidR="000D0EFA">
        <w:rPr>
          <w:szCs w:val="26"/>
        </w:rPr>
        <w:t>ERWIANA SULISTYANINGSIH</w:t>
      </w:r>
      <w:r>
        <w:rPr>
          <w:szCs w:val="26"/>
        </w:rPr>
        <w:tab/>
      </w:r>
      <w:r w:rsidR="005B2D79">
        <w:rPr>
          <w:szCs w:val="26"/>
        </w:rPr>
        <w:t>P</w:t>
      </w:r>
      <w:r w:rsidR="005B2D79">
        <w:rPr>
          <w:rFonts w:eastAsia="PMingLiU" w:hint="eastAsia"/>
          <w:szCs w:val="26"/>
          <w:lang w:eastAsia="zh-TW"/>
        </w:rPr>
        <w:t>laintiff</w:t>
      </w:r>
    </w:p>
    <w:p w:rsidR="00B41A5F" w:rsidRDefault="00B41A5F" w:rsidP="000D0EFA">
      <w:pPr>
        <w:tabs>
          <w:tab w:val="clear" w:pos="1440"/>
          <w:tab w:val="clear" w:pos="4320"/>
          <w:tab w:val="clear" w:pos="9072"/>
          <w:tab w:val="center" w:pos="4140"/>
          <w:tab w:val="right" w:pos="8280"/>
        </w:tabs>
        <w:spacing w:line="360" w:lineRule="auto"/>
        <w:ind w:right="-29"/>
        <w:jc w:val="center"/>
        <w:rPr>
          <w:szCs w:val="26"/>
        </w:rPr>
      </w:pPr>
      <w:r>
        <w:rPr>
          <w:szCs w:val="26"/>
        </w:rPr>
        <w:t>and</w:t>
      </w:r>
    </w:p>
    <w:p w:rsidR="005F0579" w:rsidRDefault="00B55F95" w:rsidP="000D0EFA">
      <w:pPr>
        <w:tabs>
          <w:tab w:val="clear" w:pos="1440"/>
          <w:tab w:val="clear" w:pos="4320"/>
          <w:tab w:val="clear" w:pos="9072"/>
          <w:tab w:val="center" w:pos="4140"/>
          <w:tab w:val="right" w:pos="8280"/>
        </w:tabs>
        <w:spacing w:line="360" w:lineRule="auto"/>
        <w:rPr>
          <w:szCs w:val="26"/>
        </w:rPr>
      </w:pPr>
      <w:r>
        <w:rPr>
          <w:rFonts w:hint="eastAsia"/>
          <w:szCs w:val="26"/>
        </w:rPr>
        <w:tab/>
      </w:r>
      <w:r w:rsidR="000D0EFA">
        <w:rPr>
          <w:szCs w:val="26"/>
        </w:rPr>
        <w:t>LAW WAN TUNG</w:t>
      </w:r>
      <w:r w:rsidR="00B41A5F">
        <w:tab/>
      </w:r>
      <w:r w:rsidR="005B2D79">
        <w:t>D</w:t>
      </w:r>
      <w:r w:rsidR="005B2D79">
        <w:rPr>
          <w:szCs w:val="26"/>
        </w:rPr>
        <w:t>efendant</w:t>
      </w:r>
    </w:p>
    <w:p w:rsidR="005E4F81" w:rsidRDefault="005E4F81" w:rsidP="00A8299F">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0D0EFA">
        <w:t>Her Honour</w:t>
      </w:r>
      <w:r w:rsidRPr="004F7678">
        <w:t xml:space="preserve"> Judge </w:t>
      </w:r>
      <w:r w:rsidR="000D0EFA">
        <w:t>Winnie Tsui</w:t>
      </w:r>
      <w:r w:rsidRPr="004F7678">
        <w:t xml:space="preserve"> in C</w:t>
      </w:r>
      <w:r w:rsidR="000D0EFA">
        <w:t>hambers</w:t>
      </w:r>
      <w:r w:rsidRPr="004F7678">
        <w:t xml:space="preserve"> </w:t>
      </w:r>
      <w:r w:rsidR="000D0EFA">
        <w:t>(Open to Public)</w:t>
      </w:r>
    </w:p>
    <w:p w:rsidR="00A8299F" w:rsidRPr="004F7678" w:rsidRDefault="00A8299F" w:rsidP="00A8299F">
      <w:pPr>
        <w:tabs>
          <w:tab w:val="left" w:pos="2100"/>
          <w:tab w:val="left" w:pos="2380"/>
          <w:tab w:val="right" w:pos="8100"/>
        </w:tabs>
        <w:spacing w:line="360" w:lineRule="auto"/>
      </w:pPr>
      <w:r w:rsidRPr="004F7678">
        <w:t xml:space="preserve">Date of Hearing:  </w:t>
      </w:r>
      <w:r w:rsidR="000D0EFA">
        <w:t>30 August 2017</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0D0EFA">
        <w:rPr>
          <w:rFonts w:eastAsia="宋体"/>
          <w:lang w:val="en-US"/>
        </w:rPr>
        <w:t>Decision</w:t>
      </w:r>
      <w:r w:rsidRPr="004F7678">
        <w:rPr>
          <w:rFonts w:eastAsia="宋体"/>
          <w:lang w:val="en-US"/>
        </w:rPr>
        <w:t xml:space="preserve">:  </w:t>
      </w:r>
      <w:r w:rsidR="000D0EFA">
        <w:rPr>
          <w:rFonts w:eastAsia="宋体"/>
          <w:lang w:val="en-US"/>
        </w:rPr>
        <w:t>30 August 2017</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p>
    <w:p w:rsidR="005E4F81" w:rsidRDefault="000D0EFA" w:rsidP="002C0B1D">
      <w:pPr>
        <w:tabs>
          <w:tab w:val="clear" w:pos="4320"/>
          <w:tab w:val="clear" w:pos="9072"/>
        </w:tabs>
        <w:spacing w:line="360" w:lineRule="auto"/>
        <w:jc w:val="center"/>
        <w:rPr>
          <w:szCs w:val="26"/>
        </w:rPr>
      </w:pPr>
      <w:r>
        <w:rPr>
          <w:szCs w:val="26"/>
        </w:rPr>
        <w:t>DECISION</w:t>
      </w:r>
    </w:p>
    <w:p w:rsidR="00A8299F" w:rsidRDefault="00A8299F" w:rsidP="00A8299F">
      <w:pPr>
        <w:tabs>
          <w:tab w:val="clear" w:pos="4320"/>
          <w:tab w:val="clear" w:pos="9072"/>
        </w:tabs>
        <w:spacing w:line="360" w:lineRule="auto"/>
        <w:jc w:val="center"/>
        <w:rPr>
          <w:szCs w:val="26"/>
        </w:rPr>
      </w:pPr>
      <w:r>
        <w:rPr>
          <w:szCs w:val="26"/>
        </w:rPr>
        <w:t>----------</w:t>
      </w:r>
      <w:r w:rsidR="000D0EFA">
        <w:rPr>
          <w:szCs w:val="26"/>
        </w:rPr>
        <w:t>----------</w:t>
      </w:r>
    </w:p>
    <w:p w:rsidR="00B55F95" w:rsidRDefault="00B55F95" w:rsidP="00B55F95">
      <w:pPr>
        <w:tabs>
          <w:tab w:val="clear" w:pos="4320"/>
          <w:tab w:val="clear" w:pos="9072"/>
        </w:tabs>
        <w:spacing w:line="360" w:lineRule="auto"/>
        <w:jc w:val="both"/>
        <w:rPr>
          <w:rFonts w:eastAsia="PMingLiU"/>
          <w:bCs/>
        </w:rPr>
      </w:pPr>
    </w:p>
    <w:p w:rsidR="005B2D79" w:rsidRPr="005B2D79" w:rsidRDefault="000D0EFA" w:rsidP="005B2D79">
      <w:pPr>
        <w:numPr>
          <w:ilvl w:val="0"/>
          <w:numId w:val="17"/>
        </w:numPr>
        <w:tabs>
          <w:tab w:val="clear" w:pos="4320"/>
          <w:tab w:val="clear" w:pos="9072"/>
        </w:tabs>
        <w:spacing w:line="360" w:lineRule="auto"/>
        <w:ind w:left="0" w:firstLine="0"/>
        <w:jc w:val="both"/>
      </w:pPr>
      <w:r>
        <w:t xml:space="preserve">This is </w:t>
      </w:r>
      <w:r w:rsidR="003C295C">
        <w:t xml:space="preserve">the </w:t>
      </w:r>
      <w:r>
        <w:t>defendant’s appeal agains</w:t>
      </w:r>
      <w:r w:rsidR="000E6D71">
        <w:t>t</w:t>
      </w:r>
      <w:r>
        <w:t xml:space="preserve"> Master </w:t>
      </w:r>
      <w:r w:rsidR="000E6D71">
        <w:t xml:space="preserve">J Chow’s decision made on </w:t>
      </w:r>
      <w:r w:rsidR="00283908">
        <w:t>12 May 2017</w:t>
      </w:r>
      <w:r w:rsidR="000E6D71">
        <w:t xml:space="preserve"> dismiss</w:t>
      </w:r>
      <w:r w:rsidR="00283908">
        <w:t>ing</w:t>
      </w:r>
      <w:r w:rsidR="000E6D71">
        <w:t xml:space="preserve"> </w:t>
      </w:r>
      <w:r w:rsidR="00283908">
        <w:t>her</w:t>
      </w:r>
      <w:r w:rsidR="000E6D71">
        <w:t xml:space="preserve"> summons dated </w:t>
      </w:r>
      <w:r w:rsidR="00283908">
        <w:t>11 May 2017</w:t>
      </w:r>
      <w:r w:rsidR="000E6D71">
        <w:t xml:space="preserve"> seeking leave to adduce expert psych</w:t>
      </w:r>
      <w:r w:rsidR="00AB3BDE">
        <w:t>iatric</w:t>
      </w:r>
      <w:r w:rsidR="000E6D71">
        <w:t xml:space="preserve"> </w:t>
      </w:r>
      <w:r w:rsidR="00283908">
        <w:t>evidence</w:t>
      </w:r>
      <w:r w:rsidR="000E6D71">
        <w:t>.</w:t>
      </w:r>
      <w:r w:rsidR="00AB3BDE">
        <w:t xml:space="preserve">  In determining the present appeal</w:t>
      </w:r>
      <w:r w:rsidR="00283908">
        <w:t>,</w:t>
      </w:r>
      <w:r w:rsidR="00AB3BDE">
        <w:t xml:space="preserve"> I have taken into account the following factors.</w:t>
      </w:r>
    </w:p>
    <w:p w:rsidR="005B2D79" w:rsidRPr="005B2D79" w:rsidRDefault="005B2D79" w:rsidP="005B2D79">
      <w:pPr>
        <w:tabs>
          <w:tab w:val="clear" w:pos="4320"/>
          <w:tab w:val="clear" w:pos="9072"/>
        </w:tabs>
        <w:spacing w:line="360" w:lineRule="auto"/>
        <w:jc w:val="both"/>
      </w:pPr>
    </w:p>
    <w:p w:rsidR="005B2D79" w:rsidRDefault="00AB3BDE" w:rsidP="005B2D79">
      <w:pPr>
        <w:numPr>
          <w:ilvl w:val="0"/>
          <w:numId w:val="17"/>
        </w:numPr>
        <w:tabs>
          <w:tab w:val="clear" w:pos="4320"/>
          <w:tab w:val="clear" w:pos="9072"/>
        </w:tabs>
        <w:spacing w:line="360" w:lineRule="auto"/>
        <w:ind w:left="0" w:firstLine="0"/>
        <w:jc w:val="both"/>
      </w:pPr>
      <w:r>
        <w:t xml:space="preserve">First, the plaintiff’s claim for damages in the sum of about $810,000 is mainly based on the alleged psychiatric injuries suffered by </w:t>
      </w:r>
      <w:r>
        <w:lastRenderedPageBreak/>
        <w:t xml:space="preserve">her as a result of </w:t>
      </w:r>
      <w:r w:rsidR="003C295C">
        <w:t xml:space="preserve">the </w:t>
      </w:r>
      <w:r>
        <w:t xml:space="preserve">defendant’s wrongdoing.  Therefore, expert </w:t>
      </w:r>
      <w:r w:rsidR="00283908">
        <w:t xml:space="preserve">evidence in the form of psychiatric opinion on her </w:t>
      </w:r>
      <w:r>
        <w:t xml:space="preserve">diagnosis, causation and the impact on </w:t>
      </w:r>
      <w:r w:rsidR="00283908">
        <w:t>her</w:t>
      </w:r>
      <w:r>
        <w:t xml:space="preserve"> earning capacity etc is clearly relevant, necessary and of probative value.</w:t>
      </w:r>
    </w:p>
    <w:p w:rsidR="00310C45" w:rsidRPr="005B2D79" w:rsidRDefault="00310C45" w:rsidP="00310C45">
      <w:pPr>
        <w:tabs>
          <w:tab w:val="clear" w:pos="4320"/>
          <w:tab w:val="clear" w:pos="9072"/>
        </w:tabs>
        <w:spacing w:line="360" w:lineRule="auto"/>
        <w:jc w:val="both"/>
      </w:pPr>
    </w:p>
    <w:p w:rsidR="005B2D79" w:rsidRDefault="003C295C" w:rsidP="00310C45">
      <w:pPr>
        <w:numPr>
          <w:ilvl w:val="0"/>
          <w:numId w:val="17"/>
        </w:numPr>
        <w:tabs>
          <w:tab w:val="clear" w:pos="4320"/>
          <w:tab w:val="clear" w:pos="9072"/>
        </w:tabs>
        <w:spacing w:line="360" w:lineRule="auto"/>
        <w:ind w:left="0" w:firstLine="0"/>
        <w:jc w:val="both"/>
      </w:pPr>
      <w:r>
        <w:t xml:space="preserve">If the court refuses leave to the defendant to adduce such evidence, the defendant will lose the opportunity of relying on any </w:t>
      </w:r>
      <w:r w:rsidR="00283908">
        <w:t>favourable</w:t>
      </w:r>
      <w:r>
        <w:t xml:space="preserve"> expert </w:t>
      </w:r>
      <w:r w:rsidR="00283908">
        <w:t xml:space="preserve">opinion </w:t>
      </w:r>
      <w:r>
        <w:t xml:space="preserve">which </w:t>
      </w:r>
      <w:r w:rsidR="00197F6B">
        <w:t>she</w:t>
      </w:r>
      <w:r>
        <w:t xml:space="preserve"> may obtain an</w:t>
      </w:r>
      <w:r w:rsidR="00197F6B">
        <w:t>d</w:t>
      </w:r>
      <w:r>
        <w:t xml:space="preserve"> </w:t>
      </w:r>
      <w:r w:rsidR="00197F6B">
        <w:t>which</w:t>
      </w:r>
      <w:r>
        <w:t xml:space="preserve"> may have the effect of reducing the amount of </w:t>
      </w:r>
      <w:r w:rsidR="00197F6B">
        <w:t>d</w:t>
      </w:r>
      <w:r w:rsidR="00283908">
        <w:t>amages</w:t>
      </w:r>
      <w:r w:rsidR="00197F6B">
        <w:t xml:space="preserve"> for which she will be held liable.  In other words, the court’s re</w:t>
      </w:r>
      <w:r w:rsidR="00283908">
        <w:t>fusal</w:t>
      </w:r>
      <w:r w:rsidR="00197F6B">
        <w:t xml:space="preserve"> to grant leave, as accepted by </w:t>
      </w:r>
      <w:r w:rsidR="00283908">
        <w:t>the plaintiff at today’s hearing,</w:t>
      </w:r>
      <w:r w:rsidR="00197F6B">
        <w:t xml:space="preserve"> is likely to have an adverse impact on the court’s determination of the </w:t>
      </w:r>
      <w:r w:rsidR="00283908">
        <w:t xml:space="preserve">substantive </w:t>
      </w:r>
      <w:r w:rsidR="00197F6B">
        <w:t>rights and obligations of the defendant.  This is clearly a significant factor that the court should take into account: O</w:t>
      </w:r>
      <w:r w:rsidR="00283908">
        <w:t>rder 1</w:t>
      </w:r>
      <w:r w:rsidR="00197F6B">
        <w:t>A</w:t>
      </w:r>
      <w:r w:rsidR="00283908">
        <w:t>,</w:t>
      </w:r>
      <w:r w:rsidR="00197F6B">
        <w:t xml:space="preserve"> r</w:t>
      </w:r>
      <w:r w:rsidR="00283908">
        <w:t>ule</w:t>
      </w:r>
      <w:r w:rsidR="00197F6B">
        <w:t xml:space="preserve"> 2(2) </w:t>
      </w:r>
      <w:r w:rsidR="00283908">
        <w:t xml:space="preserve">of the </w:t>
      </w:r>
      <w:r w:rsidR="00197F6B">
        <w:t>R</w:t>
      </w:r>
      <w:r w:rsidR="00283908">
        <w:t xml:space="preserve">ules of the </w:t>
      </w:r>
      <w:r w:rsidR="00197F6B">
        <w:t>D</w:t>
      </w:r>
      <w:r w:rsidR="00283908">
        <w:t xml:space="preserve">istrict </w:t>
      </w:r>
      <w:r w:rsidR="00197F6B">
        <w:t>C</w:t>
      </w:r>
      <w:r w:rsidR="00283908">
        <w:t>ourt</w:t>
      </w:r>
      <w:r w:rsidR="00197F6B">
        <w:t>.</w:t>
      </w:r>
    </w:p>
    <w:p w:rsidR="00310C45" w:rsidRPr="005B2D79" w:rsidRDefault="00310C45" w:rsidP="005B2D79">
      <w:pPr>
        <w:tabs>
          <w:tab w:val="clear" w:pos="4320"/>
          <w:tab w:val="clear" w:pos="9072"/>
        </w:tabs>
        <w:spacing w:line="360" w:lineRule="auto"/>
        <w:jc w:val="both"/>
      </w:pPr>
    </w:p>
    <w:p w:rsidR="005B2D79" w:rsidRPr="005B2D79" w:rsidRDefault="00197F6B" w:rsidP="005B2D79">
      <w:pPr>
        <w:numPr>
          <w:ilvl w:val="0"/>
          <w:numId w:val="17"/>
        </w:numPr>
        <w:tabs>
          <w:tab w:val="clear" w:pos="4320"/>
          <w:tab w:val="clear" w:pos="9072"/>
        </w:tabs>
        <w:spacing w:line="360" w:lineRule="auto"/>
        <w:ind w:left="0" w:firstLine="0"/>
        <w:jc w:val="both"/>
      </w:pPr>
      <w:r>
        <w:t xml:space="preserve">Secondly, on the other hand, the defendant’s application taken out on 11 May 2017 is </w:t>
      </w:r>
      <w:r w:rsidR="00283908">
        <w:t>undeniably</w:t>
      </w:r>
      <w:r>
        <w:t xml:space="preserve"> a very late application.  It was taken out </w:t>
      </w:r>
      <w:r w:rsidR="00283908">
        <w:t>only</w:t>
      </w:r>
      <w:r>
        <w:t xml:space="preserve"> one day before the 5</w:t>
      </w:r>
      <w:r w:rsidRPr="00197F6B">
        <w:rPr>
          <w:vertAlign w:val="superscript"/>
        </w:rPr>
        <w:t>th</w:t>
      </w:r>
      <w:r>
        <w:t xml:space="preserve"> checklist review hearing.  By that stage, the case was all ready to be set down.  In fact, after the </w:t>
      </w:r>
      <w:r w:rsidR="00283908">
        <w:t>m</w:t>
      </w:r>
      <w:r w:rsidR="00AE41AE">
        <w:t>aster dis</w:t>
      </w:r>
      <w:r w:rsidR="00283908">
        <w:t>miss</w:t>
      </w:r>
      <w:r w:rsidR="00AE41AE">
        <w:t>ed the defendant’</w:t>
      </w:r>
      <w:r w:rsidR="00CD5F34">
        <w:t>s application at that checklist review hearing</w:t>
      </w:r>
      <w:r w:rsidR="00AE41AE">
        <w:t xml:space="preserve">, </w:t>
      </w:r>
      <w:r w:rsidR="00BA42C9">
        <w:t>sh</w:t>
      </w:r>
      <w:r w:rsidR="00283908">
        <w:t>e</w:t>
      </w:r>
      <w:r w:rsidR="00AE41AE">
        <w:t xml:space="preserve"> proceeded to grant leave to set the case down for assessment of damages.</w:t>
      </w:r>
    </w:p>
    <w:p w:rsidR="005B2D79" w:rsidRPr="005B2D79" w:rsidRDefault="005B2D79" w:rsidP="005B2D79">
      <w:pPr>
        <w:tabs>
          <w:tab w:val="clear" w:pos="4320"/>
          <w:tab w:val="clear" w:pos="9072"/>
        </w:tabs>
        <w:spacing w:line="360" w:lineRule="auto"/>
        <w:jc w:val="both"/>
      </w:pPr>
    </w:p>
    <w:p w:rsidR="005B2D79" w:rsidRPr="005B2D79" w:rsidRDefault="00285098" w:rsidP="005B2D79">
      <w:pPr>
        <w:numPr>
          <w:ilvl w:val="0"/>
          <w:numId w:val="17"/>
        </w:numPr>
        <w:tabs>
          <w:tab w:val="clear" w:pos="4320"/>
          <w:tab w:val="clear" w:pos="9072"/>
        </w:tabs>
        <w:spacing w:line="360" w:lineRule="auto"/>
        <w:ind w:left="0" w:firstLine="0"/>
        <w:jc w:val="both"/>
      </w:pPr>
      <w:r>
        <w:t>Thirdly, not only was the application late, the defendant had had ample opportunity to take out the application before 11 May 2017.  But she did not do so.</w:t>
      </w:r>
    </w:p>
    <w:p w:rsidR="005B2D79" w:rsidRPr="005B2D79" w:rsidRDefault="005B2D79" w:rsidP="005B2D79">
      <w:pPr>
        <w:tabs>
          <w:tab w:val="clear" w:pos="4320"/>
          <w:tab w:val="clear" w:pos="9072"/>
        </w:tabs>
        <w:spacing w:line="360" w:lineRule="auto"/>
        <w:jc w:val="both"/>
      </w:pPr>
    </w:p>
    <w:p w:rsidR="005B2D79" w:rsidRPr="005B2D79" w:rsidRDefault="00285098" w:rsidP="005B2D79">
      <w:pPr>
        <w:numPr>
          <w:ilvl w:val="0"/>
          <w:numId w:val="17"/>
        </w:numPr>
        <w:tabs>
          <w:tab w:val="clear" w:pos="4320"/>
          <w:tab w:val="clear" w:pos="9072"/>
        </w:tabs>
        <w:spacing w:line="360" w:lineRule="auto"/>
        <w:ind w:left="0" w:firstLine="0"/>
        <w:jc w:val="both"/>
      </w:pPr>
      <w:r>
        <w:t>On 26 February 2016, at the 2</w:t>
      </w:r>
      <w:r w:rsidRPr="00285098">
        <w:rPr>
          <w:vertAlign w:val="superscript"/>
        </w:rPr>
        <w:t>nd</w:t>
      </w:r>
      <w:r>
        <w:t xml:space="preserve"> </w:t>
      </w:r>
      <w:r w:rsidR="00CD5F34">
        <w:t>checklist review hearing</w:t>
      </w:r>
      <w:r>
        <w:t xml:space="preserve">, Master R So directed that the defendant should </w:t>
      </w:r>
      <w:r w:rsidR="00A265EA">
        <w:t>nominate</w:t>
      </w:r>
      <w:r>
        <w:t xml:space="preserve"> her own </w:t>
      </w:r>
      <w:r>
        <w:lastRenderedPageBreak/>
        <w:t>psychiatric expert within 42 days and if she failed to do so, she would be de</w:t>
      </w:r>
      <w:r w:rsidR="00B67413">
        <w:t>eme</w:t>
      </w:r>
      <w:r>
        <w:t>d to have elected not to adduce such evidence at the assessment hearing.</w:t>
      </w:r>
    </w:p>
    <w:p w:rsidR="005B2D79" w:rsidRPr="004850F6" w:rsidRDefault="005B2D79" w:rsidP="005B2D79">
      <w:pPr>
        <w:tabs>
          <w:tab w:val="clear" w:pos="4320"/>
          <w:tab w:val="clear" w:pos="9072"/>
        </w:tabs>
        <w:spacing w:line="360" w:lineRule="auto"/>
        <w:jc w:val="both"/>
        <w:rPr>
          <w:i/>
        </w:rPr>
      </w:pPr>
    </w:p>
    <w:p w:rsidR="005B2D79" w:rsidRPr="005B2D79" w:rsidRDefault="00A265EA" w:rsidP="005B2D79">
      <w:pPr>
        <w:numPr>
          <w:ilvl w:val="0"/>
          <w:numId w:val="17"/>
        </w:numPr>
        <w:tabs>
          <w:tab w:val="clear" w:pos="4320"/>
          <w:tab w:val="clear" w:pos="9072"/>
        </w:tabs>
        <w:spacing w:line="360" w:lineRule="auto"/>
        <w:ind w:left="0" w:firstLine="0"/>
        <w:jc w:val="both"/>
      </w:pPr>
      <w:r>
        <w:t xml:space="preserve">After her failure to nominate within the prescribed the limit, she had not at any time sought any extension of time.  At that time, she was not legally represented.  That remained to be the case until 6 October 2016, when a Notice to Act was filed on her behalf by Ching &amp; Co, which </w:t>
      </w:r>
      <w:r w:rsidR="00B67413">
        <w:t>firm</w:t>
      </w:r>
      <w:r>
        <w:t xml:space="preserve"> h</w:t>
      </w:r>
      <w:r w:rsidR="00B67413">
        <w:t>as</w:t>
      </w:r>
      <w:r>
        <w:t xml:space="preserve"> since represented her</w:t>
      </w:r>
      <w:r w:rsidR="002D7FE2">
        <w:t>, including at today’s hearing.</w:t>
      </w:r>
    </w:p>
    <w:p w:rsidR="005B2D79" w:rsidRPr="005B2D79" w:rsidRDefault="005B2D79" w:rsidP="005B2D79">
      <w:pPr>
        <w:tabs>
          <w:tab w:val="clear" w:pos="4320"/>
          <w:tab w:val="clear" w:pos="9072"/>
        </w:tabs>
        <w:spacing w:line="360" w:lineRule="auto"/>
        <w:jc w:val="both"/>
      </w:pPr>
    </w:p>
    <w:p w:rsidR="006253D9" w:rsidRDefault="002D7FE2" w:rsidP="005B2D79">
      <w:pPr>
        <w:numPr>
          <w:ilvl w:val="0"/>
          <w:numId w:val="17"/>
        </w:numPr>
        <w:tabs>
          <w:tab w:val="clear" w:pos="4320"/>
          <w:tab w:val="clear" w:pos="9072"/>
        </w:tabs>
        <w:spacing w:line="360" w:lineRule="auto"/>
        <w:ind w:left="0" w:firstLine="0"/>
        <w:jc w:val="both"/>
        <w:rPr>
          <w:rFonts w:eastAsia="Times New Roman"/>
          <w:iCs/>
        </w:rPr>
      </w:pPr>
      <w:r>
        <w:rPr>
          <w:rFonts w:eastAsia="Times New Roman"/>
          <w:iCs/>
        </w:rPr>
        <w:t>In the meantime, the plaintiff had gone ahead to instruct her psychiatric expert to conduct an examination on her and a report was duly comp</w:t>
      </w:r>
      <w:r w:rsidR="00B67413">
        <w:rPr>
          <w:rFonts w:eastAsia="Times New Roman"/>
          <w:iCs/>
        </w:rPr>
        <w:t>il</w:t>
      </w:r>
      <w:r>
        <w:rPr>
          <w:rFonts w:eastAsia="Times New Roman"/>
          <w:iCs/>
        </w:rPr>
        <w:t xml:space="preserve">ed in May 2016, all these steps being taken with the prior leave </w:t>
      </w:r>
      <w:r w:rsidR="006253D9">
        <w:rPr>
          <w:rFonts w:eastAsia="Times New Roman"/>
          <w:iCs/>
        </w:rPr>
        <w:t>of the court.</w:t>
      </w:r>
    </w:p>
    <w:p w:rsidR="006253D9" w:rsidRDefault="006253D9" w:rsidP="006253D9">
      <w:pPr>
        <w:tabs>
          <w:tab w:val="clear" w:pos="4320"/>
          <w:tab w:val="clear" w:pos="9072"/>
        </w:tabs>
        <w:spacing w:line="360" w:lineRule="auto"/>
        <w:jc w:val="both"/>
        <w:rPr>
          <w:rFonts w:eastAsia="Times New Roman"/>
          <w:iCs/>
        </w:rPr>
      </w:pPr>
    </w:p>
    <w:p w:rsidR="005B2D79" w:rsidRPr="005B2D79" w:rsidRDefault="002D7FE2" w:rsidP="005B2D79">
      <w:pPr>
        <w:numPr>
          <w:ilvl w:val="0"/>
          <w:numId w:val="17"/>
        </w:numPr>
        <w:tabs>
          <w:tab w:val="clear" w:pos="4320"/>
          <w:tab w:val="clear" w:pos="9072"/>
        </w:tabs>
        <w:spacing w:line="360" w:lineRule="auto"/>
        <w:ind w:left="0" w:firstLine="0"/>
        <w:jc w:val="both"/>
        <w:rPr>
          <w:rFonts w:eastAsia="Times New Roman"/>
          <w:iCs/>
        </w:rPr>
      </w:pPr>
      <w:r>
        <w:rPr>
          <w:rFonts w:eastAsia="Times New Roman"/>
          <w:iCs/>
        </w:rPr>
        <w:t>Then followed the 3</w:t>
      </w:r>
      <w:r w:rsidRPr="002D7FE2">
        <w:rPr>
          <w:rFonts w:eastAsia="Times New Roman"/>
          <w:iCs/>
          <w:vertAlign w:val="superscript"/>
        </w:rPr>
        <w:t>rd</w:t>
      </w:r>
      <w:r>
        <w:rPr>
          <w:rFonts w:eastAsia="Times New Roman"/>
          <w:iCs/>
        </w:rPr>
        <w:t xml:space="preserve"> </w:t>
      </w:r>
      <w:r w:rsidR="00CD5F34">
        <w:t>checklist review hearing</w:t>
      </w:r>
      <w:r>
        <w:rPr>
          <w:rFonts w:eastAsia="Times New Roman"/>
          <w:iCs/>
        </w:rPr>
        <w:t>, which took place on 26 November 2017, ie</w:t>
      </w:r>
      <w:r w:rsidR="006253D9">
        <w:rPr>
          <w:rFonts w:eastAsia="Times New Roman"/>
          <w:iCs/>
        </w:rPr>
        <w:t>,</w:t>
      </w:r>
      <w:r>
        <w:rPr>
          <w:rFonts w:eastAsia="Times New Roman"/>
          <w:iCs/>
        </w:rPr>
        <w:t xml:space="preserve"> about a month after the defendant </w:t>
      </w:r>
      <w:r w:rsidR="0082727D">
        <w:rPr>
          <w:rFonts w:eastAsia="Times New Roman"/>
          <w:iCs/>
        </w:rPr>
        <w:t>f</w:t>
      </w:r>
      <w:r w:rsidR="006253D9">
        <w:rPr>
          <w:rFonts w:eastAsia="Times New Roman"/>
          <w:iCs/>
        </w:rPr>
        <w:t>ormally</w:t>
      </w:r>
      <w:r w:rsidR="0082727D">
        <w:rPr>
          <w:rFonts w:eastAsia="Times New Roman"/>
          <w:iCs/>
        </w:rPr>
        <w:t xml:space="preserve"> engaged her solicitors, no questionnaire </w:t>
      </w:r>
      <w:r w:rsidR="006253D9">
        <w:rPr>
          <w:rFonts w:eastAsia="Times New Roman"/>
          <w:iCs/>
        </w:rPr>
        <w:t>w</w:t>
      </w:r>
      <w:r w:rsidR="0082727D">
        <w:rPr>
          <w:rFonts w:eastAsia="Times New Roman"/>
          <w:iCs/>
        </w:rPr>
        <w:t>as filed on behalf of the defendant in advance o</w:t>
      </w:r>
      <w:r w:rsidR="006253D9">
        <w:rPr>
          <w:rFonts w:eastAsia="Times New Roman"/>
          <w:iCs/>
        </w:rPr>
        <w:t>f</w:t>
      </w:r>
      <w:r w:rsidR="0082727D">
        <w:rPr>
          <w:rFonts w:eastAsia="Times New Roman"/>
          <w:iCs/>
        </w:rPr>
        <w:t xml:space="preserve"> the hearing and no formal application was made to extend time for her to nominate her own psychiatric expert.  </w:t>
      </w:r>
      <w:r w:rsidR="00CD5F34">
        <w:rPr>
          <w:rFonts w:eastAsia="Times New Roman"/>
          <w:iCs/>
        </w:rPr>
        <w:t xml:space="preserve">According to the notes of the presiding </w:t>
      </w:r>
      <w:r w:rsidR="006253D9">
        <w:rPr>
          <w:rFonts w:eastAsia="Times New Roman"/>
          <w:iCs/>
        </w:rPr>
        <w:t>m</w:t>
      </w:r>
      <w:r w:rsidR="00CD5F34">
        <w:rPr>
          <w:rFonts w:eastAsia="Times New Roman"/>
          <w:iCs/>
        </w:rPr>
        <w:t xml:space="preserve">aster, the defendant did seek to adjourn the </w:t>
      </w:r>
      <w:r w:rsidR="00CD5F34">
        <w:t>checklist review hearing and have s</w:t>
      </w:r>
      <w:r w:rsidR="00BA42C9">
        <w:t>o</w:t>
      </w:r>
      <w:r w:rsidR="006253D9">
        <w:t>me</w:t>
      </w:r>
      <w:r w:rsidR="00CD5F34">
        <w:t xml:space="preserve"> time to seek leave to adduce her psychiatric</w:t>
      </w:r>
      <w:r w:rsidR="006253D9">
        <w:t xml:space="preserve"> evidence</w:t>
      </w:r>
      <w:r w:rsidR="00CD5F34">
        <w:t>.</w:t>
      </w:r>
    </w:p>
    <w:p w:rsidR="005B2D79" w:rsidRPr="005B2D79" w:rsidRDefault="005B2D79" w:rsidP="005B2D79">
      <w:pPr>
        <w:tabs>
          <w:tab w:val="clear" w:pos="4320"/>
          <w:tab w:val="clear" w:pos="9072"/>
        </w:tabs>
        <w:spacing w:line="360" w:lineRule="auto"/>
        <w:jc w:val="both"/>
        <w:rPr>
          <w:rFonts w:eastAsia="Times New Roman"/>
          <w:iCs/>
        </w:rPr>
      </w:pPr>
    </w:p>
    <w:p w:rsidR="005B2D79" w:rsidRPr="005B2D79" w:rsidRDefault="00F8499D" w:rsidP="005B2D79">
      <w:pPr>
        <w:numPr>
          <w:ilvl w:val="0"/>
          <w:numId w:val="17"/>
        </w:numPr>
        <w:tabs>
          <w:tab w:val="clear" w:pos="4320"/>
          <w:tab w:val="clear" w:pos="9072"/>
        </w:tabs>
        <w:spacing w:line="360" w:lineRule="auto"/>
        <w:ind w:left="0" w:firstLine="0"/>
        <w:jc w:val="both"/>
        <w:rPr>
          <w:lang w:val="en-CA"/>
        </w:rPr>
      </w:pPr>
      <w:r>
        <w:rPr>
          <w:lang w:val="en-CA"/>
        </w:rPr>
        <w:t>Notwithstanding that</w:t>
      </w:r>
      <w:r w:rsidR="006253D9">
        <w:rPr>
          <w:lang w:val="en-CA"/>
        </w:rPr>
        <w:t>,</w:t>
      </w:r>
      <w:r>
        <w:rPr>
          <w:lang w:val="en-CA"/>
        </w:rPr>
        <w:t xml:space="preserve"> at the 4</w:t>
      </w:r>
      <w:r w:rsidRPr="00F8499D">
        <w:rPr>
          <w:vertAlign w:val="superscript"/>
          <w:lang w:val="en-CA"/>
        </w:rPr>
        <w:t>th</w:t>
      </w:r>
      <w:r>
        <w:rPr>
          <w:lang w:val="en-CA"/>
        </w:rPr>
        <w:t xml:space="preserve"> </w:t>
      </w:r>
      <w:r>
        <w:t>checklist review hearing, which took place on 10 February 2017, ie</w:t>
      </w:r>
      <w:r w:rsidR="006253D9">
        <w:t>,</w:t>
      </w:r>
      <w:r>
        <w:t xml:space="preserve"> 2</w:t>
      </w:r>
      <w:r>
        <w:rPr>
          <w:rFonts w:ascii="PMingLiU" w:eastAsia="PMingLiU" w:hAnsi="PMingLiU" w:hint="eastAsia"/>
        </w:rPr>
        <w:t>½</w:t>
      </w:r>
      <w:r>
        <w:rPr>
          <w:rFonts w:hint="eastAsia"/>
        </w:rPr>
        <w:t xml:space="preserve"> months later</w:t>
      </w:r>
      <w:r>
        <w:t>, no applic</w:t>
      </w:r>
      <w:r w:rsidR="00B64677">
        <w:t xml:space="preserve">ation was made by the defendant, </w:t>
      </w:r>
      <w:r w:rsidR="006253D9">
        <w:t>contrary</w:t>
      </w:r>
      <w:r w:rsidR="00B64677">
        <w:t xml:space="preserve"> to what the solicitor had previously indicated.  On th</w:t>
      </w:r>
      <w:r w:rsidR="006253D9">
        <w:t>at</w:t>
      </w:r>
      <w:r w:rsidR="00B64677">
        <w:t xml:space="preserve"> occasion, the </w:t>
      </w:r>
      <w:r w:rsidR="006253D9">
        <w:t>plaintiff</w:t>
      </w:r>
      <w:r w:rsidR="00B64677">
        <w:t xml:space="preserve"> sought a direction that her expert </w:t>
      </w:r>
      <w:r w:rsidR="00B64677">
        <w:lastRenderedPageBreak/>
        <w:t xml:space="preserve">report be admitted into evidence without calling the doctor to give oral testimony and be examined.  The defendant sought to resist that but ultimately failed before the </w:t>
      </w:r>
      <w:r w:rsidR="006253D9">
        <w:t>m</w:t>
      </w:r>
      <w:r w:rsidR="00B64677">
        <w:t>aster.  The direction was granted.  The defendant lodged an appeal against that, which was dismissed on 24 March 2017.</w:t>
      </w:r>
    </w:p>
    <w:p w:rsidR="005B2D79" w:rsidRPr="005B2D79" w:rsidRDefault="005B2D79" w:rsidP="005B2D79">
      <w:pPr>
        <w:tabs>
          <w:tab w:val="clear" w:pos="4320"/>
          <w:tab w:val="clear" w:pos="9072"/>
        </w:tabs>
        <w:spacing w:line="360" w:lineRule="auto"/>
        <w:jc w:val="both"/>
        <w:rPr>
          <w:lang w:val="en-CA"/>
        </w:rPr>
      </w:pPr>
    </w:p>
    <w:p w:rsidR="005B2D79" w:rsidRPr="005B2D79" w:rsidRDefault="008E4C04" w:rsidP="005B2D79">
      <w:pPr>
        <w:numPr>
          <w:ilvl w:val="0"/>
          <w:numId w:val="17"/>
        </w:numPr>
        <w:tabs>
          <w:tab w:val="clear" w:pos="4320"/>
          <w:tab w:val="clear" w:pos="9072"/>
        </w:tabs>
        <w:spacing w:line="360" w:lineRule="auto"/>
        <w:ind w:left="0" w:firstLine="0"/>
        <w:jc w:val="both"/>
        <w:rPr>
          <w:lang w:val="en-CA"/>
        </w:rPr>
      </w:pPr>
      <w:r>
        <w:rPr>
          <w:lang w:val="en-CA"/>
        </w:rPr>
        <w:t xml:space="preserve">Yet, it took her almost 2 months </w:t>
      </w:r>
      <w:r w:rsidR="00997612">
        <w:rPr>
          <w:lang w:val="en-CA"/>
        </w:rPr>
        <w:t xml:space="preserve">later </w:t>
      </w:r>
      <w:r>
        <w:rPr>
          <w:lang w:val="en-CA"/>
        </w:rPr>
        <w:t>to take out the present application.</w:t>
      </w:r>
    </w:p>
    <w:p w:rsidR="005B2D79" w:rsidRPr="005B2D79" w:rsidRDefault="005B2D79" w:rsidP="005B2D79">
      <w:pPr>
        <w:tabs>
          <w:tab w:val="clear" w:pos="4320"/>
          <w:tab w:val="clear" w:pos="9072"/>
        </w:tabs>
        <w:spacing w:line="360" w:lineRule="auto"/>
        <w:jc w:val="both"/>
        <w:rPr>
          <w:lang w:val="en-CA"/>
        </w:rPr>
      </w:pPr>
    </w:p>
    <w:p w:rsidR="005B2D79" w:rsidRPr="005B2D79" w:rsidRDefault="008E4C04" w:rsidP="005B2D79">
      <w:pPr>
        <w:numPr>
          <w:ilvl w:val="0"/>
          <w:numId w:val="17"/>
        </w:numPr>
        <w:tabs>
          <w:tab w:val="clear" w:pos="4320"/>
          <w:tab w:val="clear" w:pos="9072"/>
        </w:tabs>
        <w:spacing w:line="360" w:lineRule="auto"/>
        <w:ind w:left="0" w:firstLine="0"/>
        <w:jc w:val="both"/>
        <w:rPr>
          <w:lang w:val="en-CA"/>
        </w:rPr>
      </w:pPr>
      <w:r>
        <w:rPr>
          <w:lang w:val="en-CA"/>
        </w:rPr>
        <w:t>There was</w:t>
      </w:r>
      <w:r w:rsidR="00F428EA">
        <w:rPr>
          <w:lang w:val="en-CA"/>
        </w:rPr>
        <w:t>, therefore, a delay of almost 15 months.  And even if one discount</w:t>
      </w:r>
      <w:r w:rsidR="00997612">
        <w:rPr>
          <w:lang w:val="en-CA"/>
        </w:rPr>
        <w:t>s</w:t>
      </w:r>
      <w:r w:rsidR="00F428EA">
        <w:rPr>
          <w:lang w:val="en-CA"/>
        </w:rPr>
        <w:t xml:space="preserve"> the period from February to May 2017, when the issue of cross-examination was being </w:t>
      </w:r>
      <w:r w:rsidR="00997612">
        <w:rPr>
          <w:lang w:val="en-CA"/>
        </w:rPr>
        <w:t>f</w:t>
      </w:r>
      <w:r w:rsidR="00F428EA">
        <w:rPr>
          <w:lang w:val="en-CA"/>
        </w:rPr>
        <w:t xml:space="preserve">ought, there was still a delay of almost one year </w:t>
      </w:r>
      <w:r w:rsidR="00997612">
        <w:rPr>
          <w:lang w:val="en-CA"/>
        </w:rPr>
        <w:t>in</w:t>
      </w:r>
      <w:r w:rsidR="00F428EA">
        <w:rPr>
          <w:lang w:val="en-CA"/>
        </w:rPr>
        <w:t xml:space="preserve"> the taking out of the </w:t>
      </w:r>
      <w:r w:rsidR="00997612">
        <w:rPr>
          <w:lang w:val="en-CA"/>
        </w:rPr>
        <w:t xml:space="preserve">defendant’s </w:t>
      </w:r>
      <w:r w:rsidR="00F428EA">
        <w:rPr>
          <w:lang w:val="en-CA"/>
        </w:rPr>
        <w:t>application.</w:t>
      </w:r>
    </w:p>
    <w:p w:rsidR="005B2D79" w:rsidRPr="005B2D79" w:rsidRDefault="005B2D79" w:rsidP="005B2D79">
      <w:pPr>
        <w:tabs>
          <w:tab w:val="clear" w:pos="4320"/>
          <w:tab w:val="clear" w:pos="9072"/>
        </w:tabs>
        <w:spacing w:line="360" w:lineRule="auto"/>
        <w:jc w:val="both"/>
        <w:rPr>
          <w:lang w:val="en-CA"/>
        </w:rPr>
      </w:pPr>
    </w:p>
    <w:p w:rsidR="005B2D79" w:rsidRPr="005B2D79" w:rsidRDefault="00F428EA" w:rsidP="005B2D79">
      <w:pPr>
        <w:numPr>
          <w:ilvl w:val="0"/>
          <w:numId w:val="17"/>
        </w:numPr>
        <w:tabs>
          <w:tab w:val="clear" w:pos="4320"/>
          <w:tab w:val="clear" w:pos="9072"/>
        </w:tabs>
        <w:spacing w:line="360" w:lineRule="auto"/>
        <w:ind w:left="0" w:firstLine="0"/>
        <w:jc w:val="both"/>
        <w:rPr>
          <w:lang w:val="en-CA"/>
        </w:rPr>
      </w:pPr>
      <w:r>
        <w:rPr>
          <w:lang w:val="en-CA"/>
        </w:rPr>
        <w:t>As far as one can see, there appeared to be nothing which would have prevented the defendant from taking out the application during th</w:t>
      </w:r>
      <w:r w:rsidR="00997612">
        <w:rPr>
          <w:lang w:val="en-CA"/>
        </w:rPr>
        <w:t>o</w:t>
      </w:r>
      <w:r>
        <w:rPr>
          <w:lang w:val="en-CA"/>
        </w:rPr>
        <w:t>se 12 months.  Naturally, one asks the question – why not and why waited for so long before taking out the application?  On its f</w:t>
      </w:r>
      <w:r w:rsidR="00381207">
        <w:rPr>
          <w:lang w:val="en-CA"/>
        </w:rPr>
        <w:t>ace, the timing is not consistent</w:t>
      </w:r>
      <w:r>
        <w:rPr>
          <w:lang w:val="en-CA"/>
        </w:rPr>
        <w:t xml:space="preserve"> with any serious intention on the defendant’s part to adduce expert evidence.</w:t>
      </w:r>
    </w:p>
    <w:p w:rsidR="005B2D79" w:rsidRPr="005B2D79" w:rsidRDefault="005B2D79" w:rsidP="005B2D79">
      <w:pPr>
        <w:tabs>
          <w:tab w:val="clear" w:pos="4320"/>
          <w:tab w:val="clear" w:pos="9072"/>
        </w:tabs>
        <w:spacing w:line="360" w:lineRule="auto"/>
        <w:jc w:val="both"/>
        <w:rPr>
          <w:lang w:val="en-CA"/>
        </w:rPr>
      </w:pPr>
    </w:p>
    <w:p w:rsidR="005B2D79" w:rsidRPr="005B2D79" w:rsidRDefault="00DB7D3E" w:rsidP="005B2D79">
      <w:pPr>
        <w:numPr>
          <w:ilvl w:val="0"/>
          <w:numId w:val="17"/>
        </w:numPr>
        <w:tabs>
          <w:tab w:val="clear" w:pos="4320"/>
          <w:tab w:val="clear" w:pos="9072"/>
        </w:tabs>
        <w:spacing w:line="360" w:lineRule="auto"/>
        <w:ind w:left="0" w:firstLine="0"/>
        <w:jc w:val="both"/>
        <w:rPr>
          <w:lang w:val="en-CA"/>
        </w:rPr>
      </w:pPr>
      <w:r>
        <w:rPr>
          <w:lang w:val="en-CA"/>
        </w:rPr>
        <w:t>Fourthly, worse still, there is a complete lack of explanation as to the delay.</w:t>
      </w:r>
    </w:p>
    <w:p w:rsidR="005B2D79" w:rsidRPr="005B2D79" w:rsidRDefault="005B2D79" w:rsidP="005B2D79">
      <w:pPr>
        <w:tabs>
          <w:tab w:val="clear" w:pos="4320"/>
          <w:tab w:val="clear" w:pos="9072"/>
        </w:tabs>
        <w:spacing w:line="360" w:lineRule="auto"/>
        <w:jc w:val="both"/>
        <w:rPr>
          <w:lang w:val="en-CA"/>
        </w:rPr>
      </w:pPr>
    </w:p>
    <w:p w:rsidR="005B2D79" w:rsidRPr="005B2D79" w:rsidRDefault="00DB7D3E" w:rsidP="005B2D79">
      <w:pPr>
        <w:numPr>
          <w:ilvl w:val="0"/>
          <w:numId w:val="17"/>
        </w:numPr>
        <w:tabs>
          <w:tab w:val="clear" w:pos="4320"/>
          <w:tab w:val="clear" w:pos="9072"/>
        </w:tabs>
        <w:spacing w:line="360" w:lineRule="auto"/>
        <w:ind w:left="0" w:firstLine="0"/>
        <w:jc w:val="both"/>
        <w:rPr>
          <w:rFonts w:eastAsia="Times New Roman"/>
        </w:rPr>
      </w:pPr>
      <w:r>
        <w:rPr>
          <w:rFonts w:eastAsia="Times New Roman"/>
          <w:lang w:val="en-CA"/>
        </w:rPr>
        <w:t>The defendant’s p</w:t>
      </w:r>
      <w:r w:rsidR="00381207">
        <w:rPr>
          <w:rFonts w:eastAsia="Times New Roman"/>
          <w:lang w:val="en-CA"/>
        </w:rPr>
        <w:t>resent</w:t>
      </w:r>
      <w:r>
        <w:rPr>
          <w:rFonts w:eastAsia="Times New Roman"/>
          <w:lang w:val="en-CA"/>
        </w:rPr>
        <w:t xml:space="preserve"> application was not accompanied by any supporting </w:t>
      </w:r>
      <w:r w:rsidR="00A34CB8">
        <w:rPr>
          <w:rFonts w:eastAsia="Times New Roman"/>
          <w:lang w:val="en-CA"/>
        </w:rPr>
        <w:t>affidavit</w:t>
      </w:r>
      <w:r>
        <w:rPr>
          <w:rFonts w:eastAsia="Times New Roman"/>
          <w:lang w:val="en-CA"/>
        </w:rPr>
        <w:t xml:space="preserve">.  It was her own application to seek an indulgence from the court to in effect extend time for her to file expert psychiatric </w:t>
      </w:r>
      <w:r>
        <w:rPr>
          <w:rFonts w:eastAsia="Times New Roman"/>
          <w:lang w:val="en-CA"/>
        </w:rPr>
        <w:lastRenderedPageBreak/>
        <w:t>evidence.  Yet she did not see fit to explain why she was so late in making the application.</w:t>
      </w:r>
    </w:p>
    <w:p w:rsidR="005B2D79" w:rsidRPr="005B2D79" w:rsidRDefault="005B2D79" w:rsidP="005B2D79">
      <w:pPr>
        <w:tabs>
          <w:tab w:val="clear" w:pos="4320"/>
          <w:tab w:val="clear" w:pos="9072"/>
        </w:tabs>
        <w:spacing w:line="360" w:lineRule="auto"/>
        <w:jc w:val="both"/>
        <w:rPr>
          <w:rFonts w:eastAsia="Times New Roman"/>
        </w:rPr>
      </w:pPr>
    </w:p>
    <w:p w:rsidR="005B2D79" w:rsidRPr="005B2D79" w:rsidRDefault="00DB7D3E" w:rsidP="005B2D79">
      <w:pPr>
        <w:numPr>
          <w:ilvl w:val="0"/>
          <w:numId w:val="17"/>
        </w:numPr>
        <w:tabs>
          <w:tab w:val="clear" w:pos="4320"/>
          <w:tab w:val="clear" w:pos="9072"/>
        </w:tabs>
        <w:spacing w:line="360" w:lineRule="auto"/>
        <w:ind w:left="0" w:firstLine="0"/>
        <w:jc w:val="both"/>
        <w:rPr>
          <w:lang w:val="en-CA"/>
        </w:rPr>
      </w:pPr>
      <w:r>
        <w:rPr>
          <w:lang w:val="en-CA"/>
        </w:rPr>
        <w:t xml:space="preserve">It </w:t>
      </w:r>
      <w:r w:rsidR="001E695D">
        <w:rPr>
          <w:lang w:val="en-CA"/>
        </w:rPr>
        <w:t>is</w:t>
      </w:r>
      <w:r>
        <w:rPr>
          <w:lang w:val="en-CA"/>
        </w:rPr>
        <w:t xml:space="preserve"> now suggested on her behalf that when Master So’s order was made and up until 6 October 2016, she was acting in perso</w:t>
      </w:r>
      <w:r w:rsidR="003930E5">
        <w:rPr>
          <w:lang w:val="en-CA"/>
        </w:rPr>
        <w:t>n and was in jail and therefore, first, that she did not have the benefits of any legal advice and</w:t>
      </w:r>
      <w:r w:rsidR="001E695D">
        <w:rPr>
          <w:lang w:val="en-CA"/>
        </w:rPr>
        <w:t>,</w:t>
      </w:r>
      <w:r w:rsidR="003930E5">
        <w:rPr>
          <w:lang w:val="en-CA"/>
        </w:rPr>
        <w:t xml:space="preserve"> secondly, that she was still upset about her conviction </w:t>
      </w:r>
      <w:r w:rsidR="001E695D">
        <w:rPr>
          <w:lang w:val="en-CA"/>
        </w:rPr>
        <w:t>and</w:t>
      </w:r>
      <w:r w:rsidR="003930E5">
        <w:rPr>
          <w:lang w:val="en-CA"/>
        </w:rPr>
        <w:t xml:space="preserve"> her ability to make arrangements was restricted and her financial ability was </w:t>
      </w:r>
      <w:r w:rsidR="001E695D">
        <w:rPr>
          <w:lang w:val="en-CA"/>
        </w:rPr>
        <w:t>limited</w:t>
      </w:r>
      <w:r w:rsidR="003930E5">
        <w:rPr>
          <w:lang w:val="en-CA"/>
        </w:rPr>
        <w:t>.</w:t>
      </w:r>
    </w:p>
    <w:p w:rsidR="005B2D79" w:rsidRPr="005B2D79" w:rsidRDefault="005B2D79" w:rsidP="005B2D79">
      <w:pPr>
        <w:tabs>
          <w:tab w:val="clear" w:pos="4320"/>
          <w:tab w:val="clear" w:pos="9072"/>
        </w:tabs>
        <w:spacing w:line="360" w:lineRule="auto"/>
        <w:jc w:val="both"/>
        <w:rPr>
          <w:lang w:val="en-CA"/>
        </w:rPr>
      </w:pPr>
    </w:p>
    <w:p w:rsidR="0039685D" w:rsidRDefault="003930E5" w:rsidP="005030E8">
      <w:pPr>
        <w:numPr>
          <w:ilvl w:val="0"/>
          <w:numId w:val="17"/>
        </w:numPr>
        <w:tabs>
          <w:tab w:val="clear" w:pos="4320"/>
          <w:tab w:val="clear" w:pos="9072"/>
        </w:tabs>
        <w:spacing w:line="360" w:lineRule="auto"/>
        <w:ind w:left="0" w:firstLine="0"/>
        <w:jc w:val="both"/>
        <w:rPr>
          <w:lang w:val="en-CA"/>
        </w:rPr>
      </w:pPr>
      <w:r w:rsidRPr="00A3188E">
        <w:rPr>
          <w:lang w:val="en-CA"/>
        </w:rPr>
        <w:t>It is for the defendant to explain her difficulties and hardship</w:t>
      </w:r>
      <w:r w:rsidR="001E695D">
        <w:rPr>
          <w:lang w:val="en-CA"/>
        </w:rPr>
        <w:t>,</w:t>
      </w:r>
      <w:r w:rsidRPr="00A3188E">
        <w:rPr>
          <w:lang w:val="en-CA"/>
        </w:rPr>
        <w:t xml:space="preserve"> which are all factual matters</w:t>
      </w:r>
      <w:r w:rsidR="001E695D">
        <w:rPr>
          <w:lang w:val="en-CA"/>
        </w:rPr>
        <w:t>,</w:t>
      </w:r>
      <w:r w:rsidRPr="00A3188E">
        <w:rPr>
          <w:lang w:val="en-CA"/>
        </w:rPr>
        <w:t xml:space="preserve"> by way of </w:t>
      </w:r>
      <w:r w:rsidR="00A34CB8" w:rsidRPr="00A3188E">
        <w:rPr>
          <w:lang w:val="en-CA"/>
        </w:rPr>
        <w:t xml:space="preserve">affidavit evidence, not through submissions from her legal representatives.  This is </w:t>
      </w:r>
      <w:r w:rsidR="0039685D" w:rsidRPr="00A3188E">
        <w:rPr>
          <w:lang w:val="en-CA"/>
        </w:rPr>
        <w:t>trite</w:t>
      </w:r>
      <w:r w:rsidR="00A34CB8" w:rsidRPr="00A3188E">
        <w:rPr>
          <w:lang w:val="en-CA"/>
        </w:rPr>
        <w:t xml:space="preserve"> and standard</w:t>
      </w:r>
      <w:r w:rsidR="0039685D">
        <w:rPr>
          <w:lang w:val="en-CA"/>
        </w:rPr>
        <w:t xml:space="preserve">. </w:t>
      </w:r>
      <w:r w:rsidR="00A34CB8" w:rsidRPr="00A3188E">
        <w:rPr>
          <w:lang w:val="en-CA"/>
        </w:rPr>
        <w:t xml:space="preserve"> </w:t>
      </w:r>
      <w:r w:rsidR="0039685D">
        <w:rPr>
          <w:lang w:val="en-CA"/>
        </w:rPr>
        <w:t>W</w:t>
      </w:r>
      <w:r w:rsidR="00A34CB8" w:rsidRPr="00A3188E">
        <w:rPr>
          <w:lang w:val="en-CA"/>
        </w:rPr>
        <w:t>hy did the defendant fail to give her explanation under oath or affirmation, when she was legally represented</w:t>
      </w:r>
      <w:r w:rsidR="0039685D">
        <w:rPr>
          <w:lang w:val="en-CA"/>
        </w:rPr>
        <w:t>,</w:t>
      </w:r>
      <w:r w:rsidR="00A34CB8" w:rsidRPr="00A3188E">
        <w:rPr>
          <w:lang w:val="en-CA"/>
        </w:rPr>
        <w:t xml:space="preserve"> when making the present application</w:t>
      </w:r>
      <w:r w:rsidR="0039685D">
        <w:rPr>
          <w:lang w:val="en-CA"/>
        </w:rPr>
        <w:t xml:space="preserve"> in May</w:t>
      </w:r>
      <w:r w:rsidR="00A34CB8" w:rsidRPr="00A3188E">
        <w:rPr>
          <w:lang w:val="en-CA"/>
        </w:rPr>
        <w:t xml:space="preserve">?  </w:t>
      </w:r>
    </w:p>
    <w:p w:rsidR="0039685D" w:rsidRDefault="0039685D" w:rsidP="0039685D">
      <w:pPr>
        <w:tabs>
          <w:tab w:val="clear" w:pos="4320"/>
          <w:tab w:val="clear" w:pos="9072"/>
        </w:tabs>
        <w:spacing w:line="360" w:lineRule="auto"/>
        <w:jc w:val="both"/>
        <w:rPr>
          <w:lang w:val="en-CA"/>
        </w:rPr>
      </w:pPr>
    </w:p>
    <w:p w:rsidR="0039685D" w:rsidRPr="0039685D" w:rsidRDefault="00A34CB8" w:rsidP="005030E8">
      <w:pPr>
        <w:numPr>
          <w:ilvl w:val="0"/>
          <w:numId w:val="17"/>
        </w:numPr>
        <w:tabs>
          <w:tab w:val="clear" w:pos="4320"/>
          <w:tab w:val="clear" w:pos="9072"/>
        </w:tabs>
        <w:spacing w:line="360" w:lineRule="auto"/>
        <w:ind w:left="0" w:firstLine="0"/>
        <w:jc w:val="both"/>
        <w:rPr>
          <w:lang w:val="en-CA"/>
        </w:rPr>
      </w:pPr>
      <w:r w:rsidRPr="00A3188E">
        <w:rPr>
          <w:lang w:val="en-CA"/>
        </w:rPr>
        <w:t>Mr Ching, who is the handling solicitor, explained this morning that when the summons was filed on 11 May 2017</w:t>
      </w:r>
      <w:r w:rsidR="0039685D">
        <w:rPr>
          <w:lang w:val="en-CA"/>
        </w:rPr>
        <w:t xml:space="preserve">, </w:t>
      </w:r>
      <w:r w:rsidRPr="00A3188E">
        <w:rPr>
          <w:lang w:val="en-CA"/>
        </w:rPr>
        <w:t xml:space="preserve">a return date in July was given and he was not prepared to deal with it on the following day.  However, the </w:t>
      </w:r>
      <w:r w:rsidR="0039685D">
        <w:rPr>
          <w:lang w:val="en-CA"/>
        </w:rPr>
        <w:t>m</w:t>
      </w:r>
      <w:r w:rsidRPr="00A3188E">
        <w:rPr>
          <w:lang w:val="en-CA"/>
        </w:rPr>
        <w:t>aster proceeded to deal with and</w:t>
      </w:r>
      <w:r w:rsidR="00A3188E" w:rsidRPr="00A3188E">
        <w:rPr>
          <w:lang w:val="en-CA"/>
        </w:rPr>
        <w:t xml:space="preserve"> </w:t>
      </w:r>
      <w:r w:rsidR="0039685D">
        <w:rPr>
          <w:lang w:val="en-CA"/>
        </w:rPr>
        <w:t>eventually</w:t>
      </w:r>
      <w:r w:rsidRPr="00A3188E">
        <w:rPr>
          <w:lang w:val="en-CA"/>
        </w:rPr>
        <w:t xml:space="preserve"> di</w:t>
      </w:r>
      <w:r w:rsidR="00A3188E">
        <w:rPr>
          <w:lang w:val="en-CA"/>
        </w:rPr>
        <w:t>s</w:t>
      </w:r>
      <w:r w:rsidR="00BA42C9">
        <w:rPr>
          <w:lang w:val="en-CA"/>
        </w:rPr>
        <w:t>mi</w:t>
      </w:r>
      <w:r w:rsidR="00A3188E" w:rsidRPr="00A3188E">
        <w:rPr>
          <w:lang w:val="en-CA"/>
        </w:rPr>
        <w:t xml:space="preserve">ss </w:t>
      </w:r>
      <w:r w:rsidR="00A3188E">
        <w:rPr>
          <w:lang w:val="en-CA"/>
        </w:rPr>
        <w:t>the su</w:t>
      </w:r>
      <w:r w:rsidR="0039685D">
        <w:rPr>
          <w:lang w:val="en-CA"/>
        </w:rPr>
        <w:t>mmons</w:t>
      </w:r>
      <w:r w:rsidR="00A3188E" w:rsidRPr="00A3188E">
        <w:rPr>
          <w:lang w:val="en-CA"/>
        </w:rPr>
        <w:t xml:space="preserve"> at the </w:t>
      </w:r>
      <w:r w:rsidR="00A3188E">
        <w:t>checklist review hearing.  Mr Ching critici</w:t>
      </w:r>
      <w:r w:rsidR="0039685D">
        <w:t>s</w:t>
      </w:r>
      <w:r w:rsidR="00A3188E">
        <w:t>ed that decision to be premature.  He also explained that since he had not expected the su</w:t>
      </w:r>
      <w:r w:rsidR="0039685D">
        <w:t>mmons</w:t>
      </w:r>
      <w:r w:rsidR="00A3188E">
        <w:t xml:space="preserve"> to be dealt with forthwith, he did not have time to file a supporting affidavit to accompany the summons.  He </w:t>
      </w:r>
      <w:r w:rsidR="0039685D">
        <w:t>was to file it later.</w:t>
      </w:r>
    </w:p>
    <w:p w:rsidR="0039685D" w:rsidRPr="0039685D" w:rsidRDefault="0039685D" w:rsidP="0039685D">
      <w:pPr>
        <w:tabs>
          <w:tab w:val="clear" w:pos="4320"/>
          <w:tab w:val="clear" w:pos="9072"/>
        </w:tabs>
        <w:spacing w:line="360" w:lineRule="auto"/>
        <w:jc w:val="both"/>
        <w:rPr>
          <w:lang w:val="en-CA"/>
        </w:rPr>
      </w:pPr>
    </w:p>
    <w:p w:rsidR="005B2D79" w:rsidRPr="00A3188E" w:rsidRDefault="00A3188E" w:rsidP="005030E8">
      <w:pPr>
        <w:numPr>
          <w:ilvl w:val="0"/>
          <w:numId w:val="17"/>
        </w:numPr>
        <w:tabs>
          <w:tab w:val="clear" w:pos="4320"/>
          <w:tab w:val="clear" w:pos="9072"/>
        </w:tabs>
        <w:spacing w:line="360" w:lineRule="auto"/>
        <w:ind w:left="0" w:firstLine="0"/>
        <w:jc w:val="both"/>
        <w:rPr>
          <w:lang w:val="en-CA"/>
        </w:rPr>
      </w:pPr>
      <w:r>
        <w:t>In my view, this is an unacceptable explanation for the absence of a supporting affidavit</w:t>
      </w:r>
      <w:r w:rsidR="0039685D">
        <w:t xml:space="preserve">. </w:t>
      </w:r>
      <w:r>
        <w:t xml:space="preserve"> </w:t>
      </w:r>
      <w:r w:rsidR="0039685D">
        <w:t>W</w:t>
      </w:r>
      <w:r>
        <w:t>hen a party take</w:t>
      </w:r>
      <w:r w:rsidR="0039685D">
        <w:t>s</w:t>
      </w:r>
      <w:r>
        <w:t xml:space="preserve"> out an application, </w:t>
      </w:r>
      <w:r>
        <w:lastRenderedPageBreak/>
        <w:t xml:space="preserve">it must be taken that he has a basis to make that application and that basis is to be </w:t>
      </w:r>
      <w:r w:rsidR="0039685D">
        <w:t>documented</w:t>
      </w:r>
      <w:r>
        <w:t xml:space="preserve"> on paper.</w:t>
      </w:r>
    </w:p>
    <w:p w:rsidR="00A3188E" w:rsidRPr="00A3188E" w:rsidRDefault="00A3188E" w:rsidP="00A3188E">
      <w:pPr>
        <w:tabs>
          <w:tab w:val="clear" w:pos="4320"/>
          <w:tab w:val="clear" w:pos="9072"/>
        </w:tabs>
        <w:spacing w:line="360" w:lineRule="auto"/>
        <w:jc w:val="both"/>
        <w:rPr>
          <w:lang w:val="en-CA"/>
        </w:rPr>
      </w:pPr>
    </w:p>
    <w:p w:rsidR="005B2D79" w:rsidRPr="005B2D79" w:rsidRDefault="009E3067" w:rsidP="005B2D79">
      <w:pPr>
        <w:numPr>
          <w:ilvl w:val="0"/>
          <w:numId w:val="17"/>
        </w:numPr>
        <w:tabs>
          <w:tab w:val="clear" w:pos="4320"/>
          <w:tab w:val="clear" w:pos="9072"/>
        </w:tabs>
        <w:spacing w:line="360" w:lineRule="auto"/>
        <w:ind w:left="0" w:firstLine="0"/>
        <w:jc w:val="both"/>
        <w:rPr>
          <w:lang w:val="en-CA"/>
        </w:rPr>
      </w:pPr>
      <w:r>
        <w:rPr>
          <w:lang w:val="en-CA"/>
        </w:rPr>
        <w:t>In the event, there is no explanation put forward before the court now as to why there has been a delay on the defendant’s part.</w:t>
      </w:r>
    </w:p>
    <w:p w:rsidR="005B2D79" w:rsidRPr="005B2D79" w:rsidRDefault="005B2D79" w:rsidP="005B2D79">
      <w:pPr>
        <w:tabs>
          <w:tab w:val="clear" w:pos="4320"/>
          <w:tab w:val="clear" w:pos="9072"/>
        </w:tabs>
        <w:spacing w:line="360" w:lineRule="auto"/>
        <w:jc w:val="both"/>
        <w:rPr>
          <w:rFonts w:eastAsia="Times New Roman"/>
          <w:iCs/>
        </w:rPr>
      </w:pPr>
    </w:p>
    <w:p w:rsidR="005B2D79" w:rsidRPr="005B2D79" w:rsidRDefault="00CC50AA" w:rsidP="005B2D79">
      <w:pPr>
        <w:numPr>
          <w:ilvl w:val="0"/>
          <w:numId w:val="17"/>
        </w:numPr>
        <w:tabs>
          <w:tab w:val="clear" w:pos="4320"/>
          <w:tab w:val="clear" w:pos="9072"/>
        </w:tabs>
        <w:spacing w:line="360" w:lineRule="auto"/>
        <w:ind w:left="0" w:firstLine="0"/>
        <w:jc w:val="both"/>
        <w:rPr>
          <w:rFonts w:eastAsia="Times New Roman"/>
        </w:rPr>
      </w:pPr>
      <w:r>
        <w:rPr>
          <w:rFonts w:eastAsia="Times New Roman"/>
        </w:rPr>
        <w:t>In any event, even after the defendant retained her solicitors in October 2016, there was no active step taken on her behalf to seek leave to adduce expert psychiatric evidence.  And there is no explanation for that failure to act.</w:t>
      </w:r>
    </w:p>
    <w:p w:rsidR="005B2D79" w:rsidRPr="00BF7B47" w:rsidRDefault="005B2D79" w:rsidP="005B2D79">
      <w:pPr>
        <w:tabs>
          <w:tab w:val="clear" w:pos="4320"/>
          <w:tab w:val="clear" w:pos="9072"/>
        </w:tabs>
        <w:spacing w:line="360" w:lineRule="auto"/>
        <w:jc w:val="both"/>
        <w:rPr>
          <w:i/>
        </w:rPr>
      </w:pPr>
    </w:p>
    <w:p w:rsidR="005B2D79" w:rsidRPr="005B2D79" w:rsidRDefault="00CC50AA" w:rsidP="005B2D79">
      <w:pPr>
        <w:numPr>
          <w:ilvl w:val="0"/>
          <w:numId w:val="17"/>
        </w:numPr>
        <w:tabs>
          <w:tab w:val="clear" w:pos="4320"/>
          <w:tab w:val="clear" w:pos="9072"/>
        </w:tabs>
        <w:spacing w:line="360" w:lineRule="auto"/>
        <w:ind w:left="0" w:firstLine="0"/>
        <w:jc w:val="both"/>
        <w:rPr>
          <w:lang w:val="en-CA"/>
        </w:rPr>
      </w:pPr>
      <w:r>
        <w:rPr>
          <w:lang w:val="en-CA"/>
        </w:rPr>
        <w:t xml:space="preserve">No questionnaire was filed by the </w:t>
      </w:r>
      <w:r w:rsidR="00E47871">
        <w:rPr>
          <w:lang w:val="en-CA"/>
        </w:rPr>
        <w:t xml:space="preserve">defendant at all prior </w:t>
      </w:r>
      <w:r w:rsidR="0039685D">
        <w:rPr>
          <w:lang w:val="en-CA"/>
        </w:rPr>
        <w:t>to</w:t>
      </w:r>
      <w:r w:rsidR="00E47871">
        <w:rPr>
          <w:lang w:val="en-CA"/>
        </w:rPr>
        <w:t xml:space="preserve"> the 3</w:t>
      </w:r>
      <w:r w:rsidR="00E47871" w:rsidRPr="00E47871">
        <w:rPr>
          <w:vertAlign w:val="superscript"/>
          <w:lang w:val="en-CA"/>
        </w:rPr>
        <w:t>rd</w:t>
      </w:r>
      <w:r w:rsidR="00E47871">
        <w:rPr>
          <w:lang w:val="en-CA"/>
        </w:rPr>
        <w:t xml:space="preserve"> </w:t>
      </w:r>
      <w:r w:rsidR="00E47871">
        <w:t>checklist review hearing.</w:t>
      </w:r>
    </w:p>
    <w:p w:rsidR="005B2D79" w:rsidRPr="005B2D79" w:rsidRDefault="005B2D79" w:rsidP="005B2D79">
      <w:pPr>
        <w:tabs>
          <w:tab w:val="clear" w:pos="4320"/>
          <w:tab w:val="clear" w:pos="9072"/>
        </w:tabs>
        <w:spacing w:line="360" w:lineRule="auto"/>
        <w:jc w:val="both"/>
        <w:rPr>
          <w:lang w:val="en-CA"/>
        </w:rPr>
      </w:pPr>
    </w:p>
    <w:p w:rsidR="005B2D79" w:rsidRPr="005B2D79" w:rsidRDefault="00E47871" w:rsidP="005B2D79">
      <w:pPr>
        <w:numPr>
          <w:ilvl w:val="0"/>
          <w:numId w:val="17"/>
        </w:numPr>
        <w:tabs>
          <w:tab w:val="clear" w:pos="4320"/>
          <w:tab w:val="clear" w:pos="9072"/>
        </w:tabs>
        <w:spacing w:line="360" w:lineRule="auto"/>
        <w:ind w:left="0" w:firstLine="0"/>
        <w:jc w:val="both"/>
        <w:rPr>
          <w:lang w:val="en-CA"/>
        </w:rPr>
      </w:pPr>
      <w:r>
        <w:rPr>
          <w:lang w:val="en-CA"/>
        </w:rPr>
        <w:t>In respect of the 4</w:t>
      </w:r>
      <w:r w:rsidRPr="00E47871">
        <w:rPr>
          <w:vertAlign w:val="superscript"/>
          <w:lang w:val="en-CA"/>
        </w:rPr>
        <w:t>th</w:t>
      </w:r>
      <w:r>
        <w:rPr>
          <w:lang w:val="en-CA"/>
        </w:rPr>
        <w:t xml:space="preserve"> </w:t>
      </w:r>
      <w:r>
        <w:t>checklist review hearing</w:t>
      </w:r>
      <w:r w:rsidR="00CE62F6">
        <w:t>,</w:t>
      </w:r>
      <w:r>
        <w:t xml:space="preserve"> the defendant filed a questionnaire.  But the questions </w:t>
      </w:r>
      <w:r w:rsidR="00CE62F6">
        <w:t>on</w:t>
      </w:r>
      <w:r>
        <w:t xml:space="preserve"> expert evidence</w:t>
      </w:r>
      <w:r w:rsidR="00CE62F6">
        <w:t>,</w:t>
      </w:r>
      <w:r>
        <w:t xml:space="preserve"> ie</w:t>
      </w:r>
      <w:r w:rsidR="00CE62F6">
        <w:t>,</w:t>
      </w:r>
      <w:r>
        <w:t xml:space="preserve"> Section F</w:t>
      </w:r>
      <w:r w:rsidR="00CE62F6">
        <w:t>,</w:t>
      </w:r>
      <w:r>
        <w:t xml:space="preserve"> had all been left blank.  Mr Ching submitted this morning that all along, since his firm was engaged, they took the view that cross-examination of the plaintiff’s expert would be sufficient to advance the defendant’s case at the assessment hearing.  A</w:t>
      </w:r>
      <w:r w:rsidR="00A50DED">
        <w:t>nd that</w:t>
      </w:r>
      <w:r w:rsidR="00492106">
        <w:t xml:space="preserve"> was</w:t>
      </w:r>
      <w:r w:rsidR="00A50DED">
        <w:t xml:space="preserve"> why the defendant did not apply to adduce her own expert evidence until after the appeal regarding cross-examination was dis</w:t>
      </w:r>
      <w:r w:rsidR="00492106">
        <w:t>missed</w:t>
      </w:r>
      <w:r w:rsidR="00A50DED">
        <w:t>.  But, eve</w:t>
      </w:r>
      <w:r w:rsidR="00492106">
        <w:t>n</w:t>
      </w:r>
      <w:r w:rsidR="00A50DED">
        <w:t xml:space="preserve"> leaving </w:t>
      </w:r>
      <w:r w:rsidR="00492106">
        <w:t>aside</w:t>
      </w:r>
      <w:r w:rsidR="00A50DED">
        <w:t xml:space="preserve"> </w:t>
      </w:r>
      <w:r w:rsidR="00492106">
        <w:t>the fact that this is not deposed</w:t>
      </w:r>
      <w:r w:rsidR="00A50DED">
        <w:t xml:space="preserve"> to by affidavit evidence and that it is inconsistent with what was said on the defendant’s behalf at the checklist review hearing on 26 November 2016, it still does not explain why after the dis</w:t>
      </w:r>
      <w:r w:rsidR="00BA42C9">
        <w:t>missal</w:t>
      </w:r>
      <w:r w:rsidR="00A50DED">
        <w:t xml:space="preserve"> of the appeal on 24 March 2017, it took the defendant about </w:t>
      </w:r>
      <w:r w:rsidR="00492106">
        <w:t>two</w:t>
      </w:r>
      <w:r w:rsidR="00A50DED">
        <w:t xml:space="preserve"> months to take out the present application.</w:t>
      </w:r>
    </w:p>
    <w:p w:rsidR="005B2D79" w:rsidRPr="005B2D79" w:rsidRDefault="005B2D79" w:rsidP="005B2D79">
      <w:pPr>
        <w:tabs>
          <w:tab w:val="clear" w:pos="4320"/>
          <w:tab w:val="clear" w:pos="9072"/>
        </w:tabs>
        <w:spacing w:line="360" w:lineRule="auto"/>
        <w:jc w:val="both"/>
        <w:rPr>
          <w:lang w:val="en-CA"/>
        </w:rPr>
      </w:pPr>
    </w:p>
    <w:p w:rsidR="005B2D79" w:rsidRPr="005B2D79" w:rsidRDefault="00C2259B" w:rsidP="005B2D79">
      <w:pPr>
        <w:numPr>
          <w:ilvl w:val="0"/>
          <w:numId w:val="17"/>
        </w:numPr>
        <w:tabs>
          <w:tab w:val="clear" w:pos="4320"/>
          <w:tab w:val="clear" w:pos="9072"/>
        </w:tabs>
        <w:spacing w:line="360" w:lineRule="auto"/>
        <w:ind w:left="0" w:firstLine="0"/>
        <w:jc w:val="both"/>
        <w:rPr>
          <w:lang w:val="en-CA"/>
        </w:rPr>
      </w:pPr>
      <w:r>
        <w:rPr>
          <w:lang w:val="en-CA"/>
        </w:rPr>
        <w:lastRenderedPageBreak/>
        <w:t xml:space="preserve">As regards the adducing of expert evidence, the defendant’s inaction throughout </w:t>
      </w:r>
      <w:r w:rsidR="00492106">
        <w:rPr>
          <w:lang w:val="en-CA"/>
        </w:rPr>
        <w:t>(</w:t>
      </w:r>
      <w:r>
        <w:rPr>
          <w:lang w:val="en-CA"/>
        </w:rPr>
        <w:t>ie</w:t>
      </w:r>
      <w:r w:rsidR="00492106">
        <w:rPr>
          <w:lang w:val="en-CA"/>
        </w:rPr>
        <w:t>,</w:t>
      </w:r>
      <w:r>
        <w:rPr>
          <w:lang w:val="en-CA"/>
        </w:rPr>
        <w:t xml:space="preserve"> from February to October 2016 when she was unrepresented and from October 2016 to May 2017 when she was</w:t>
      </w:r>
      <w:r w:rsidR="00492106">
        <w:rPr>
          <w:lang w:val="en-CA"/>
        </w:rPr>
        <w:t>)</w:t>
      </w:r>
      <w:r>
        <w:rPr>
          <w:lang w:val="en-CA"/>
        </w:rPr>
        <w:t xml:space="preserve"> is remarkable in that it is completely inconsistent with any serious and real intention to nominate her own expert.  </w:t>
      </w:r>
    </w:p>
    <w:p w:rsidR="005B2D79" w:rsidRPr="005B2D79" w:rsidRDefault="005B2D79" w:rsidP="005B2D79">
      <w:pPr>
        <w:tabs>
          <w:tab w:val="clear" w:pos="4320"/>
          <w:tab w:val="clear" w:pos="9072"/>
        </w:tabs>
        <w:spacing w:line="360" w:lineRule="auto"/>
        <w:jc w:val="both"/>
        <w:rPr>
          <w:lang w:val="en-CA"/>
        </w:rPr>
      </w:pPr>
    </w:p>
    <w:p w:rsidR="005B2D79" w:rsidRPr="005B2D79" w:rsidRDefault="00C2259B" w:rsidP="005B2D79">
      <w:pPr>
        <w:numPr>
          <w:ilvl w:val="0"/>
          <w:numId w:val="17"/>
        </w:numPr>
        <w:tabs>
          <w:tab w:val="clear" w:pos="4320"/>
          <w:tab w:val="clear" w:pos="9072"/>
        </w:tabs>
        <w:spacing w:line="360" w:lineRule="auto"/>
        <w:ind w:left="0" w:firstLine="0"/>
        <w:jc w:val="both"/>
        <w:rPr>
          <w:lang w:val="en-CA"/>
        </w:rPr>
      </w:pPr>
      <w:r>
        <w:rPr>
          <w:lang w:val="en-CA"/>
        </w:rPr>
        <w:t>What is also extraordinary about the timing is that it was not until the day before the 5</w:t>
      </w:r>
      <w:r w:rsidRPr="00C2259B">
        <w:rPr>
          <w:vertAlign w:val="superscript"/>
          <w:lang w:val="en-CA"/>
        </w:rPr>
        <w:t>th</w:t>
      </w:r>
      <w:r>
        <w:rPr>
          <w:lang w:val="en-CA"/>
        </w:rPr>
        <w:t xml:space="preserve"> </w:t>
      </w:r>
      <w:r>
        <w:t>checklist review hearing that the defendant form</w:t>
      </w:r>
      <w:r w:rsidR="00492106">
        <w:t>al</w:t>
      </w:r>
      <w:r>
        <w:t xml:space="preserve">ly sought to seek leave (even then, without any supporting affidavit) when it would be clear to all that the case was on the </w:t>
      </w:r>
      <w:r w:rsidR="00D7763C">
        <w:t>verge of being set down for assessment.</w:t>
      </w:r>
    </w:p>
    <w:p w:rsidR="005B2D79" w:rsidRPr="005B2D79" w:rsidRDefault="005B2D79" w:rsidP="005B2D79">
      <w:pPr>
        <w:tabs>
          <w:tab w:val="clear" w:pos="4320"/>
          <w:tab w:val="clear" w:pos="9072"/>
        </w:tabs>
        <w:spacing w:line="360" w:lineRule="auto"/>
        <w:jc w:val="both"/>
        <w:rPr>
          <w:lang w:val="en-CA"/>
        </w:rPr>
      </w:pPr>
    </w:p>
    <w:p w:rsidR="005B2D79" w:rsidRPr="005B2D79" w:rsidRDefault="00D7763C" w:rsidP="005B2D79">
      <w:pPr>
        <w:numPr>
          <w:ilvl w:val="0"/>
          <w:numId w:val="17"/>
        </w:numPr>
        <w:tabs>
          <w:tab w:val="clear" w:pos="4320"/>
          <w:tab w:val="clear" w:pos="9072"/>
        </w:tabs>
        <w:spacing w:line="360" w:lineRule="auto"/>
        <w:ind w:left="0" w:firstLine="0"/>
        <w:jc w:val="both"/>
        <w:rPr>
          <w:lang w:val="en-CA"/>
        </w:rPr>
      </w:pPr>
      <w:r>
        <w:rPr>
          <w:lang w:val="en-CA"/>
        </w:rPr>
        <w:t>All these matters cry out for an explanation but the defendant has not able to put forward</w:t>
      </w:r>
      <w:r w:rsidR="00492106">
        <w:rPr>
          <w:lang w:val="en-CA"/>
        </w:rPr>
        <w:t xml:space="preserve"> any satisfactory reason</w:t>
      </w:r>
      <w:r>
        <w:rPr>
          <w:lang w:val="en-CA"/>
        </w:rPr>
        <w:t>.</w:t>
      </w:r>
    </w:p>
    <w:p w:rsidR="005B2D79" w:rsidRPr="005B2D79" w:rsidRDefault="005B2D79" w:rsidP="005B2D79">
      <w:pPr>
        <w:tabs>
          <w:tab w:val="clear" w:pos="4320"/>
          <w:tab w:val="clear" w:pos="9072"/>
        </w:tabs>
        <w:spacing w:line="360" w:lineRule="auto"/>
        <w:jc w:val="both"/>
        <w:rPr>
          <w:lang w:val="en-CA"/>
        </w:rPr>
      </w:pPr>
    </w:p>
    <w:p w:rsidR="005B2D79" w:rsidRPr="005B2D79" w:rsidRDefault="0046762C" w:rsidP="005B2D79">
      <w:pPr>
        <w:numPr>
          <w:ilvl w:val="0"/>
          <w:numId w:val="17"/>
        </w:numPr>
        <w:tabs>
          <w:tab w:val="clear" w:pos="4320"/>
          <w:tab w:val="clear" w:pos="9072"/>
        </w:tabs>
        <w:spacing w:line="360" w:lineRule="auto"/>
        <w:ind w:left="0" w:firstLine="0"/>
        <w:jc w:val="both"/>
        <w:rPr>
          <w:lang w:val="en-CA"/>
        </w:rPr>
      </w:pPr>
      <w:r>
        <w:rPr>
          <w:lang w:val="en-CA"/>
        </w:rPr>
        <w:t xml:space="preserve">Fifthly, there are between now and the scheduled assessment </w:t>
      </w:r>
      <w:r w:rsidR="00492106">
        <w:rPr>
          <w:lang w:val="en-CA"/>
        </w:rPr>
        <w:t>(</w:t>
      </w:r>
      <w:r>
        <w:rPr>
          <w:lang w:val="en-CA"/>
        </w:rPr>
        <w:t>com</w:t>
      </w:r>
      <w:r w:rsidR="00492106">
        <w:rPr>
          <w:lang w:val="en-CA"/>
        </w:rPr>
        <w:t>menc</w:t>
      </w:r>
      <w:r>
        <w:rPr>
          <w:lang w:val="en-CA"/>
        </w:rPr>
        <w:t>ing on 4 December 2017</w:t>
      </w:r>
      <w:r w:rsidR="00492106">
        <w:rPr>
          <w:lang w:val="en-CA"/>
        </w:rPr>
        <w:t>)</w:t>
      </w:r>
      <w:r w:rsidR="00BA42C9">
        <w:rPr>
          <w:lang w:val="en-CA"/>
        </w:rPr>
        <w:t xml:space="preserve"> only just over three</w:t>
      </w:r>
      <w:r>
        <w:rPr>
          <w:lang w:val="en-CA"/>
        </w:rPr>
        <w:t xml:space="preserve"> months.  </w:t>
      </w:r>
    </w:p>
    <w:p w:rsidR="005B2D79" w:rsidRPr="005B2D79" w:rsidRDefault="005B2D79" w:rsidP="005B2D79">
      <w:pPr>
        <w:tabs>
          <w:tab w:val="clear" w:pos="4320"/>
          <w:tab w:val="clear" w:pos="9072"/>
        </w:tabs>
        <w:spacing w:line="360" w:lineRule="auto"/>
        <w:jc w:val="both"/>
        <w:rPr>
          <w:lang w:val="en-CA"/>
        </w:rPr>
      </w:pPr>
    </w:p>
    <w:p w:rsidR="005B2D79" w:rsidRPr="005B2D79" w:rsidRDefault="00E827AD" w:rsidP="005B2D79">
      <w:pPr>
        <w:numPr>
          <w:ilvl w:val="0"/>
          <w:numId w:val="17"/>
        </w:numPr>
        <w:tabs>
          <w:tab w:val="clear" w:pos="4320"/>
          <w:tab w:val="clear" w:pos="9072"/>
        </w:tabs>
        <w:spacing w:line="360" w:lineRule="auto"/>
        <w:ind w:left="0" w:firstLine="0"/>
        <w:jc w:val="both"/>
        <w:rPr>
          <w:lang w:val="en-CA"/>
        </w:rPr>
      </w:pPr>
      <w:r>
        <w:rPr>
          <w:lang w:val="en-CA"/>
        </w:rPr>
        <w:t xml:space="preserve">The court has no assurance that if </w:t>
      </w:r>
      <w:r w:rsidR="00492106">
        <w:rPr>
          <w:lang w:val="en-CA"/>
        </w:rPr>
        <w:t>leave</w:t>
      </w:r>
      <w:r>
        <w:rPr>
          <w:lang w:val="en-CA"/>
        </w:rPr>
        <w:t xml:space="preserve"> was granted now whether the scheduled assessment date would be affected.  It appear</w:t>
      </w:r>
      <w:r w:rsidR="00394AD2">
        <w:rPr>
          <w:lang w:val="en-CA"/>
        </w:rPr>
        <w:t>s</w:t>
      </w:r>
      <w:r>
        <w:rPr>
          <w:lang w:val="en-CA"/>
        </w:rPr>
        <w:t xml:space="preserve"> from the defendant’s submissions this morning that no expert has yet been lined up.  No </w:t>
      </w:r>
      <w:r w:rsidR="00373F02">
        <w:rPr>
          <w:lang w:val="en-CA"/>
        </w:rPr>
        <w:t>effort</w:t>
      </w:r>
      <w:r>
        <w:rPr>
          <w:lang w:val="en-CA"/>
        </w:rPr>
        <w:t xml:space="preserve"> has even been made of </w:t>
      </w:r>
      <w:r w:rsidR="001A2C98">
        <w:rPr>
          <w:lang w:val="en-CA"/>
        </w:rPr>
        <w:t>checking</w:t>
      </w:r>
      <w:r>
        <w:rPr>
          <w:lang w:val="en-CA"/>
        </w:rPr>
        <w:t xml:space="preserve"> the availability of any potential candidates </w:t>
      </w:r>
      <w:r w:rsidR="001A2C98">
        <w:rPr>
          <w:lang w:val="en-CA"/>
        </w:rPr>
        <w:t>over the next two</w:t>
      </w:r>
      <w:r w:rsidR="00394AD2">
        <w:rPr>
          <w:lang w:val="en-CA"/>
        </w:rPr>
        <w:t xml:space="preserve"> months.  I asked Mr Ching why no step was taken prior to today’s hearing</w:t>
      </w:r>
      <w:r w:rsidR="001A2C98">
        <w:rPr>
          <w:lang w:val="en-CA"/>
        </w:rPr>
        <w:t xml:space="preserve"> to</w:t>
      </w:r>
      <w:r w:rsidR="00394AD2">
        <w:rPr>
          <w:lang w:val="en-CA"/>
        </w:rPr>
        <w:t xml:space="preserve"> at least ascertain the availability of ex</w:t>
      </w:r>
      <w:r w:rsidR="001A2C98">
        <w:rPr>
          <w:lang w:val="en-CA"/>
        </w:rPr>
        <w:t>perts.  No satisfactory explanation</w:t>
      </w:r>
      <w:r w:rsidR="00394AD2">
        <w:rPr>
          <w:lang w:val="en-CA"/>
        </w:rPr>
        <w:t xml:space="preserve"> was </w:t>
      </w:r>
      <w:r w:rsidR="00E82E88">
        <w:rPr>
          <w:lang w:val="en-CA"/>
        </w:rPr>
        <w:t>given save that Mr Ching was adamant</w:t>
      </w:r>
      <w:r w:rsidR="00394AD2">
        <w:rPr>
          <w:lang w:val="en-CA"/>
        </w:rPr>
        <w:t xml:space="preserve"> that he was sure he would be able to find an expert sinc</w:t>
      </w:r>
      <w:r w:rsidR="00E82E88">
        <w:rPr>
          <w:lang w:val="en-CA"/>
        </w:rPr>
        <w:t>e there are so many psychiatrists in</w:t>
      </w:r>
      <w:r w:rsidR="00394AD2">
        <w:rPr>
          <w:lang w:val="en-CA"/>
        </w:rPr>
        <w:t xml:space="preserve"> Hong Kong.</w:t>
      </w:r>
    </w:p>
    <w:p w:rsidR="005B2D79" w:rsidRPr="005B2D79" w:rsidRDefault="005B2D79" w:rsidP="005B2D79">
      <w:pPr>
        <w:tabs>
          <w:tab w:val="clear" w:pos="4320"/>
          <w:tab w:val="clear" w:pos="9072"/>
        </w:tabs>
        <w:spacing w:line="360" w:lineRule="auto"/>
        <w:jc w:val="both"/>
        <w:rPr>
          <w:lang w:val="en-CA"/>
        </w:rPr>
      </w:pPr>
    </w:p>
    <w:p w:rsidR="005B2D79" w:rsidRPr="005B2D79" w:rsidRDefault="00394AD2" w:rsidP="005B2D79">
      <w:pPr>
        <w:numPr>
          <w:ilvl w:val="0"/>
          <w:numId w:val="17"/>
        </w:numPr>
        <w:tabs>
          <w:tab w:val="clear" w:pos="4320"/>
          <w:tab w:val="clear" w:pos="9072"/>
        </w:tabs>
        <w:spacing w:line="360" w:lineRule="auto"/>
        <w:ind w:left="0" w:firstLine="0"/>
        <w:jc w:val="both"/>
        <w:rPr>
          <w:lang w:val="en-CA"/>
        </w:rPr>
      </w:pPr>
      <w:r>
        <w:rPr>
          <w:lang w:val="en-CA"/>
        </w:rPr>
        <w:lastRenderedPageBreak/>
        <w:t xml:space="preserve">I find this totally unsatisfactory.  In order to convince the court that if leave is granted, the assessment date, being </w:t>
      </w:r>
      <w:r w:rsidR="00D03E0C">
        <w:rPr>
          <w:lang w:val="en-CA"/>
        </w:rPr>
        <w:t>a milestone</w:t>
      </w:r>
      <w:r w:rsidR="00BA42C9">
        <w:rPr>
          <w:lang w:val="en-CA"/>
        </w:rPr>
        <w:t xml:space="preserve"> date</w:t>
      </w:r>
      <w:r w:rsidR="00D03E0C">
        <w:rPr>
          <w:lang w:val="en-CA"/>
        </w:rPr>
        <w:t>,</w:t>
      </w:r>
      <w:r>
        <w:rPr>
          <w:lang w:val="en-CA"/>
        </w:rPr>
        <w:t xml:space="preserve"> </w:t>
      </w:r>
      <w:r w:rsidR="00BA42C9">
        <w:rPr>
          <w:lang w:val="en-CA"/>
        </w:rPr>
        <w:t>will not have to be moved,</w:t>
      </w:r>
      <w:r w:rsidR="007C4EDF">
        <w:rPr>
          <w:lang w:val="en-CA"/>
        </w:rPr>
        <w:t xml:space="preserve"> </w:t>
      </w:r>
      <w:r w:rsidR="00BA42C9">
        <w:rPr>
          <w:lang w:val="en-CA"/>
        </w:rPr>
        <w:t>t</w:t>
      </w:r>
      <w:r w:rsidR="007C4EDF">
        <w:rPr>
          <w:lang w:val="en-CA"/>
        </w:rPr>
        <w:t xml:space="preserve">he defendant </w:t>
      </w:r>
      <w:r w:rsidR="000D2ED5">
        <w:rPr>
          <w:lang w:val="en-CA"/>
        </w:rPr>
        <w:t xml:space="preserve">should </w:t>
      </w:r>
      <w:r w:rsidR="007C4EDF">
        <w:rPr>
          <w:lang w:val="en-CA"/>
        </w:rPr>
        <w:t>at least put forward a plausible t</w:t>
      </w:r>
      <w:r w:rsidR="000D2ED5">
        <w:rPr>
          <w:lang w:val="en-CA"/>
        </w:rPr>
        <w:t>imet</w:t>
      </w:r>
      <w:r w:rsidR="007C4EDF">
        <w:rPr>
          <w:lang w:val="en-CA"/>
        </w:rPr>
        <w:t>able before the court.  No serious eff</w:t>
      </w:r>
      <w:r w:rsidR="000D2ED5">
        <w:rPr>
          <w:lang w:val="en-CA"/>
        </w:rPr>
        <w:t>or</w:t>
      </w:r>
      <w:r w:rsidR="007C4EDF">
        <w:rPr>
          <w:lang w:val="en-CA"/>
        </w:rPr>
        <w:t xml:space="preserve">t was put into this on behalf of the defendant.  It gives the </w:t>
      </w:r>
      <w:r w:rsidR="000D2ED5">
        <w:rPr>
          <w:lang w:val="en-CA"/>
        </w:rPr>
        <w:t>impression</w:t>
      </w:r>
      <w:r w:rsidR="007C4EDF">
        <w:rPr>
          <w:lang w:val="en-CA"/>
        </w:rPr>
        <w:t xml:space="preserve"> of “all talk no </w:t>
      </w:r>
      <w:r w:rsidR="000D2ED5">
        <w:rPr>
          <w:lang w:val="en-CA"/>
        </w:rPr>
        <w:t>action</w:t>
      </w:r>
      <w:r w:rsidR="007C4EDF">
        <w:rPr>
          <w:lang w:val="en-CA"/>
        </w:rPr>
        <w:t>”.  Furthermore, even assuming that the defendant’s expert can complete a report within 60 days, time should ordinar</w:t>
      </w:r>
      <w:r w:rsidR="00D916D8">
        <w:rPr>
          <w:lang w:val="en-CA"/>
        </w:rPr>
        <w:t>ily</w:t>
      </w:r>
      <w:r w:rsidR="007C4EDF">
        <w:rPr>
          <w:lang w:val="en-CA"/>
        </w:rPr>
        <w:t xml:space="preserve"> be given for both experts to meet up </w:t>
      </w:r>
      <w:r w:rsidR="00D916D8">
        <w:rPr>
          <w:lang w:val="en-CA"/>
        </w:rPr>
        <w:t>i</w:t>
      </w:r>
      <w:r w:rsidR="007C4EDF">
        <w:rPr>
          <w:lang w:val="en-CA"/>
        </w:rPr>
        <w:t>f there are material difference</w:t>
      </w:r>
      <w:r w:rsidR="00D916D8">
        <w:rPr>
          <w:lang w:val="en-CA"/>
        </w:rPr>
        <w:t>s</w:t>
      </w:r>
      <w:r w:rsidR="007C4EDF">
        <w:rPr>
          <w:lang w:val="en-CA"/>
        </w:rPr>
        <w:t xml:space="preserve"> </w:t>
      </w:r>
      <w:r w:rsidR="00D916D8">
        <w:rPr>
          <w:lang w:val="en-CA"/>
        </w:rPr>
        <w:t>in</w:t>
      </w:r>
      <w:r w:rsidR="007C4EDF">
        <w:rPr>
          <w:lang w:val="en-CA"/>
        </w:rPr>
        <w:t xml:space="preserve"> their opinions.  A further report may be required.  Time may also be needed for the filing of </w:t>
      </w:r>
      <w:r w:rsidR="00855FDB">
        <w:rPr>
          <w:lang w:val="en-CA"/>
        </w:rPr>
        <w:t>consequential revision</w:t>
      </w:r>
      <w:r w:rsidR="00D916D8">
        <w:rPr>
          <w:lang w:val="en-CA"/>
        </w:rPr>
        <w:t>s</w:t>
      </w:r>
      <w:r w:rsidR="00855FDB">
        <w:rPr>
          <w:lang w:val="en-CA"/>
        </w:rPr>
        <w:t xml:space="preserve"> to the </w:t>
      </w:r>
      <w:r w:rsidR="00D916D8">
        <w:rPr>
          <w:lang w:val="en-CA"/>
        </w:rPr>
        <w:t>statement of damages</w:t>
      </w:r>
      <w:r w:rsidR="00855FDB">
        <w:rPr>
          <w:lang w:val="en-CA"/>
        </w:rPr>
        <w:t xml:space="preserve"> and a</w:t>
      </w:r>
      <w:r w:rsidR="00D916D8">
        <w:rPr>
          <w:lang w:val="en-CA"/>
        </w:rPr>
        <w:t>n</w:t>
      </w:r>
      <w:r w:rsidR="00855FDB">
        <w:rPr>
          <w:lang w:val="en-CA"/>
        </w:rPr>
        <w:t xml:space="preserve"> answer and possibly supplemental witness statement</w:t>
      </w:r>
      <w:r w:rsidR="00D916D8">
        <w:rPr>
          <w:lang w:val="en-CA"/>
        </w:rPr>
        <w:t>s</w:t>
      </w:r>
      <w:r w:rsidR="00855FDB">
        <w:rPr>
          <w:lang w:val="en-CA"/>
        </w:rPr>
        <w:t>.  Realistically, t</w:t>
      </w:r>
      <w:r w:rsidR="00BA42C9">
        <w:rPr>
          <w:lang w:val="en-CA"/>
        </w:rPr>
        <w:t>her</w:t>
      </w:r>
      <w:r w:rsidR="00855FDB">
        <w:rPr>
          <w:lang w:val="en-CA"/>
        </w:rPr>
        <w:t>e simply does</w:t>
      </w:r>
      <w:r w:rsidR="00D916D8">
        <w:rPr>
          <w:lang w:val="en-CA"/>
        </w:rPr>
        <w:t xml:space="preserve"> </w:t>
      </w:r>
      <w:r w:rsidR="00855FDB">
        <w:rPr>
          <w:lang w:val="en-CA"/>
        </w:rPr>
        <w:t>n</w:t>
      </w:r>
      <w:r w:rsidR="00D916D8">
        <w:rPr>
          <w:lang w:val="en-CA"/>
        </w:rPr>
        <w:t>o</w:t>
      </w:r>
      <w:r w:rsidR="00855FDB">
        <w:rPr>
          <w:lang w:val="en-CA"/>
        </w:rPr>
        <w:t>t appear to be enough time for all th</w:t>
      </w:r>
      <w:r w:rsidR="00D916D8">
        <w:rPr>
          <w:lang w:val="en-CA"/>
        </w:rPr>
        <w:t>e</w:t>
      </w:r>
      <w:r w:rsidR="00855FDB">
        <w:rPr>
          <w:lang w:val="en-CA"/>
        </w:rPr>
        <w:t>se steps to be taken before 4 December 2017.</w:t>
      </w:r>
    </w:p>
    <w:p w:rsidR="005B2D79" w:rsidRPr="005B2D79" w:rsidRDefault="005B2D79" w:rsidP="005B2D79">
      <w:pPr>
        <w:tabs>
          <w:tab w:val="clear" w:pos="4320"/>
          <w:tab w:val="clear" w:pos="9072"/>
        </w:tabs>
        <w:spacing w:line="360" w:lineRule="auto"/>
        <w:jc w:val="both"/>
        <w:rPr>
          <w:lang w:val="en-CA"/>
        </w:rPr>
      </w:pPr>
    </w:p>
    <w:p w:rsidR="005B2D79" w:rsidRPr="005B2D79" w:rsidRDefault="007A15E6" w:rsidP="005B2D79">
      <w:pPr>
        <w:numPr>
          <w:ilvl w:val="0"/>
          <w:numId w:val="17"/>
        </w:numPr>
        <w:tabs>
          <w:tab w:val="clear" w:pos="4320"/>
          <w:tab w:val="clear" w:pos="9072"/>
        </w:tabs>
        <w:spacing w:line="360" w:lineRule="auto"/>
        <w:ind w:left="0" w:firstLine="0"/>
        <w:jc w:val="both"/>
        <w:rPr>
          <w:lang w:val="en-CA"/>
        </w:rPr>
      </w:pPr>
      <w:r>
        <w:rPr>
          <w:lang w:val="en-CA"/>
        </w:rPr>
        <w:t xml:space="preserve">By way of </w:t>
      </w:r>
      <w:r w:rsidR="00D916D8">
        <w:rPr>
          <w:lang w:val="en-CA"/>
        </w:rPr>
        <w:t>footnote,</w:t>
      </w:r>
      <w:r>
        <w:rPr>
          <w:lang w:val="en-CA"/>
        </w:rPr>
        <w:t xml:space="preserve"> </w:t>
      </w:r>
      <w:r w:rsidR="00D916D8">
        <w:rPr>
          <w:lang w:val="en-CA"/>
        </w:rPr>
        <w:t>it</w:t>
      </w:r>
      <w:r>
        <w:rPr>
          <w:lang w:val="en-CA"/>
        </w:rPr>
        <w:t xml:space="preserve"> must however be recognised that the application was taken out in May 2017, when there was more time to deal with the above steps.  But even then, no proper timetable was laid before the court at that time.</w:t>
      </w:r>
    </w:p>
    <w:p w:rsidR="005B2D79" w:rsidRDefault="005B2D79" w:rsidP="005B2D79">
      <w:pPr>
        <w:tabs>
          <w:tab w:val="clear" w:pos="4320"/>
          <w:tab w:val="clear" w:pos="9072"/>
        </w:tabs>
        <w:spacing w:line="360" w:lineRule="auto"/>
        <w:jc w:val="both"/>
        <w:rPr>
          <w:lang w:val="en-CA"/>
        </w:rPr>
      </w:pPr>
    </w:p>
    <w:p w:rsidR="007A15E6" w:rsidRPr="007A15E6" w:rsidRDefault="007A15E6" w:rsidP="007A15E6">
      <w:pPr>
        <w:tabs>
          <w:tab w:val="clear" w:pos="4320"/>
          <w:tab w:val="clear" w:pos="9072"/>
        </w:tabs>
        <w:spacing w:line="360" w:lineRule="auto"/>
        <w:jc w:val="both"/>
        <w:rPr>
          <w:i/>
          <w:lang w:val="en-CA"/>
        </w:rPr>
      </w:pPr>
      <w:r w:rsidRPr="007A15E6">
        <w:rPr>
          <w:i/>
          <w:lang w:val="en-CA"/>
        </w:rPr>
        <w:t>Conclusion</w:t>
      </w:r>
    </w:p>
    <w:p w:rsidR="007A15E6" w:rsidRPr="005B2D79" w:rsidRDefault="007A15E6" w:rsidP="005B2D79">
      <w:pPr>
        <w:tabs>
          <w:tab w:val="clear" w:pos="4320"/>
          <w:tab w:val="clear" w:pos="9072"/>
        </w:tabs>
        <w:spacing w:line="360" w:lineRule="auto"/>
        <w:jc w:val="both"/>
        <w:rPr>
          <w:lang w:val="en-CA"/>
        </w:rPr>
      </w:pPr>
    </w:p>
    <w:p w:rsidR="005B2D79" w:rsidRPr="005B2D79" w:rsidRDefault="0008644E" w:rsidP="005B2D79">
      <w:pPr>
        <w:numPr>
          <w:ilvl w:val="0"/>
          <w:numId w:val="17"/>
        </w:numPr>
        <w:tabs>
          <w:tab w:val="clear" w:pos="4320"/>
          <w:tab w:val="clear" w:pos="9072"/>
        </w:tabs>
        <w:spacing w:line="360" w:lineRule="auto"/>
        <w:ind w:left="0" w:firstLine="0"/>
        <w:jc w:val="both"/>
        <w:rPr>
          <w:lang w:val="en-CA"/>
        </w:rPr>
      </w:pPr>
      <w:r>
        <w:rPr>
          <w:lang w:val="en-CA"/>
        </w:rPr>
        <w:t>Overall speaking, there was unquestionably a</w:t>
      </w:r>
      <w:r w:rsidR="00D916D8">
        <w:rPr>
          <w:lang w:val="en-CA"/>
        </w:rPr>
        <w:t xml:space="preserve"> </w:t>
      </w:r>
      <w:r>
        <w:rPr>
          <w:lang w:val="en-CA"/>
        </w:rPr>
        <w:t>long delay on the defendant’s part</w:t>
      </w:r>
      <w:r w:rsidR="00D916D8">
        <w:rPr>
          <w:lang w:val="en-CA"/>
        </w:rPr>
        <w:t>,</w:t>
      </w:r>
      <w:r>
        <w:rPr>
          <w:lang w:val="en-CA"/>
        </w:rPr>
        <w:t xml:space="preserve"> couple</w:t>
      </w:r>
      <w:r w:rsidR="00D916D8">
        <w:rPr>
          <w:lang w:val="en-CA"/>
        </w:rPr>
        <w:t>d</w:t>
      </w:r>
      <w:r>
        <w:rPr>
          <w:lang w:val="en-CA"/>
        </w:rPr>
        <w:t xml:space="preserve"> with a complete lack of explanation.  </w:t>
      </w:r>
      <w:r w:rsidR="000C740E">
        <w:rPr>
          <w:lang w:val="en-CA"/>
        </w:rPr>
        <w:t xml:space="preserve">If one takes a step back and </w:t>
      </w:r>
      <w:r w:rsidR="0079058D">
        <w:rPr>
          <w:lang w:val="en-CA"/>
        </w:rPr>
        <w:t>seeks</w:t>
      </w:r>
      <w:r w:rsidR="000C740E">
        <w:rPr>
          <w:lang w:val="en-CA"/>
        </w:rPr>
        <w:t xml:space="preserve"> to take an overall view of how the action has pro</w:t>
      </w:r>
      <w:r w:rsidR="0079058D">
        <w:rPr>
          <w:lang w:val="en-CA"/>
        </w:rPr>
        <w:t>gressed</w:t>
      </w:r>
      <w:r w:rsidR="000C740E">
        <w:rPr>
          <w:lang w:val="en-CA"/>
        </w:rPr>
        <w:t xml:space="preserve"> (or, more accura</w:t>
      </w:r>
      <w:r w:rsidR="0079058D">
        <w:rPr>
          <w:lang w:val="en-CA"/>
        </w:rPr>
        <w:t>tely</w:t>
      </w:r>
      <w:r w:rsidR="000C740E">
        <w:rPr>
          <w:lang w:val="en-CA"/>
        </w:rPr>
        <w:t>, as far as the defendant is concerned, how it has not pro</w:t>
      </w:r>
      <w:r w:rsidR="0079058D">
        <w:rPr>
          <w:lang w:val="en-CA"/>
        </w:rPr>
        <w:t>gressed</w:t>
      </w:r>
      <w:r w:rsidR="000C740E">
        <w:rPr>
          <w:lang w:val="en-CA"/>
        </w:rPr>
        <w:t xml:space="preserve">), one sees </w:t>
      </w:r>
      <w:r w:rsidR="0079058D">
        <w:rPr>
          <w:lang w:val="en-CA"/>
        </w:rPr>
        <w:t>a</w:t>
      </w:r>
      <w:r w:rsidR="000C740E">
        <w:rPr>
          <w:lang w:val="en-CA"/>
        </w:rPr>
        <w:t xml:space="preserve"> disturbing pattern as follows:-</w:t>
      </w:r>
    </w:p>
    <w:p w:rsidR="005B2D79" w:rsidRDefault="005B2D79" w:rsidP="005B2D79">
      <w:pPr>
        <w:tabs>
          <w:tab w:val="clear" w:pos="4320"/>
          <w:tab w:val="clear" w:pos="9072"/>
        </w:tabs>
        <w:spacing w:line="360" w:lineRule="auto"/>
        <w:jc w:val="both"/>
        <w:rPr>
          <w:lang w:val="en-CA"/>
        </w:rPr>
      </w:pPr>
    </w:p>
    <w:p w:rsidR="000C740E" w:rsidRDefault="000C740E" w:rsidP="000C740E">
      <w:pPr>
        <w:pStyle w:val="ListParagraph"/>
        <w:numPr>
          <w:ilvl w:val="0"/>
          <w:numId w:val="33"/>
        </w:numPr>
        <w:tabs>
          <w:tab w:val="clear" w:pos="1440"/>
          <w:tab w:val="clear" w:pos="4320"/>
          <w:tab w:val="clear" w:pos="9072"/>
          <w:tab w:val="left" w:pos="2160"/>
        </w:tabs>
        <w:spacing w:line="360" w:lineRule="auto"/>
        <w:ind w:hanging="720"/>
        <w:jc w:val="both"/>
        <w:rPr>
          <w:lang w:val="en-CA"/>
        </w:rPr>
      </w:pPr>
      <w:r>
        <w:rPr>
          <w:lang w:val="en-CA"/>
        </w:rPr>
        <w:lastRenderedPageBreak/>
        <w:t>At the early stage of the proceedings, from February 2016 onwards, there was a long period of inaction on the defendant’s part.</w:t>
      </w:r>
    </w:p>
    <w:p w:rsidR="000C740E" w:rsidRDefault="000C740E" w:rsidP="000C740E">
      <w:pPr>
        <w:pStyle w:val="ListParagraph"/>
        <w:tabs>
          <w:tab w:val="clear" w:pos="1440"/>
          <w:tab w:val="clear" w:pos="4320"/>
          <w:tab w:val="clear" w:pos="9072"/>
          <w:tab w:val="left" w:pos="2160"/>
        </w:tabs>
        <w:spacing w:line="360" w:lineRule="auto"/>
        <w:ind w:left="2160"/>
        <w:jc w:val="both"/>
        <w:rPr>
          <w:lang w:val="en-CA"/>
        </w:rPr>
      </w:pPr>
    </w:p>
    <w:p w:rsidR="000C740E" w:rsidRDefault="000C740E" w:rsidP="000C740E">
      <w:pPr>
        <w:pStyle w:val="ListParagraph"/>
        <w:numPr>
          <w:ilvl w:val="0"/>
          <w:numId w:val="33"/>
        </w:numPr>
        <w:tabs>
          <w:tab w:val="clear" w:pos="1440"/>
          <w:tab w:val="clear" w:pos="4320"/>
          <w:tab w:val="clear" w:pos="9072"/>
          <w:tab w:val="left" w:pos="2160"/>
        </w:tabs>
        <w:spacing w:line="360" w:lineRule="auto"/>
        <w:ind w:hanging="720"/>
        <w:jc w:val="both"/>
        <w:rPr>
          <w:lang w:val="en-CA"/>
        </w:rPr>
      </w:pPr>
      <w:r>
        <w:rPr>
          <w:lang w:val="en-CA"/>
        </w:rPr>
        <w:t>This state of inaction did not really alter even after the engagement of her solicitor</w:t>
      </w:r>
      <w:r w:rsidR="0079058D">
        <w:rPr>
          <w:lang w:val="en-CA"/>
        </w:rPr>
        <w:t>s</w:t>
      </w:r>
      <w:r>
        <w:rPr>
          <w:lang w:val="en-CA"/>
        </w:rPr>
        <w:t xml:space="preserve"> in early October 2016.</w:t>
      </w:r>
    </w:p>
    <w:p w:rsidR="000C740E" w:rsidRDefault="000C740E" w:rsidP="000C740E">
      <w:pPr>
        <w:pStyle w:val="ListParagraph"/>
        <w:tabs>
          <w:tab w:val="clear" w:pos="1440"/>
          <w:tab w:val="clear" w:pos="4320"/>
          <w:tab w:val="clear" w:pos="9072"/>
          <w:tab w:val="left" w:pos="2160"/>
        </w:tabs>
        <w:spacing w:line="360" w:lineRule="auto"/>
        <w:ind w:left="2160"/>
        <w:jc w:val="both"/>
        <w:rPr>
          <w:lang w:val="en-CA"/>
        </w:rPr>
      </w:pPr>
    </w:p>
    <w:p w:rsidR="000C740E" w:rsidRDefault="000C740E" w:rsidP="000C740E">
      <w:pPr>
        <w:pStyle w:val="ListParagraph"/>
        <w:numPr>
          <w:ilvl w:val="0"/>
          <w:numId w:val="33"/>
        </w:numPr>
        <w:tabs>
          <w:tab w:val="clear" w:pos="1440"/>
          <w:tab w:val="clear" w:pos="4320"/>
          <w:tab w:val="clear" w:pos="9072"/>
          <w:tab w:val="left" w:pos="2160"/>
        </w:tabs>
        <w:spacing w:line="360" w:lineRule="auto"/>
        <w:ind w:hanging="720"/>
        <w:jc w:val="both"/>
        <w:rPr>
          <w:lang w:val="en-CA"/>
        </w:rPr>
      </w:pPr>
      <w:r>
        <w:rPr>
          <w:lang w:val="en-CA"/>
        </w:rPr>
        <w:t>The</w:t>
      </w:r>
      <w:r w:rsidR="0079058D">
        <w:rPr>
          <w:lang w:val="en-CA"/>
        </w:rPr>
        <w:t>n,</w:t>
      </w:r>
      <w:r>
        <w:rPr>
          <w:lang w:val="en-CA"/>
        </w:rPr>
        <w:t xml:space="preserve"> all of a sudden, when the case was quite close to being set down, the</w:t>
      </w:r>
      <w:r w:rsidR="0079058D">
        <w:rPr>
          <w:lang w:val="en-CA"/>
        </w:rPr>
        <w:t>r</w:t>
      </w:r>
      <w:r>
        <w:rPr>
          <w:lang w:val="en-CA"/>
        </w:rPr>
        <w:t>e ca</w:t>
      </w:r>
      <w:r w:rsidR="0079058D">
        <w:rPr>
          <w:lang w:val="en-CA"/>
        </w:rPr>
        <w:t>me</w:t>
      </w:r>
      <w:r>
        <w:rPr>
          <w:lang w:val="en-CA"/>
        </w:rPr>
        <w:t xml:space="preserve"> </w:t>
      </w:r>
      <w:r w:rsidR="0079058D">
        <w:rPr>
          <w:lang w:val="en-CA"/>
        </w:rPr>
        <w:t>a</w:t>
      </w:r>
      <w:r>
        <w:rPr>
          <w:lang w:val="en-CA"/>
        </w:rPr>
        <w:t xml:space="preserve"> flu</w:t>
      </w:r>
      <w:r w:rsidR="0079058D">
        <w:rPr>
          <w:lang w:val="en-CA"/>
        </w:rPr>
        <w:t>rr</w:t>
      </w:r>
      <w:r>
        <w:rPr>
          <w:lang w:val="en-CA"/>
        </w:rPr>
        <w:t>y</w:t>
      </w:r>
      <w:r w:rsidR="00F76614">
        <w:rPr>
          <w:lang w:val="en-CA"/>
        </w:rPr>
        <w:t xml:space="preserve"> of activities after </w:t>
      </w:r>
      <w:r w:rsidR="0079058D">
        <w:rPr>
          <w:lang w:val="en-CA"/>
        </w:rPr>
        <w:t>the m</w:t>
      </w:r>
      <w:r w:rsidR="00F76614">
        <w:rPr>
          <w:lang w:val="en-CA"/>
        </w:rPr>
        <w:t>aster’s decision on the issue of cross-examination in late February 2017.  An appeal followed in March.  In May, the defendant took the step (which Mr Ching described as “drastic”) to appoint her own expert.</w:t>
      </w:r>
    </w:p>
    <w:p w:rsidR="00F76614" w:rsidRDefault="00F76614" w:rsidP="00F76614">
      <w:pPr>
        <w:pStyle w:val="ListParagraph"/>
        <w:tabs>
          <w:tab w:val="clear" w:pos="1440"/>
          <w:tab w:val="clear" w:pos="4320"/>
          <w:tab w:val="clear" w:pos="9072"/>
          <w:tab w:val="left" w:pos="2160"/>
        </w:tabs>
        <w:spacing w:line="360" w:lineRule="auto"/>
        <w:ind w:left="2160"/>
        <w:jc w:val="both"/>
        <w:rPr>
          <w:lang w:val="en-CA"/>
        </w:rPr>
      </w:pPr>
    </w:p>
    <w:p w:rsidR="00F76614" w:rsidRPr="000C740E" w:rsidRDefault="00F324B8" w:rsidP="000C740E">
      <w:pPr>
        <w:pStyle w:val="ListParagraph"/>
        <w:numPr>
          <w:ilvl w:val="0"/>
          <w:numId w:val="33"/>
        </w:numPr>
        <w:tabs>
          <w:tab w:val="clear" w:pos="1440"/>
          <w:tab w:val="clear" w:pos="4320"/>
          <w:tab w:val="clear" w:pos="9072"/>
          <w:tab w:val="left" w:pos="2160"/>
        </w:tabs>
        <w:spacing w:line="360" w:lineRule="auto"/>
        <w:ind w:hanging="720"/>
        <w:jc w:val="both"/>
        <w:rPr>
          <w:lang w:val="en-CA"/>
        </w:rPr>
      </w:pPr>
      <w:r>
        <w:rPr>
          <w:lang w:val="en-CA"/>
        </w:rPr>
        <w:t xml:space="preserve">All along, no satisfactory explanation is </w:t>
      </w:r>
      <w:r w:rsidR="0079058D">
        <w:rPr>
          <w:lang w:val="en-CA"/>
        </w:rPr>
        <w:t>forthcoming</w:t>
      </w:r>
      <w:r>
        <w:rPr>
          <w:lang w:val="en-CA"/>
        </w:rPr>
        <w:t xml:space="preserve"> as to </w:t>
      </w:r>
      <w:r w:rsidR="0079058D">
        <w:rPr>
          <w:lang w:val="en-CA"/>
        </w:rPr>
        <w:t>why</w:t>
      </w:r>
      <w:r>
        <w:rPr>
          <w:lang w:val="en-CA"/>
        </w:rPr>
        <w:t xml:space="preserve"> the defendant ha</w:t>
      </w:r>
      <w:r w:rsidR="0079058D">
        <w:rPr>
          <w:lang w:val="en-CA"/>
        </w:rPr>
        <w:t>d</w:t>
      </w:r>
      <w:r>
        <w:rPr>
          <w:lang w:val="en-CA"/>
        </w:rPr>
        <w:t xml:space="preserve"> handled the case</w:t>
      </w:r>
      <w:r w:rsidR="0079058D">
        <w:rPr>
          <w:lang w:val="en-CA"/>
        </w:rPr>
        <w:t xml:space="preserve"> in</w:t>
      </w:r>
      <w:r>
        <w:rPr>
          <w:lang w:val="en-CA"/>
        </w:rPr>
        <w:t xml:space="preserve"> the way she did.</w:t>
      </w:r>
    </w:p>
    <w:p w:rsidR="000C740E" w:rsidRPr="005B2D79" w:rsidRDefault="000C740E" w:rsidP="005B2D79">
      <w:pPr>
        <w:tabs>
          <w:tab w:val="clear" w:pos="4320"/>
          <w:tab w:val="clear" w:pos="9072"/>
        </w:tabs>
        <w:spacing w:line="360" w:lineRule="auto"/>
        <w:jc w:val="both"/>
        <w:rPr>
          <w:lang w:val="en-CA"/>
        </w:rPr>
      </w:pPr>
    </w:p>
    <w:p w:rsidR="005B2D79" w:rsidRPr="005B2D79" w:rsidRDefault="00BE2587" w:rsidP="005B2D79">
      <w:pPr>
        <w:numPr>
          <w:ilvl w:val="0"/>
          <w:numId w:val="17"/>
        </w:numPr>
        <w:tabs>
          <w:tab w:val="clear" w:pos="4320"/>
          <w:tab w:val="clear" w:pos="9072"/>
        </w:tabs>
        <w:spacing w:line="360" w:lineRule="auto"/>
        <w:ind w:left="0" w:firstLine="0"/>
        <w:jc w:val="both"/>
        <w:rPr>
          <w:lang w:val="en-CA"/>
        </w:rPr>
      </w:pPr>
      <w:r>
        <w:rPr>
          <w:lang w:val="en-CA"/>
        </w:rPr>
        <w:t>The above pattern can hardly be consistent with a serious or genuine attempt or intention to adduce expert evidence by the defendant.  On the other hand, it is more consistent with the defendant trying to drag on the matter as long and as much as possible at a late</w:t>
      </w:r>
      <w:r w:rsidR="0079058D">
        <w:rPr>
          <w:lang w:val="en-CA"/>
        </w:rPr>
        <w:t xml:space="preserve"> stage in the proceed</w:t>
      </w:r>
      <w:r>
        <w:rPr>
          <w:lang w:val="en-CA"/>
        </w:rPr>
        <w:t>ing</w:t>
      </w:r>
      <w:r w:rsidR="0079058D">
        <w:rPr>
          <w:lang w:val="en-CA"/>
        </w:rPr>
        <w:t>s</w:t>
      </w:r>
      <w:r>
        <w:rPr>
          <w:lang w:val="en-CA"/>
        </w:rPr>
        <w:t>.  He</w:t>
      </w:r>
      <w:r w:rsidR="0079058D">
        <w:rPr>
          <w:lang w:val="en-CA"/>
        </w:rPr>
        <w:t>re</w:t>
      </w:r>
      <w:r>
        <w:rPr>
          <w:lang w:val="en-CA"/>
        </w:rPr>
        <w:t>, there is simply no basis for the court to grant the indulgence now sought by the defendant.</w:t>
      </w:r>
    </w:p>
    <w:p w:rsidR="005B2D79" w:rsidRPr="005B2D79" w:rsidRDefault="005B2D79" w:rsidP="005B2D79">
      <w:pPr>
        <w:tabs>
          <w:tab w:val="clear" w:pos="4320"/>
          <w:tab w:val="clear" w:pos="9072"/>
        </w:tabs>
        <w:spacing w:line="360" w:lineRule="auto"/>
        <w:jc w:val="both"/>
        <w:rPr>
          <w:lang w:val="en-CA"/>
        </w:rPr>
      </w:pPr>
    </w:p>
    <w:p w:rsidR="005B2D79" w:rsidRDefault="006B6164" w:rsidP="005B2D79">
      <w:pPr>
        <w:numPr>
          <w:ilvl w:val="0"/>
          <w:numId w:val="17"/>
        </w:numPr>
        <w:tabs>
          <w:tab w:val="clear" w:pos="4320"/>
          <w:tab w:val="clear" w:pos="9072"/>
        </w:tabs>
        <w:spacing w:line="360" w:lineRule="auto"/>
        <w:ind w:left="0" w:firstLine="0"/>
        <w:jc w:val="both"/>
        <w:rPr>
          <w:lang w:val="en-CA"/>
        </w:rPr>
      </w:pPr>
      <w:r>
        <w:rPr>
          <w:lang w:val="en-CA"/>
        </w:rPr>
        <w:t>The outcome would be that the solo expert report of the plaintiff would go into evidence, without cross-examination</w:t>
      </w:r>
      <w:r w:rsidR="00F41D2E">
        <w:rPr>
          <w:lang w:val="en-CA"/>
        </w:rPr>
        <w:t>.</w:t>
      </w:r>
      <w:r>
        <w:rPr>
          <w:lang w:val="en-CA"/>
        </w:rPr>
        <w:t xml:space="preserve"> </w:t>
      </w:r>
      <w:r w:rsidR="00F41D2E">
        <w:rPr>
          <w:lang w:val="en-CA"/>
        </w:rPr>
        <w:t xml:space="preserve"> W</w:t>
      </w:r>
      <w:r>
        <w:rPr>
          <w:lang w:val="en-CA"/>
        </w:rPr>
        <w:t xml:space="preserve">hile the defendant is still able to challenge that evidence by way of submissions, it </w:t>
      </w:r>
      <w:r>
        <w:rPr>
          <w:lang w:val="en-CA"/>
        </w:rPr>
        <w:lastRenderedPageBreak/>
        <w:t>is likely that the scope of challenge is limited as the defendant will not be able to rely on any medical evidence to either challenge or query the expert opinion obtained by the plaintiff.</w:t>
      </w:r>
    </w:p>
    <w:p w:rsidR="006B6164" w:rsidRDefault="006B6164" w:rsidP="006B6164">
      <w:pPr>
        <w:tabs>
          <w:tab w:val="clear" w:pos="4320"/>
          <w:tab w:val="clear" w:pos="9072"/>
        </w:tabs>
        <w:spacing w:line="360" w:lineRule="auto"/>
        <w:jc w:val="both"/>
        <w:rPr>
          <w:lang w:val="en-CA"/>
        </w:rPr>
      </w:pPr>
    </w:p>
    <w:p w:rsidR="006B6164" w:rsidRPr="005B2D79" w:rsidRDefault="006B6164" w:rsidP="005B2D79">
      <w:pPr>
        <w:numPr>
          <w:ilvl w:val="0"/>
          <w:numId w:val="17"/>
        </w:numPr>
        <w:tabs>
          <w:tab w:val="clear" w:pos="4320"/>
          <w:tab w:val="clear" w:pos="9072"/>
        </w:tabs>
        <w:spacing w:line="360" w:lineRule="auto"/>
        <w:ind w:left="0" w:firstLine="0"/>
        <w:jc w:val="both"/>
        <w:rPr>
          <w:lang w:val="en-CA"/>
        </w:rPr>
      </w:pPr>
      <w:r>
        <w:rPr>
          <w:lang w:val="en-CA"/>
        </w:rPr>
        <w:t xml:space="preserve">I am fully conscious that the defendant’s substantive </w:t>
      </w:r>
      <w:r w:rsidR="00F41D2E">
        <w:rPr>
          <w:lang w:val="en-CA"/>
        </w:rPr>
        <w:t>rights</w:t>
      </w:r>
      <w:r>
        <w:rPr>
          <w:lang w:val="en-CA"/>
        </w:rPr>
        <w:t xml:space="preserve"> and obligations are at sta</w:t>
      </w:r>
      <w:r w:rsidR="00F41D2E">
        <w:rPr>
          <w:lang w:val="en-CA"/>
        </w:rPr>
        <w:t>k</w:t>
      </w:r>
      <w:r>
        <w:rPr>
          <w:lang w:val="en-CA"/>
        </w:rPr>
        <w:t xml:space="preserve">e here. </w:t>
      </w:r>
    </w:p>
    <w:p w:rsidR="005B2D79" w:rsidRPr="005B2D79" w:rsidRDefault="005B2D79" w:rsidP="005B2D79">
      <w:pPr>
        <w:tabs>
          <w:tab w:val="clear" w:pos="4320"/>
          <w:tab w:val="clear" w:pos="9072"/>
        </w:tabs>
        <w:spacing w:line="360" w:lineRule="auto"/>
        <w:jc w:val="both"/>
        <w:rPr>
          <w:lang w:val="en-CA"/>
        </w:rPr>
      </w:pPr>
    </w:p>
    <w:p w:rsidR="005B2D79" w:rsidRPr="005B2D79" w:rsidRDefault="006B6164" w:rsidP="005B2D79">
      <w:pPr>
        <w:numPr>
          <w:ilvl w:val="0"/>
          <w:numId w:val="17"/>
        </w:numPr>
        <w:tabs>
          <w:tab w:val="clear" w:pos="4320"/>
          <w:tab w:val="clear" w:pos="9072"/>
        </w:tabs>
        <w:spacing w:line="360" w:lineRule="auto"/>
        <w:ind w:left="0" w:firstLine="0"/>
        <w:jc w:val="both"/>
        <w:rPr>
          <w:lang w:val="en-CA"/>
        </w:rPr>
      </w:pPr>
      <w:r>
        <w:rPr>
          <w:lang w:val="en-CA"/>
        </w:rPr>
        <w:t xml:space="preserve">Mr Ching submitted that it would be very unfair to the defendant and further that </w:t>
      </w:r>
      <w:r w:rsidR="00833FA9">
        <w:rPr>
          <w:lang w:val="en-CA"/>
        </w:rPr>
        <w:t>no</w:t>
      </w:r>
      <w:r>
        <w:rPr>
          <w:lang w:val="en-CA"/>
        </w:rPr>
        <w:t xml:space="preserve"> prejudice</w:t>
      </w:r>
      <w:r w:rsidR="00735157">
        <w:rPr>
          <w:lang w:val="en-CA"/>
        </w:rPr>
        <w:t xml:space="preserve">, but only </w:t>
      </w:r>
      <w:r w:rsidR="00833FA9">
        <w:rPr>
          <w:lang w:val="en-CA"/>
        </w:rPr>
        <w:t>inconvenience</w:t>
      </w:r>
      <w:r w:rsidR="00735157">
        <w:rPr>
          <w:lang w:val="en-CA"/>
        </w:rPr>
        <w:t xml:space="preserve">, would be caused to the plaintiff </w:t>
      </w:r>
      <w:r w:rsidR="00833FA9">
        <w:rPr>
          <w:lang w:val="en-CA"/>
        </w:rPr>
        <w:t>i</w:t>
      </w:r>
      <w:r w:rsidR="00735157">
        <w:rPr>
          <w:lang w:val="en-CA"/>
        </w:rPr>
        <w:t xml:space="preserve">f leave is granted.  Mr Ching asked the court to have sympathy for the defendant </w:t>
      </w:r>
      <w:r w:rsidR="00E74A09">
        <w:rPr>
          <w:lang w:val="en-CA"/>
        </w:rPr>
        <w:t>so that she could have a fair assessment hearing.</w:t>
      </w:r>
    </w:p>
    <w:p w:rsidR="005B2D79" w:rsidRPr="005B2D79" w:rsidRDefault="005B2D79" w:rsidP="005B2D79">
      <w:pPr>
        <w:tabs>
          <w:tab w:val="clear" w:pos="4320"/>
          <w:tab w:val="clear" w:pos="9072"/>
        </w:tabs>
        <w:spacing w:line="360" w:lineRule="auto"/>
        <w:jc w:val="both"/>
        <w:rPr>
          <w:lang w:val="en-CA"/>
        </w:rPr>
      </w:pPr>
    </w:p>
    <w:p w:rsidR="005B2D79" w:rsidRPr="005B2D79" w:rsidRDefault="00E74A09" w:rsidP="005B2D79">
      <w:pPr>
        <w:numPr>
          <w:ilvl w:val="0"/>
          <w:numId w:val="17"/>
        </w:numPr>
        <w:tabs>
          <w:tab w:val="clear" w:pos="4320"/>
          <w:tab w:val="clear" w:pos="9072"/>
        </w:tabs>
        <w:spacing w:line="360" w:lineRule="auto"/>
        <w:ind w:left="0" w:firstLine="0"/>
        <w:jc w:val="both"/>
        <w:rPr>
          <w:lang w:val="en-CA"/>
        </w:rPr>
      </w:pPr>
      <w:r>
        <w:rPr>
          <w:lang w:val="en-CA"/>
        </w:rPr>
        <w:t xml:space="preserve">On this submission, it </w:t>
      </w:r>
      <w:r w:rsidR="00833FA9">
        <w:rPr>
          <w:lang w:val="en-CA"/>
        </w:rPr>
        <w:t>must</w:t>
      </w:r>
      <w:r>
        <w:rPr>
          <w:lang w:val="en-CA"/>
        </w:rPr>
        <w:t xml:space="preserve"> by now be clear that the “no prejudice” point is not determinative of this type of application.</w:t>
      </w:r>
    </w:p>
    <w:p w:rsidR="005B2D79" w:rsidRPr="00363B85" w:rsidRDefault="005B2D79" w:rsidP="005B2D79">
      <w:pPr>
        <w:tabs>
          <w:tab w:val="clear" w:pos="4320"/>
          <w:tab w:val="clear" w:pos="9072"/>
        </w:tabs>
        <w:spacing w:line="360" w:lineRule="auto"/>
        <w:jc w:val="both"/>
        <w:rPr>
          <w:rFonts w:eastAsia="Times New Roman"/>
          <w:iCs/>
          <w:lang w:val="en-CA"/>
        </w:rPr>
      </w:pPr>
    </w:p>
    <w:p w:rsidR="005B2D79" w:rsidRPr="00A03CA5" w:rsidRDefault="00B6064F" w:rsidP="00A03CA5">
      <w:pPr>
        <w:numPr>
          <w:ilvl w:val="0"/>
          <w:numId w:val="17"/>
        </w:numPr>
        <w:tabs>
          <w:tab w:val="clear" w:pos="4320"/>
          <w:tab w:val="clear" w:pos="9072"/>
        </w:tabs>
        <w:spacing w:line="360" w:lineRule="auto"/>
        <w:ind w:left="0" w:firstLine="0"/>
        <w:jc w:val="both"/>
        <w:rPr>
          <w:lang w:val="en-CA"/>
        </w:rPr>
      </w:pPr>
      <w:r>
        <w:rPr>
          <w:lang w:val="en-CA"/>
        </w:rPr>
        <w:t>Here, a</w:t>
      </w:r>
      <w:r w:rsidR="00833FA9">
        <w:rPr>
          <w:lang w:val="en-CA"/>
        </w:rPr>
        <w:t>s</w:t>
      </w:r>
      <w:r>
        <w:rPr>
          <w:lang w:val="en-CA"/>
        </w:rPr>
        <w:t xml:space="preserve"> submitted by the plaintiff, this end result is </w:t>
      </w:r>
      <w:r w:rsidR="00833FA9">
        <w:rPr>
          <w:lang w:val="en-CA"/>
        </w:rPr>
        <w:t xml:space="preserve">of </w:t>
      </w:r>
      <w:r>
        <w:rPr>
          <w:lang w:val="en-CA"/>
        </w:rPr>
        <w:t>the defendant’s own making.  The court does not have any sympathy for t</w:t>
      </w:r>
      <w:r w:rsidR="00833FA9">
        <w:rPr>
          <w:lang w:val="en-CA"/>
        </w:rPr>
        <w:t>he “injustice” that is perceived</w:t>
      </w:r>
      <w:r>
        <w:rPr>
          <w:lang w:val="en-CA"/>
        </w:rPr>
        <w:t xml:space="preserve"> to exist by the defendant.  </w:t>
      </w:r>
      <w:r w:rsidR="00833FA9">
        <w:rPr>
          <w:lang w:val="en-CA"/>
        </w:rPr>
        <w:t>As</w:t>
      </w:r>
      <w:r>
        <w:rPr>
          <w:lang w:val="en-CA"/>
        </w:rPr>
        <w:t xml:space="preserve"> mentioned above, what is remarkable in this case is the complete lack of explanation by the defendant </w:t>
      </w:r>
      <w:r w:rsidR="00833FA9">
        <w:rPr>
          <w:lang w:val="en-CA"/>
        </w:rPr>
        <w:t>o</w:t>
      </w:r>
      <w:r>
        <w:rPr>
          <w:lang w:val="en-CA"/>
        </w:rPr>
        <w:t>n the delay.  If the defendant now ask</w:t>
      </w:r>
      <w:r w:rsidR="00833FA9">
        <w:rPr>
          <w:lang w:val="en-CA"/>
        </w:rPr>
        <w:t>s</w:t>
      </w:r>
      <w:r>
        <w:rPr>
          <w:lang w:val="en-CA"/>
        </w:rPr>
        <w:t xml:space="preserve"> for sympathy, s</w:t>
      </w:r>
      <w:r w:rsidR="00833FA9">
        <w:rPr>
          <w:lang w:val="en-CA"/>
        </w:rPr>
        <w:t>h</w:t>
      </w:r>
      <w:r>
        <w:rPr>
          <w:lang w:val="en-CA"/>
        </w:rPr>
        <w:t xml:space="preserve">e should at least put forward something to which the court’s sympathy, if any, can be </w:t>
      </w:r>
      <w:r w:rsidR="00833FA9">
        <w:rPr>
          <w:lang w:val="en-CA"/>
        </w:rPr>
        <w:t>directed</w:t>
      </w:r>
      <w:r>
        <w:rPr>
          <w:lang w:val="en-CA"/>
        </w:rPr>
        <w:t>.  None has been p</w:t>
      </w:r>
      <w:r w:rsidR="00833FA9">
        <w:rPr>
          <w:lang w:val="en-CA"/>
        </w:rPr>
        <w:t>rovided</w:t>
      </w:r>
      <w:r>
        <w:rPr>
          <w:lang w:val="en-CA"/>
        </w:rPr>
        <w:t>.</w:t>
      </w:r>
      <w:r w:rsidR="00D30799">
        <w:rPr>
          <w:lang w:val="en-CA"/>
        </w:rPr>
        <w:t xml:space="preserve">  The defendant</w:t>
      </w:r>
      <w:r w:rsidR="00833FA9">
        <w:rPr>
          <w:lang w:val="en-CA"/>
        </w:rPr>
        <w:t xml:space="preserve"> must</w:t>
      </w:r>
      <w:r w:rsidR="00D30799">
        <w:rPr>
          <w:lang w:val="en-CA"/>
        </w:rPr>
        <w:t xml:space="preserve"> live with the </w:t>
      </w:r>
      <w:r w:rsidR="00833FA9">
        <w:rPr>
          <w:lang w:val="en-CA"/>
        </w:rPr>
        <w:t>consequence</w:t>
      </w:r>
      <w:r w:rsidR="00D30799">
        <w:rPr>
          <w:lang w:val="en-CA"/>
        </w:rPr>
        <w:t xml:space="preserve"> flowing from h</w:t>
      </w:r>
      <w:r w:rsidR="00833FA9">
        <w:rPr>
          <w:lang w:val="en-CA"/>
        </w:rPr>
        <w:t>ow she has handled the case thus</w:t>
      </w:r>
      <w:r w:rsidR="00D30799">
        <w:rPr>
          <w:lang w:val="en-CA"/>
        </w:rPr>
        <w:t xml:space="preserve"> far</w:t>
      </w:r>
      <w:r w:rsidR="00833FA9">
        <w:rPr>
          <w:lang w:val="en-CA"/>
        </w:rPr>
        <w:t>.</w:t>
      </w:r>
    </w:p>
    <w:p w:rsidR="00A03CA5" w:rsidRDefault="00A03CA5" w:rsidP="00A03CA5">
      <w:pPr>
        <w:tabs>
          <w:tab w:val="clear" w:pos="4320"/>
          <w:tab w:val="clear" w:pos="9072"/>
        </w:tabs>
        <w:spacing w:line="360" w:lineRule="auto"/>
        <w:jc w:val="both"/>
        <w:rPr>
          <w:lang w:val="en-CA"/>
        </w:rPr>
      </w:pPr>
    </w:p>
    <w:p w:rsidR="00D30799" w:rsidRPr="00D30799" w:rsidRDefault="00D30799" w:rsidP="00A03CA5">
      <w:pPr>
        <w:tabs>
          <w:tab w:val="clear" w:pos="4320"/>
          <w:tab w:val="clear" w:pos="9072"/>
        </w:tabs>
        <w:spacing w:line="360" w:lineRule="auto"/>
        <w:jc w:val="both"/>
        <w:rPr>
          <w:i/>
          <w:lang w:val="en-CA"/>
        </w:rPr>
      </w:pPr>
      <w:r w:rsidRPr="00D30799">
        <w:rPr>
          <w:i/>
          <w:lang w:val="en-CA"/>
        </w:rPr>
        <w:t>Order</w:t>
      </w:r>
    </w:p>
    <w:p w:rsidR="00D30799" w:rsidRPr="005B2D79" w:rsidRDefault="00D30799" w:rsidP="00A03CA5">
      <w:pPr>
        <w:tabs>
          <w:tab w:val="clear" w:pos="4320"/>
          <w:tab w:val="clear" w:pos="9072"/>
        </w:tabs>
        <w:spacing w:line="360" w:lineRule="auto"/>
        <w:jc w:val="both"/>
        <w:rPr>
          <w:lang w:val="en-CA"/>
        </w:rPr>
      </w:pPr>
    </w:p>
    <w:p w:rsidR="005B2D79" w:rsidRPr="005B2D79" w:rsidRDefault="00D30799" w:rsidP="005B2D79">
      <w:pPr>
        <w:numPr>
          <w:ilvl w:val="0"/>
          <w:numId w:val="17"/>
        </w:numPr>
        <w:tabs>
          <w:tab w:val="clear" w:pos="4320"/>
          <w:tab w:val="clear" w:pos="9072"/>
        </w:tabs>
        <w:spacing w:line="360" w:lineRule="auto"/>
        <w:ind w:left="0" w:firstLine="0"/>
        <w:jc w:val="both"/>
        <w:rPr>
          <w:lang w:val="en-CA"/>
        </w:rPr>
      </w:pPr>
      <w:r>
        <w:rPr>
          <w:lang w:val="en-CA"/>
        </w:rPr>
        <w:t>The defendant’s appeal is dismissed.</w:t>
      </w:r>
    </w:p>
    <w:p w:rsidR="005B2D79" w:rsidRPr="005B2D79" w:rsidRDefault="005B2D79" w:rsidP="005B2D79">
      <w:pPr>
        <w:tabs>
          <w:tab w:val="clear" w:pos="4320"/>
          <w:tab w:val="clear" w:pos="9072"/>
        </w:tabs>
        <w:spacing w:line="360" w:lineRule="auto"/>
        <w:jc w:val="both"/>
        <w:rPr>
          <w:rFonts w:eastAsia="等线"/>
        </w:rPr>
      </w:pPr>
    </w:p>
    <w:p w:rsidR="005B2D79" w:rsidRPr="00833FA9" w:rsidRDefault="00BA42C9" w:rsidP="005B2D79">
      <w:pPr>
        <w:tabs>
          <w:tab w:val="clear" w:pos="4320"/>
          <w:tab w:val="clear" w:pos="9072"/>
        </w:tabs>
        <w:spacing w:line="360" w:lineRule="auto"/>
        <w:jc w:val="both"/>
        <w:rPr>
          <w:rFonts w:eastAsia="等线"/>
          <w:i/>
        </w:rPr>
      </w:pPr>
      <w:r>
        <w:rPr>
          <w:rFonts w:eastAsia="等线"/>
          <w:i/>
        </w:rPr>
        <w:lastRenderedPageBreak/>
        <w:t>[Discussion re costs]</w:t>
      </w:r>
    </w:p>
    <w:p w:rsidR="005B2D79" w:rsidRDefault="005B2D79" w:rsidP="005B2D79">
      <w:pPr>
        <w:pStyle w:val="BodyText"/>
        <w:snapToGrid w:val="0"/>
      </w:pPr>
    </w:p>
    <w:p w:rsidR="00D30799" w:rsidRDefault="006F1C2A" w:rsidP="00833FA9">
      <w:pPr>
        <w:numPr>
          <w:ilvl w:val="0"/>
          <w:numId w:val="17"/>
        </w:numPr>
        <w:tabs>
          <w:tab w:val="clear" w:pos="4320"/>
          <w:tab w:val="clear" w:pos="9072"/>
        </w:tabs>
        <w:spacing w:line="360" w:lineRule="auto"/>
        <w:ind w:left="0" w:firstLine="0"/>
        <w:jc w:val="both"/>
      </w:pPr>
      <w:r>
        <w:t>The plaintiff do have costs of the appeal, with certificate for counsel.  The plaintiff’s solicitors’ having waived the</w:t>
      </w:r>
      <w:r w:rsidR="00BA42C9">
        <w:t>ir right under Order 62, rule 9C</w:t>
      </w:r>
      <w:r>
        <w:t>(1)(</w:t>
      </w:r>
      <w:r w:rsidR="00BA42C9">
        <w:t>b</w:t>
      </w:r>
      <w:r>
        <w:t>), the costs were summarily assessed in the agreed sum of $50,112.</w:t>
      </w:r>
    </w:p>
    <w:p w:rsidR="00833FA9" w:rsidRDefault="00833FA9" w:rsidP="005B2D79">
      <w:pPr>
        <w:pStyle w:val="BodyText"/>
        <w:snapToGrid w:val="0"/>
      </w:pPr>
    </w:p>
    <w:p w:rsidR="00833FA9" w:rsidRDefault="00DF3B8B" w:rsidP="006F1C2A">
      <w:pPr>
        <w:numPr>
          <w:ilvl w:val="0"/>
          <w:numId w:val="17"/>
        </w:numPr>
        <w:tabs>
          <w:tab w:val="clear" w:pos="4320"/>
          <w:tab w:val="clear" w:pos="9072"/>
        </w:tabs>
        <w:spacing w:line="360" w:lineRule="auto"/>
        <w:ind w:left="0" w:firstLine="0"/>
        <w:jc w:val="both"/>
      </w:pPr>
      <w:r>
        <w:t>The plaintiff’s own costs be taxed in accordance with the Legal Aid Regulations.</w:t>
      </w:r>
    </w:p>
    <w:p w:rsidR="006F1C2A" w:rsidRDefault="006F1C2A" w:rsidP="005B2D79">
      <w:pPr>
        <w:pStyle w:val="BodyText"/>
        <w:snapToGrid w:val="0"/>
      </w:pPr>
    </w:p>
    <w:p w:rsidR="00833FA9" w:rsidRDefault="00833FA9" w:rsidP="005B2D79">
      <w:pPr>
        <w:pStyle w:val="BodyText"/>
        <w:snapToGrid w:val="0"/>
      </w:pPr>
    </w:p>
    <w:p w:rsidR="006F1C2A" w:rsidRDefault="006F1C2A" w:rsidP="005B2D79">
      <w:pPr>
        <w:pStyle w:val="BodyText"/>
        <w:snapToGrid w:val="0"/>
      </w:pPr>
    </w:p>
    <w:p w:rsidR="00833FA9" w:rsidRPr="00D30799" w:rsidRDefault="00833FA9" w:rsidP="005B2D79">
      <w:pPr>
        <w:pStyle w:val="BodyText"/>
        <w:snapToGrid w:val="0"/>
      </w:pPr>
    </w:p>
    <w:p w:rsidR="005B2D79" w:rsidRPr="00D30799" w:rsidRDefault="005B2D79" w:rsidP="005B2D79">
      <w:pPr>
        <w:tabs>
          <w:tab w:val="clear" w:pos="1440"/>
          <w:tab w:val="clear" w:pos="4320"/>
          <w:tab w:val="left" w:pos="1418"/>
          <w:tab w:val="center" w:pos="5880"/>
        </w:tabs>
        <w:kinsoku w:val="0"/>
      </w:pPr>
      <w:r w:rsidRPr="00D30799">
        <w:tab/>
      </w:r>
      <w:r w:rsidRPr="00D30799">
        <w:tab/>
        <w:t xml:space="preserve">( </w:t>
      </w:r>
      <w:r w:rsidR="00D30799" w:rsidRPr="00D30799">
        <w:t>Winnie Tsui</w:t>
      </w:r>
      <w:r w:rsidRPr="00D30799">
        <w:t xml:space="preserve"> )</w:t>
      </w:r>
    </w:p>
    <w:p w:rsidR="005B2D79" w:rsidRPr="00D30799" w:rsidRDefault="005B2D79" w:rsidP="005B2D79">
      <w:pPr>
        <w:tabs>
          <w:tab w:val="clear" w:pos="1440"/>
          <w:tab w:val="clear" w:pos="4320"/>
          <w:tab w:val="left" w:pos="1418"/>
          <w:tab w:val="center" w:pos="5880"/>
        </w:tabs>
        <w:kinsoku w:val="0"/>
      </w:pPr>
      <w:r w:rsidRPr="00D30799">
        <w:tab/>
      </w:r>
      <w:r w:rsidRPr="00D30799">
        <w:tab/>
        <w:t>District Judge</w:t>
      </w:r>
    </w:p>
    <w:p w:rsidR="005B2D79" w:rsidRPr="00D30799" w:rsidRDefault="005B2D79" w:rsidP="00193AFA">
      <w:pPr>
        <w:pStyle w:val="BodyText"/>
        <w:snapToGrid w:val="0"/>
        <w:spacing w:line="240" w:lineRule="auto"/>
      </w:pPr>
    </w:p>
    <w:p w:rsidR="005B2D79" w:rsidRPr="00D30799" w:rsidRDefault="005B2D79" w:rsidP="00193AFA">
      <w:pPr>
        <w:pStyle w:val="BodyText"/>
        <w:snapToGrid w:val="0"/>
        <w:spacing w:line="240" w:lineRule="auto"/>
      </w:pPr>
    </w:p>
    <w:p w:rsidR="005B2D79" w:rsidRPr="00D30799" w:rsidRDefault="005B2D79" w:rsidP="005B2D79">
      <w:pPr>
        <w:tabs>
          <w:tab w:val="clear" w:pos="1440"/>
          <w:tab w:val="clear" w:pos="4320"/>
          <w:tab w:val="left" w:pos="1418"/>
          <w:tab w:val="center" w:pos="5880"/>
        </w:tabs>
        <w:kinsoku w:val="0"/>
      </w:pPr>
      <w:r w:rsidRPr="00D30799">
        <w:t>Mr Tony Ko, instructed by Boase Cohen &amp; Collins, assigned by the D</w:t>
      </w:r>
      <w:r w:rsidR="00193AFA" w:rsidRPr="00D30799">
        <w:t xml:space="preserve">irector of </w:t>
      </w:r>
      <w:r w:rsidRPr="00D30799">
        <w:t>Legal Aid, for the plaintiff</w:t>
      </w:r>
    </w:p>
    <w:p w:rsidR="005B2D79" w:rsidRPr="00D30799" w:rsidRDefault="005B2D79" w:rsidP="005B2D79">
      <w:pPr>
        <w:tabs>
          <w:tab w:val="clear" w:pos="1440"/>
          <w:tab w:val="clear" w:pos="4320"/>
          <w:tab w:val="left" w:pos="1418"/>
          <w:tab w:val="center" w:pos="5880"/>
        </w:tabs>
        <w:kinsoku w:val="0"/>
      </w:pPr>
    </w:p>
    <w:p w:rsidR="005B2D79" w:rsidRPr="00D30799" w:rsidRDefault="00D30799" w:rsidP="005B2D79">
      <w:pPr>
        <w:tabs>
          <w:tab w:val="clear" w:pos="1440"/>
          <w:tab w:val="clear" w:pos="4320"/>
          <w:tab w:val="left" w:pos="1418"/>
          <w:tab w:val="center" w:pos="5880"/>
        </w:tabs>
        <w:kinsoku w:val="0"/>
      </w:pPr>
      <w:r>
        <w:t>Ms Manna Wong</w:t>
      </w:r>
      <w:r w:rsidR="00DF3B8B">
        <w:t>,</w:t>
      </w:r>
      <w:r>
        <w:t xml:space="preserve"> instructed by Ching &amp; Co, for the defendant</w:t>
      </w:r>
    </w:p>
    <w:sectPr w:rsidR="005B2D79" w:rsidRPr="00D30799"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106" w:rsidRDefault="00AD2106">
      <w:r>
        <w:separator/>
      </w:r>
    </w:p>
  </w:endnote>
  <w:endnote w:type="continuationSeparator" w:id="0">
    <w:p w:rsidR="00AD2106" w:rsidRDefault="00AD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BF7B47">
    <w:pPr>
      <w:pStyle w:val="Footer"/>
      <w:framePr w:wrap="auto" w:vAnchor="text" w:hAnchor="margin" w:xAlign="right" w:y="1"/>
      <w:rPr>
        <w:rStyle w:val="PageNumber"/>
      </w:rPr>
    </w:pPr>
  </w:p>
  <w:p w:rsidR="00BF7B47" w:rsidRDefault="00BF7B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106" w:rsidRDefault="00AD2106">
      <w:r>
        <w:separator/>
      </w:r>
    </w:p>
  </w:footnote>
  <w:footnote w:type="continuationSeparator" w:id="0">
    <w:p w:rsidR="00AD2106" w:rsidRDefault="00AD2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731BFB">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BF7B47" w:rsidRDefault="00BF7B47">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731BFB">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v:textbox>
            </v:shape>
          </w:pict>
        </mc:Fallback>
      </mc:AlternateContent>
    </w:r>
    <w:r w:rsidR="00BF7B47">
      <w:rPr>
        <w:sz w:val="28"/>
        <w:szCs w:val="28"/>
      </w:rPr>
      <w:t xml:space="preserve">- </w:t>
    </w:r>
    <w:r w:rsidR="00BF7B47">
      <w:rPr>
        <w:rStyle w:val="PageNumber"/>
        <w:sz w:val="28"/>
        <w:szCs w:val="28"/>
      </w:rPr>
      <w:fldChar w:fldCharType="begin"/>
    </w:r>
    <w:r w:rsidR="00BF7B47">
      <w:rPr>
        <w:rStyle w:val="PageNumber"/>
        <w:sz w:val="28"/>
        <w:szCs w:val="28"/>
      </w:rPr>
      <w:instrText xml:space="preserve"> PAGE </w:instrText>
    </w:r>
    <w:r w:rsidR="00BF7B47">
      <w:rPr>
        <w:rStyle w:val="PageNumber"/>
        <w:sz w:val="28"/>
        <w:szCs w:val="28"/>
      </w:rPr>
      <w:fldChar w:fldCharType="separate"/>
    </w:r>
    <w:r w:rsidR="006D2AC7">
      <w:rPr>
        <w:rStyle w:val="PageNumber"/>
        <w:noProof/>
        <w:sz w:val="28"/>
        <w:szCs w:val="28"/>
      </w:rPr>
      <w:t>4</w:t>
    </w:r>
    <w:r w:rsidR="00BF7B47">
      <w:rPr>
        <w:rStyle w:val="PageNumber"/>
        <w:sz w:val="28"/>
        <w:szCs w:val="28"/>
      </w:rPr>
      <w:fldChar w:fldCharType="end"/>
    </w:r>
    <w:r w:rsidR="00BF7B47">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BF7B47" w:rsidRDefault="00BF7B47">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7300B4"/>
    <w:multiLevelType w:val="hybridMultilevel"/>
    <w:tmpl w:val="3C8078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11D47"/>
    <w:multiLevelType w:val="hybridMultilevel"/>
    <w:tmpl w:val="DB7CA1FC"/>
    <w:lvl w:ilvl="0" w:tplc="E924BEE6">
      <w:start w:val="1"/>
      <w:numFmt w:val="lowerLetter"/>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D7979"/>
    <w:multiLevelType w:val="hybridMultilevel"/>
    <w:tmpl w:val="DA8856DA"/>
    <w:lvl w:ilvl="0" w:tplc="E924BEE6">
      <w:start w:val="1"/>
      <w:numFmt w:val="lowerLetter"/>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0"/>
  </w:num>
  <w:num w:numId="3">
    <w:abstractNumId w:val="15"/>
  </w:num>
  <w:num w:numId="4">
    <w:abstractNumId w:val="28"/>
  </w:num>
  <w:num w:numId="5">
    <w:abstractNumId w:val="3"/>
  </w:num>
  <w:num w:numId="6">
    <w:abstractNumId w:val="13"/>
  </w:num>
  <w:num w:numId="7">
    <w:abstractNumId w:val="26"/>
  </w:num>
  <w:num w:numId="8">
    <w:abstractNumId w:val="9"/>
  </w:num>
  <w:num w:numId="9">
    <w:abstractNumId w:val="23"/>
  </w:num>
  <w:num w:numId="10">
    <w:abstractNumId w:val="8"/>
  </w:num>
  <w:num w:numId="11">
    <w:abstractNumId w:val="4"/>
  </w:num>
  <w:num w:numId="12">
    <w:abstractNumId w:val="10"/>
  </w:num>
  <w:num w:numId="13">
    <w:abstractNumId w:val="14"/>
  </w:num>
  <w:num w:numId="14">
    <w:abstractNumId w:val="2"/>
  </w:num>
  <w:num w:numId="15">
    <w:abstractNumId w:val="25"/>
  </w:num>
  <w:num w:numId="16">
    <w:abstractNumId w:val="1"/>
  </w:num>
  <w:num w:numId="17">
    <w:abstractNumId w:val="20"/>
  </w:num>
  <w:num w:numId="18">
    <w:abstractNumId w:val="29"/>
  </w:num>
  <w:num w:numId="19">
    <w:abstractNumId w:val="5"/>
  </w:num>
  <w:num w:numId="20">
    <w:abstractNumId w:val="22"/>
  </w:num>
  <w:num w:numId="21">
    <w:abstractNumId w:val="31"/>
  </w:num>
  <w:num w:numId="22">
    <w:abstractNumId w:val="12"/>
  </w:num>
  <w:num w:numId="23">
    <w:abstractNumId w:val="7"/>
  </w:num>
  <w:num w:numId="24">
    <w:abstractNumId w:val="18"/>
  </w:num>
  <w:num w:numId="25">
    <w:abstractNumId w:val="0"/>
  </w:num>
  <w:num w:numId="26">
    <w:abstractNumId w:val="24"/>
  </w:num>
  <w:num w:numId="27">
    <w:abstractNumId w:val="32"/>
  </w:num>
  <w:num w:numId="28">
    <w:abstractNumId w:val="19"/>
  </w:num>
  <w:num w:numId="29">
    <w:abstractNumId w:val="16"/>
  </w:num>
  <w:num w:numId="30">
    <w:abstractNumId w:val="21"/>
  </w:num>
  <w:num w:numId="31">
    <w:abstractNumId w:val="11"/>
  </w:num>
  <w:num w:numId="32">
    <w:abstractNumId w:val="27"/>
  </w:num>
  <w:num w:numId="33">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2240F"/>
    <w:rsid w:val="00033FAA"/>
    <w:rsid w:val="000474C1"/>
    <w:rsid w:val="00071C4B"/>
    <w:rsid w:val="0008644E"/>
    <w:rsid w:val="00094E71"/>
    <w:rsid w:val="000B4B80"/>
    <w:rsid w:val="000C740E"/>
    <w:rsid w:val="000D0EFA"/>
    <w:rsid w:val="000D2ED5"/>
    <w:rsid w:val="000E6D71"/>
    <w:rsid w:val="001012D7"/>
    <w:rsid w:val="00104F34"/>
    <w:rsid w:val="00130CC4"/>
    <w:rsid w:val="00142289"/>
    <w:rsid w:val="00150C06"/>
    <w:rsid w:val="00182F95"/>
    <w:rsid w:val="001855CB"/>
    <w:rsid w:val="00192985"/>
    <w:rsid w:val="00193AFA"/>
    <w:rsid w:val="00197F6B"/>
    <w:rsid w:val="001A2C98"/>
    <w:rsid w:val="001B3F00"/>
    <w:rsid w:val="001C7516"/>
    <w:rsid w:val="001D0B73"/>
    <w:rsid w:val="001E695D"/>
    <w:rsid w:val="00210CA1"/>
    <w:rsid w:val="00227892"/>
    <w:rsid w:val="00242033"/>
    <w:rsid w:val="00252A31"/>
    <w:rsid w:val="00281660"/>
    <w:rsid w:val="00283908"/>
    <w:rsid w:val="00285098"/>
    <w:rsid w:val="00297721"/>
    <w:rsid w:val="002B25E1"/>
    <w:rsid w:val="002B343D"/>
    <w:rsid w:val="002C0B1D"/>
    <w:rsid w:val="002C2792"/>
    <w:rsid w:val="002D03D9"/>
    <w:rsid w:val="002D0D6D"/>
    <w:rsid w:val="002D7FE2"/>
    <w:rsid w:val="00303523"/>
    <w:rsid w:val="00310C45"/>
    <w:rsid w:val="00311921"/>
    <w:rsid w:val="003366DA"/>
    <w:rsid w:val="00363B85"/>
    <w:rsid w:val="00373F02"/>
    <w:rsid w:val="00381207"/>
    <w:rsid w:val="003930E5"/>
    <w:rsid w:val="00394AD2"/>
    <w:rsid w:val="0039685D"/>
    <w:rsid w:val="003A26CB"/>
    <w:rsid w:val="003C1FF6"/>
    <w:rsid w:val="003C295C"/>
    <w:rsid w:val="003E659F"/>
    <w:rsid w:val="00425A69"/>
    <w:rsid w:val="00454A93"/>
    <w:rsid w:val="0046762C"/>
    <w:rsid w:val="004850F6"/>
    <w:rsid w:val="00492106"/>
    <w:rsid w:val="004A4024"/>
    <w:rsid w:val="004B5BC0"/>
    <w:rsid w:val="004C5695"/>
    <w:rsid w:val="004D1551"/>
    <w:rsid w:val="004D7430"/>
    <w:rsid w:val="004F5B91"/>
    <w:rsid w:val="004F7678"/>
    <w:rsid w:val="00523117"/>
    <w:rsid w:val="0056426F"/>
    <w:rsid w:val="005879CD"/>
    <w:rsid w:val="005967CB"/>
    <w:rsid w:val="005973FA"/>
    <w:rsid w:val="005A112F"/>
    <w:rsid w:val="005A5EB7"/>
    <w:rsid w:val="005B2D79"/>
    <w:rsid w:val="005D7438"/>
    <w:rsid w:val="005D7FF0"/>
    <w:rsid w:val="005E1A76"/>
    <w:rsid w:val="005E4F81"/>
    <w:rsid w:val="005F0579"/>
    <w:rsid w:val="00601940"/>
    <w:rsid w:val="006253D9"/>
    <w:rsid w:val="0062557F"/>
    <w:rsid w:val="00687961"/>
    <w:rsid w:val="006A6B46"/>
    <w:rsid w:val="006B57A0"/>
    <w:rsid w:val="006B5E49"/>
    <w:rsid w:val="006B6164"/>
    <w:rsid w:val="006C426E"/>
    <w:rsid w:val="006C6DEC"/>
    <w:rsid w:val="006D2AC7"/>
    <w:rsid w:val="006F1C2A"/>
    <w:rsid w:val="007001B5"/>
    <w:rsid w:val="007133DF"/>
    <w:rsid w:val="0072411A"/>
    <w:rsid w:val="00731BFB"/>
    <w:rsid w:val="00735157"/>
    <w:rsid w:val="00745850"/>
    <w:rsid w:val="00753CAF"/>
    <w:rsid w:val="00757DFF"/>
    <w:rsid w:val="0079058D"/>
    <w:rsid w:val="007A15E6"/>
    <w:rsid w:val="007B79CB"/>
    <w:rsid w:val="007C4EDF"/>
    <w:rsid w:val="007F0F94"/>
    <w:rsid w:val="007F4740"/>
    <w:rsid w:val="00824EC6"/>
    <w:rsid w:val="0082727D"/>
    <w:rsid w:val="00827FFC"/>
    <w:rsid w:val="00833FA9"/>
    <w:rsid w:val="00836DFF"/>
    <w:rsid w:val="00853FBB"/>
    <w:rsid w:val="00855FDB"/>
    <w:rsid w:val="008E38D1"/>
    <w:rsid w:val="008E4C04"/>
    <w:rsid w:val="008E6121"/>
    <w:rsid w:val="008E6F3D"/>
    <w:rsid w:val="00904902"/>
    <w:rsid w:val="00984420"/>
    <w:rsid w:val="00985BFF"/>
    <w:rsid w:val="00992161"/>
    <w:rsid w:val="00992FB5"/>
    <w:rsid w:val="00997612"/>
    <w:rsid w:val="009A1B52"/>
    <w:rsid w:val="009D26B3"/>
    <w:rsid w:val="009E1F5A"/>
    <w:rsid w:val="009E3067"/>
    <w:rsid w:val="009F5C5F"/>
    <w:rsid w:val="00A03CA5"/>
    <w:rsid w:val="00A17C0A"/>
    <w:rsid w:val="00A20216"/>
    <w:rsid w:val="00A265EA"/>
    <w:rsid w:val="00A3188E"/>
    <w:rsid w:val="00A34CB8"/>
    <w:rsid w:val="00A50DED"/>
    <w:rsid w:val="00A8299F"/>
    <w:rsid w:val="00AA733C"/>
    <w:rsid w:val="00AB3BDE"/>
    <w:rsid w:val="00AC19E9"/>
    <w:rsid w:val="00AD2106"/>
    <w:rsid w:val="00AE41AE"/>
    <w:rsid w:val="00B13D4E"/>
    <w:rsid w:val="00B41A5F"/>
    <w:rsid w:val="00B55F95"/>
    <w:rsid w:val="00B6064F"/>
    <w:rsid w:val="00B64677"/>
    <w:rsid w:val="00B67413"/>
    <w:rsid w:val="00B679FE"/>
    <w:rsid w:val="00B74D98"/>
    <w:rsid w:val="00B8421F"/>
    <w:rsid w:val="00BA42C9"/>
    <w:rsid w:val="00BB781A"/>
    <w:rsid w:val="00BD61C5"/>
    <w:rsid w:val="00BE2587"/>
    <w:rsid w:val="00BE4D4E"/>
    <w:rsid w:val="00BF7B47"/>
    <w:rsid w:val="00C1584C"/>
    <w:rsid w:val="00C2259B"/>
    <w:rsid w:val="00C40EAD"/>
    <w:rsid w:val="00C5759E"/>
    <w:rsid w:val="00C642CF"/>
    <w:rsid w:val="00C77CD9"/>
    <w:rsid w:val="00C83C06"/>
    <w:rsid w:val="00CA1C8B"/>
    <w:rsid w:val="00CC09AE"/>
    <w:rsid w:val="00CC50AA"/>
    <w:rsid w:val="00CD22C7"/>
    <w:rsid w:val="00CD5F34"/>
    <w:rsid w:val="00CE32D7"/>
    <w:rsid w:val="00CE62F6"/>
    <w:rsid w:val="00D03E0C"/>
    <w:rsid w:val="00D2012D"/>
    <w:rsid w:val="00D30799"/>
    <w:rsid w:val="00D30860"/>
    <w:rsid w:val="00D55F7D"/>
    <w:rsid w:val="00D715A5"/>
    <w:rsid w:val="00D7763C"/>
    <w:rsid w:val="00D916D8"/>
    <w:rsid w:val="00DA03F6"/>
    <w:rsid w:val="00DA1549"/>
    <w:rsid w:val="00DA4E44"/>
    <w:rsid w:val="00DB7D3E"/>
    <w:rsid w:val="00DC6A7E"/>
    <w:rsid w:val="00DE386F"/>
    <w:rsid w:val="00DF3B8B"/>
    <w:rsid w:val="00E05E6F"/>
    <w:rsid w:val="00E35009"/>
    <w:rsid w:val="00E4173A"/>
    <w:rsid w:val="00E47871"/>
    <w:rsid w:val="00E5349C"/>
    <w:rsid w:val="00E74A09"/>
    <w:rsid w:val="00E827AD"/>
    <w:rsid w:val="00E82E88"/>
    <w:rsid w:val="00EB131D"/>
    <w:rsid w:val="00EB4E6E"/>
    <w:rsid w:val="00ED1943"/>
    <w:rsid w:val="00EE1EDB"/>
    <w:rsid w:val="00EE29EE"/>
    <w:rsid w:val="00F002C9"/>
    <w:rsid w:val="00F23D48"/>
    <w:rsid w:val="00F26B60"/>
    <w:rsid w:val="00F324B8"/>
    <w:rsid w:val="00F32FCA"/>
    <w:rsid w:val="00F41D2E"/>
    <w:rsid w:val="00F428EA"/>
    <w:rsid w:val="00F51050"/>
    <w:rsid w:val="00F755B9"/>
    <w:rsid w:val="00F76614"/>
    <w:rsid w:val="00F8499D"/>
    <w:rsid w:val="00F87079"/>
    <w:rsid w:val="00F95346"/>
    <w:rsid w:val="00FB2D7B"/>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71345-00BF-49E0-BC00-65FEE2A55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2017-09-01T06:55:00Z</cp:lastPrinted>
  <dcterms:created xsi:type="dcterms:W3CDTF">2017-09-08T05:04:00Z</dcterms:created>
  <dcterms:modified xsi:type="dcterms:W3CDTF">2017-09-08T05:04:00Z</dcterms:modified>
</cp:coreProperties>
</file>