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6DB" w:rsidRDefault="00DB07AF">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w:t>
      </w:r>
      <w:r>
        <w:rPr>
          <w:szCs w:val="23"/>
          <w:lang w:val="en-GB"/>
        </w:rPr>
        <w:t>PI 636/2010</w:t>
      </w:r>
    </w:p>
    <w:p w:rsidR="008F06DB" w:rsidRDefault="008F06DB">
      <w:pPr>
        <w:tabs>
          <w:tab w:val="clear" w:pos="1440"/>
          <w:tab w:val="clear" w:pos="4320"/>
          <w:tab w:val="clear" w:pos="9072"/>
        </w:tabs>
        <w:spacing w:line="360" w:lineRule="auto"/>
        <w:jc w:val="both"/>
        <w:rPr>
          <w:rFonts w:hint="eastAsia"/>
          <w:szCs w:val="23"/>
          <w:lang w:val="en-GB"/>
        </w:rPr>
      </w:pPr>
    </w:p>
    <w:p w:rsidR="008F06DB" w:rsidRDefault="008F06DB">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8F06DB" w:rsidRDefault="008F06DB">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8F06DB" w:rsidRDefault="00D54817">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636 OF 2010</w:t>
      </w:r>
    </w:p>
    <w:p w:rsidR="008F06DB" w:rsidRDefault="008F06DB">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8F06DB" w:rsidRDefault="008F06DB">
      <w:pPr>
        <w:tabs>
          <w:tab w:val="clear" w:pos="1440"/>
          <w:tab w:val="clear" w:pos="4320"/>
          <w:tab w:val="clear" w:pos="9072"/>
        </w:tabs>
        <w:spacing w:line="360" w:lineRule="auto"/>
        <w:jc w:val="both"/>
        <w:rPr>
          <w:rFonts w:hint="eastAsia"/>
          <w:szCs w:val="23"/>
          <w:lang w:val="en-GB"/>
        </w:rPr>
      </w:pPr>
    </w:p>
    <w:p w:rsidR="008F06DB" w:rsidRDefault="008F06DB">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8F06DB" w:rsidRPr="00D54817" w:rsidRDefault="00D54817">
      <w:pPr>
        <w:tabs>
          <w:tab w:val="clear" w:pos="1440"/>
          <w:tab w:val="clear" w:pos="4320"/>
          <w:tab w:val="clear" w:pos="9072"/>
        </w:tabs>
        <w:spacing w:line="360" w:lineRule="auto"/>
        <w:jc w:val="both"/>
        <w:rPr>
          <w:rFonts w:hint="eastAsia"/>
          <w:sz w:val="26"/>
          <w:szCs w:val="26"/>
          <w:lang w:val="en-GB"/>
        </w:rPr>
      </w:pPr>
      <w:r>
        <w:rPr>
          <w:rFonts w:hint="eastAsia"/>
          <w:sz w:val="26"/>
          <w:szCs w:val="26"/>
          <w:lang w:val="en-GB"/>
        </w:rPr>
        <w:tab/>
      </w:r>
      <w:r w:rsidR="008F06DB" w:rsidRPr="00D54817">
        <w:rPr>
          <w:rFonts w:hint="eastAsia"/>
          <w:sz w:val="26"/>
          <w:szCs w:val="26"/>
          <w:lang w:val="en-GB"/>
        </w:rPr>
        <w:tab/>
      </w:r>
      <w:r w:rsidRPr="00D54817">
        <w:rPr>
          <w:rFonts w:hint="eastAsia"/>
          <w:sz w:val="26"/>
          <w:szCs w:val="26"/>
          <w:lang w:val="en-GB"/>
        </w:rPr>
        <w:t>AU  MAN MING</w:t>
      </w:r>
      <w:r w:rsidRPr="00D54817">
        <w:rPr>
          <w:rFonts w:hint="eastAsia"/>
          <w:sz w:val="26"/>
          <w:szCs w:val="26"/>
          <w:lang w:val="en-GB"/>
        </w:rPr>
        <w:tab/>
      </w:r>
      <w:r w:rsidRPr="00D54817">
        <w:rPr>
          <w:rFonts w:hint="eastAsia"/>
          <w:sz w:val="26"/>
          <w:szCs w:val="26"/>
          <w:lang w:val="en-GB"/>
        </w:rPr>
        <w:tab/>
      </w:r>
      <w:r w:rsidRPr="00D54817">
        <w:rPr>
          <w:rFonts w:hint="eastAsia"/>
          <w:sz w:val="26"/>
          <w:szCs w:val="26"/>
          <w:lang w:val="en-GB"/>
        </w:rPr>
        <w:tab/>
      </w:r>
      <w:r w:rsidRPr="00D54817">
        <w:rPr>
          <w:rFonts w:hint="eastAsia"/>
          <w:sz w:val="26"/>
          <w:szCs w:val="26"/>
          <w:lang w:val="en-GB"/>
        </w:rPr>
        <w:tab/>
      </w:r>
      <w:r w:rsidRPr="00D54817">
        <w:rPr>
          <w:rFonts w:hint="eastAsia"/>
          <w:sz w:val="26"/>
          <w:szCs w:val="26"/>
          <w:lang w:val="en-GB"/>
        </w:rPr>
        <w:tab/>
      </w:r>
      <w:r w:rsidRPr="00D54817">
        <w:rPr>
          <w:rFonts w:hint="eastAsia"/>
          <w:sz w:val="26"/>
          <w:szCs w:val="26"/>
          <w:lang w:val="en-GB"/>
        </w:rPr>
        <w:tab/>
      </w:r>
      <w:r w:rsidR="008F06DB" w:rsidRPr="00D54817">
        <w:rPr>
          <w:rFonts w:hint="eastAsia"/>
          <w:sz w:val="26"/>
          <w:szCs w:val="26"/>
          <w:lang w:val="en-GB"/>
        </w:rPr>
        <w:tab/>
      </w:r>
      <w:r w:rsidR="008F06DB" w:rsidRPr="00D54817">
        <w:rPr>
          <w:rFonts w:hint="eastAsia"/>
          <w:sz w:val="26"/>
          <w:szCs w:val="26"/>
          <w:lang w:val="en-GB"/>
        </w:rPr>
        <w:tab/>
      </w:r>
      <w:r w:rsidR="008F06DB" w:rsidRPr="00D54817">
        <w:rPr>
          <w:rFonts w:hint="eastAsia"/>
          <w:sz w:val="26"/>
          <w:szCs w:val="26"/>
          <w:lang w:val="en-GB"/>
        </w:rPr>
        <w:tab/>
      </w:r>
      <w:r w:rsidR="008F06DB" w:rsidRPr="00D54817">
        <w:rPr>
          <w:rFonts w:hint="eastAsia"/>
          <w:sz w:val="26"/>
          <w:szCs w:val="26"/>
          <w:lang w:val="en-GB"/>
        </w:rPr>
        <w:tab/>
        <w:t>Plaintiff</w:t>
      </w:r>
    </w:p>
    <w:p w:rsidR="008F06DB" w:rsidRPr="00D54817" w:rsidRDefault="008F06DB">
      <w:pPr>
        <w:tabs>
          <w:tab w:val="clear" w:pos="1440"/>
          <w:tab w:val="clear" w:pos="4320"/>
          <w:tab w:val="clear" w:pos="9072"/>
        </w:tabs>
        <w:spacing w:line="360" w:lineRule="auto"/>
        <w:jc w:val="center"/>
        <w:rPr>
          <w:rFonts w:hint="eastAsia"/>
          <w:sz w:val="26"/>
          <w:szCs w:val="26"/>
          <w:lang w:val="en-GB"/>
        </w:rPr>
      </w:pPr>
      <w:r w:rsidRPr="00D54817">
        <w:rPr>
          <w:rFonts w:hint="eastAsia"/>
          <w:sz w:val="26"/>
          <w:szCs w:val="26"/>
          <w:lang w:val="en-GB"/>
        </w:rPr>
        <w:t>and</w:t>
      </w:r>
    </w:p>
    <w:p w:rsidR="008F06DB" w:rsidRDefault="00D54817">
      <w:pPr>
        <w:tabs>
          <w:tab w:val="clear" w:pos="1440"/>
          <w:tab w:val="clear" w:pos="4320"/>
          <w:tab w:val="clear" w:pos="9072"/>
        </w:tabs>
        <w:spacing w:line="360" w:lineRule="auto"/>
        <w:jc w:val="both"/>
        <w:rPr>
          <w:rFonts w:hint="eastAsia"/>
          <w:szCs w:val="23"/>
          <w:lang w:val="en-GB"/>
        </w:rPr>
      </w:pPr>
      <w:r>
        <w:rPr>
          <w:rFonts w:hint="eastAsia"/>
          <w:sz w:val="26"/>
          <w:szCs w:val="26"/>
          <w:lang w:val="en-GB"/>
        </w:rPr>
        <w:tab/>
      </w:r>
      <w:r w:rsidR="008F06DB" w:rsidRPr="00D54817">
        <w:rPr>
          <w:rFonts w:hint="eastAsia"/>
          <w:sz w:val="26"/>
          <w:szCs w:val="26"/>
          <w:lang w:val="en-GB"/>
        </w:rPr>
        <w:tab/>
      </w:r>
      <w:r w:rsidRPr="00D54817">
        <w:rPr>
          <w:rFonts w:hint="eastAsia"/>
          <w:sz w:val="26"/>
          <w:szCs w:val="26"/>
          <w:lang w:val="en-GB"/>
        </w:rPr>
        <w:t>GOLDWELL PROPERTY MANAGEMENT LIMITED</w:t>
      </w:r>
      <w:r w:rsidRPr="00D54817">
        <w:rPr>
          <w:rFonts w:hint="eastAsia"/>
          <w:sz w:val="26"/>
          <w:szCs w:val="26"/>
          <w:lang w:val="en-GB"/>
        </w:rPr>
        <w:tab/>
      </w:r>
      <w:r w:rsidR="008F06DB" w:rsidRPr="00D54817">
        <w:rPr>
          <w:rFonts w:hint="eastAsia"/>
          <w:sz w:val="26"/>
          <w:szCs w:val="26"/>
          <w:lang w:val="en-GB"/>
        </w:rPr>
        <w:t>Defendant</w:t>
      </w:r>
    </w:p>
    <w:p w:rsidR="008F06DB" w:rsidRDefault="008F06DB">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8F06DB" w:rsidRDefault="008F06DB">
      <w:pPr>
        <w:tabs>
          <w:tab w:val="clear" w:pos="1440"/>
          <w:tab w:val="clear" w:pos="4320"/>
          <w:tab w:val="clear" w:pos="9072"/>
        </w:tabs>
        <w:spacing w:line="360" w:lineRule="auto"/>
        <w:jc w:val="both"/>
        <w:rPr>
          <w:rFonts w:hint="eastAsia"/>
          <w:szCs w:val="23"/>
          <w:lang w:val="en-GB"/>
        </w:rPr>
      </w:pPr>
    </w:p>
    <w:p w:rsidR="008F06DB" w:rsidRDefault="008F06DB">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w:t>
      </w:r>
      <w:r w:rsidR="009F3090">
        <w:rPr>
          <w:szCs w:val="23"/>
          <w:lang w:val="en-GB"/>
        </w:rPr>
        <w:t xml:space="preserve"> chambers (open to public)</w:t>
      </w:r>
    </w:p>
    <w:p w:rsidR="008F06DB" w:rsidRDefault="008F06DB">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w:t>
      </w:r>
      <w:r w:rsidR="009F3090">
        <w:rPr>
          <w:szCs w:val="23"/>
          <w:lang w:val="en-GB"/>
        </w:rPr>
        <w:t xml:space="preserve"> and decision</w:t>
      </w:r>
      <w:r>
        <w:rPr>
          <w:rFonts w:hint="eastAsia"/>
          <w:szCs w:val="23"/>
          <w:lang w:val="en-GB"/>
        </w:rPr>
        <w:t xml:space="preserve">: </w:t>
      </w:r>
      <w:r w:rsidR="009F3090">
        <w:rPr>
          <w:szCs w:val="23"/>
          <w:lang w:val="en-GB"/>
        </w:rPr>
        <w:t>28 September 2011</w:t>
      </w:r>
    </w:p>
    <w:p w:rsidR="008F06DB" w:rsidRDefault="008F06DB">
      <w:pPr>
        <w:tabs>
          <w:tab w:val="clear" w:pos="1440"/>
          <w:tab w:val="clear" w:pos="4320"/>
          <w:tab w:val="clear" w:pos="9072"/>
        </w:tabs>
        <w:spacing w:line="360" w:lineRule="auto"/>
        <w:jc w:val="both"/>
        <w:rPr>
          <w:rFonts w:hint="eastAsia"/>
          <w:szCs w:val="23"/>
          <w:lang w:val="en-GB"/>
        </w:rPr>
      </w:pPr>
    </w:p>
    <w:p w:rsidR="008F06DB" w:rsidRDefault="009F3090">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b/>
          <w:bCs/>
          <w:caps w:val="0"/>
          <w:szCs w:val="23"/>
          <w:u w:val="single"/>
        </w:rPr>
        <w:t>D E C I S I O N</w:t>
      </w:r>
    </w:p>
    <w:p w:rsidR="008F06DB" w:rsidRDefault="008F06DB">
      <w:pPr>
        <w:tabs>
          <w:tab w:val="clear" w:pos="1440"/>
          <w:tab w:val="clear" w:pos="4320"/>
          <w:tab w:val="clear" w:pos="9072"/>
        </w:tabs>
        <w:spacing w:line="360" w:lineRule="auto"/>
        <w:jc w:val="both"/>
        <w:rPr>
          <w:rFonts w:hint="eastAsia"/>
          <w:szCs w:val="23"/>
          <w:lang w:val="en-GB"/>
        </w:rPr>
      </w:pPr>
    </w:p>
    <w:p w:rsidR="00D54817" w:rsidRDefault="009F3090" w:rsidP="008F06D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szCs w:val="23"/>
          <w:lang w:val="en-GB"/>
        </w:rPr>
        <w:t>The Plaintiff (“</w:t>
      </w:r>
      <w:r w:rsidRPr="00D54817">
        <w:rPr>
          <w:b/>
          <w:szCs w:val="23"/>
          <w:lang w:val="en-GB"/>
        </w:rPr>
        <w:t>Au</w:t>
      </w:r>
      <w:r>
        <w:rPr>
          <w:szCs w:val="23"/>
          <w:lang w:val="en-GB"/>
        </w:rPr>
        <w:t>”) commenced this action against the Defendant employer at the material time (“</w:t>
      </w:r>
      <w:r w:rsidRPr="00D54817">
        <w:rPr>
          <w:b/>
          <w:szCs w:val="23"/>
          <w:lang w:val="en-GB"/>
        </w:rPr>
        <w:t>Goldwell</w:t>
      </w:r>
      <w:r>
        <w:rPr>
          <w:szCs w:val="23"/>
          <w:lang w:val="en-GB"/>
        </w:rPr>
        <w:t>”) for damages for injury at work.  After trial, I handed down my written judgment on 2 September 2011.  Au failed to establish liability; and therefore I dismissed his claim.</w:t>
      </w:r>
    </w:p>
    <w:p w:rsidR="00D54817" w:rsidRDefault="00D54817" w:rsidP="00D54817">
      <w:pPr>
        <w:tabs>
          <w:tab w:val="clear" w:pos="1440"/>
          <w:tab w:val="clear" w:pos="4320"/>
          <w:tab w:val="clear" w:pos="9072"/>
          <w:tab w:val="left" w:pos="851"/>
        </w:tabs>
        <w:spacing w:line="360" w:lineRule="auto"/>
        <w:jc w:val="both"/>
        <w:rPr>
          <w:rFonts w:hint="eastAsia"/>
          <w:szCs w:val="23"/>
          <w:lang w:val="en-GB"/>
        </w:rPr>
      </w:pPr>
    </w:p>
    <w:p w:rsidR="009F3090" w:rsidRDefault="00D54817"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F</w:t>
      </w:r>
      <w:r>
        <w:rPr>
          <w:rFonts w:hint="eastAsia"/>
          <w:szCs w:val="23"/>
          <w:lang w:val="en-GB"/>
        </w:rPr>
        <w:t>or completeness, I assessed the quantum to be HK$137,788 with interest.  Yet this would have had to give credit to 50% contributory negligence and employee</w:t>
      </w:r>
      <w:r>
        <w:rPr>
          <w:szCs w:val="23"/>
          <w:lang w:val="en-GB"/>
        </w:rPr>
        <w:t>s’</w:t>
      </w:r>
      <w:r>
        <w:rPr>
          <w:rFonts w:hint="eastAsia"/>
          <w:szCs w:val="23"/>
          <w:lang w:val="en-GB"/>
        </w:rPr>
        <w:t xml:space="preserve"> compensation received in the sum of HK$70,625.40.  In other words, Au could have ended up with no award of damages or an award close to nil</w:t>
      </w:r>
      <w:r w:rsidR="00F01AF0">
        <w:rPr>
          <w:rFonts w:hint="eastAsia"/>
          <w:szCs w:val="23"/>
          <w:lang w:val="en-GB"/>
        </w:rPr>
        <w:t>, even assuming liability had been proved</w:t>
      </w:r>
      <w:r>
        <w:rPr>
          <w:rFonts w:hint="eastAsia"/>
          <w:szCs w:val="23"/>
          <w:lang w:val="en-GB"/>
        </w:rPr>
        <w:t>.</w:t>
      </w:r>
    </w:p>
    <w:p w:rsidR="009F3090" w:rsidRDefault="009F3090" w:rsidP="009F3090">
      <w:pPr>
        <w:tabs>
          <w:tab w:val="clear" w:pos="1440"/>
          <w:tab w:val="clear" w:pos="4320"/>
          <w:tab w:val="clear" w:pos="9072"/>
          <w:tab w:val="left" w:pos="851"/>
        </w:tabs>
        <w:spacing w:line="360" w:lineRule="auto"/>
        <w:jc w:val="both"/>
        <w:rPr>
          <w:szCs w:val="23"/>
          <w:lang w:val="en-GB"/>
        </w:rPr>
      </w:pPr>
    </w:p>
    <w:p w:rsidR="008F06DB" w:rsidRDefault="009F3090"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lastRenderedPageBreak/>
        <w:t xml:space="preserve">I made a nisi order that Au shall pay Goldwell’s costs of the action, including any costs reserved, to be taxed (if not agreed) with certificate for counsel.  </w:t>
      </w:r>
      <w:r w:rsidR="00D54817">
        <w:rPr>
          <w:rFonts w:hint="eastAsia"/>
          <w:szCs w:val="23"/>
          <w:lang w:val="en-GB"/>
        </w:rPr>
        <w:t>Au</w:t>
      </w:r>
      <w:r w:rsidR="00D54817">
        <w:rPr>
          <w:szCs w:val="23"/>
          <w:lang w:val="en-GB"/>
        </w:rPr>
        <w:t>’</w:t>
      </w:r>
      <w:r w:rsidR="00D54817">
        <w:rPr>
          <w:rFonts w:hint="eastAsia"/>
          <w:szCs w:val="23"/>
          <w:lang w:val="en-GB"/>
        </w:rPr>
        <w:t xml:space="preserve">s own costs shall be taxed in accordance with legal aid regulations.  </w:t>
      </w:r>
      <w:r>
        <w:rPr>
          <w:szCs w:val="23"/>
          <w:lang w:val="en-GB"/>
        </w:rPr>
        <w:t>I gave the parties 14 days to apply to vary the nisi order.  This Goldwell did by way of summons dated 12 September 2011.</w:t>
      </w:r>
    </w:p>
    <w:p w:rsidR="009F3090" w:rsidRDefault="009F3090" w:rsidP="009F3090">
      <w:pPr>
        <w:pStyle w:val="ListParagraph"/>
        <w:rPr>
          <w:szCs w:val="23"/>
          <w:lang w:val="en-GB"/>
        </w:rPr>
      </w:pPr>
    </w:p>
    <w:p w:rsidR="009F3090" w:rsidRDefault="009F3090"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It is now revealed that Goldwell made a sanctioned payment in the sum of HK$65,000</w:t>
      </w:r>
      <w:r w:rsidR="00F01AF0">
        <w:rPr>
          <w:rFonts w:hint="eastAsia"/>
          <w:szCs w:val="23"/>
          <w:lang w:val="en-GB"/>
        </w:rPr>
        <w:t xml:space="preserve"> on 14 September 2010</w:t>
      </w:r>
      <w:r>
        <w:rPr>
          <w:szCs w:val="23"/>
          <w:lang w:val="en-GB"/>
        </w:rPr>
        <w:t>.</w:t>
      </w:r>
      <w:r w:rsidR="00D9401F">
        <w:rPr>
          <w:szCs w:val="23"/>
          <w:lang w:val="en-GB"/>
        </w:rPr>
        <w:t xml:space="preserve">  The last date for acceptance without leave was 12 October 2010.</w:t>
      </w:r>
    </w:p>
    <w:p w:rsidR="009F3090" w:rsidRDefault="009F3090" w:rsidP="009F3090">
      <w:pPr>
        <w:pStyle w:val="ListParagraph"/>
        <w:rPr>
          <w:szCs w:val="23"/>
          <w:lang w:val="en-GB"/>
        </w:rPr>
      </w:pPr>
    </w:p>
    <w:p w:rsidR="009F3090" w:rsidRDefault="009F3090" w:rsidP="008F06D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szCs w:val="23"/>
          <w:lang w:val="en-GB"/>
        </w:rPr>
        <w:t xml:space="preserve">Goldwell asks for the sanctioned payment together with interest accrued thereon be paid out </w:t>
      </w:r>
      <w:r w:rsidR="00F01AF0">
        <w:rPr>
          <w:rFonts w:hint="eastAsia"/>
          <w:szCs w:val="23"/>
          <w:lang w:val="en-GB"/>
        </w:rPr>
        <w:t xml:space="preserve">of court </w:t>
      </w:r>
      <w:r>
        <w:rPr>
          <w:szCs w:val="23"/>
          <w:lang w:val="en-GB"/>
        </w:rPr>
        <w:t>to it through its solicitors as soon as practicable.  This part of the application is uncontested.</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8F06DB" w:rsidRDefault="009F3090" w:rsidP="008F06D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szCs w:val="23"/>
          <w:lang w:val="en-GB"/>
        </w:rPr>
        <w:t>Goldwell</w:t>
      </w:r>
      <w:r w:rsidR="00D54817">
        <w:rPr>
          <w:rFonts w:hint="eastAsia"/>
          <w:szCs w:val="23"/>
          <w:lang w:val="en-GB"/>
        </w:rPr>
        <w:t xml:space="preserve"> also</w:t>
      </w:r>
      <w:r>
        <w:rPr>
          <w:szCs w:val="23"/>
          <w:lang w:val="en-GB"/>
        </w:rPr>
        <w:t xml:space="preserve"> asks for variation of the nisi costs order.  </w:t>
      </w:r>
      <w:r w:rsidR="00D9401F">
        <w:rPr>
          <w:szCs w:val="23"/>
          <w:lang w:val="en-GB"/>
        </w:rPr>
        <w:t xml:space="preserve">Duly clarified, </w:t>
      </w:r>
      <w:r w:rsidR="00D54817">
        <w:rPr>
          <w:rFonts w:hint="eastAsia"/>
          <w:szCs w:val="23"/>
          <w:lang w:val="en-GB"/>
        </w:rPr>
        <w:t>what</w:t>
      </w:r>
      <w:r w:rsidR="00F01AF0">
        <w:rPr>
          <w:szCs w:val="23"/>
          <w:lang w:val="en-GB"/>
        </w:rPr>
        <w:t xml:space="preserve"> </w:t>
      </w:r>
      <w:r w:rsidR="00F01AF0">
        <w:rPr>
          <w:rFonts w:hint="eastAsia"/>
          <w:szCs w:val="23"/>
          <w:lang w:val="en-GB"/>
        </w:rPr>
        <w:t>Goldwell</w:t>
      </w:r>
      <w:r w:rsidR="00D9401F">
        <w:rPr>
          <w:szCs w:val="23"/>
          <w:lang w:val="en-GB"/>
        </w:rPr>
        <w:t xml:space="preserve"> seeks is for its costs up to 12 October 2010 to be paid on a party and party basis; and its costs thereafter</w:t>
      </w:r>
      <w:r w:rsidR="009A0168">
        <w:rPr>
          <w:szCs w:val="23"/>
          <w:lang w:val="en-GB"/>
        </w:rPr>
        <w:t xml:space="preserve"> (including the costs of the present application)</w:t>
      </w:r>
      <w:r w:rsidR="00D9401F">
        <w:rPr>
          <w:szCs w:val="23"/>
          <w:lang w:val="en-GB"/>
        </w:rPr>
        <w:t xml:space="preserve"> to be paid on indemnity basis together with enhanced interest on such </w:t>
      </w:r>
      <w:r w:rsidR="009567BC">
        <w:rPr>
          <w:szCs w:val="23"/>
          <w:lang w:val="en-GB"/>
        </w:rPr>
        <w:t>costs.  This part of the application is contested.</w:t>
      </w:r>
    </w:p>
    <w:p w:rsidR="00A01BCF" w:rsidRDefault="00A01BCF" w:rsidP="00A01BCF">
      <w:pPr>
        <w:pStyle w:val="ListParagraph"/>
        <w:rPr>
          <w:szCs w:val="23"/>
          <w:lang w:val="en-GB"/>
        </w:rPr>
      </w:pPr>
    </w:p>
    <w:p w:rsidR="00D54817" w:rsidRPr="00D54817" w:rsidRDefault="00F01AF0" w:rsidP="00D54817">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rFonts w:hint="eastAsia"/>
          <w:szCs w:val="23"/>
          <w:lang w:val="en-GB"/>
        </w:rPr>
        <w:t>Losing h</w:t>
      </w:r>
      <w:r w:rsidR="009567BC">
        <w:rPr>
          <w:szCs w:val="23"/>
          <w:lang w:val="en-GB"/>
        </w:rPr>
        <w:t>is claim completely, Au fails to do better than the sanctioned payment.</w:t>
      </w:r>
      <w:r w:rsidR="009567BC" w:rsidRPr="009567BC">
        <w:rPr>
          <w:szCs w:val="23"/>
          <w:lang w:val="en-GB"/>
        </w:rPr>
        <w:t xml:space="preserve"> </w:t>
      </w:r>
      <w:r w:rsidR="009567BC">
        <w:rPr>
          <w:szCs w:val="23"/>
          <w:lang w:val="en-GB"/>
        </w:rPr>
        <w:t xml:space="preserve"> Pursuant to O.22, r.23, the court </w:t>
      </w:r>
      <w:r>
        <w:rPr>
          <w:rFonts w:hint="eastAsia"/>
          <w:szCs w:val="23"/>
          <w:lang w:val="en-GB"/>
        </w:rPr>
        <w:t>shall</w:t>
      </w:r>
      <w:r w:rsidR="009567BC">
        <w:rPr>
          <w:szCs w:val="23"/>
          <w:lang w:val="en-GB"/>
        </w:rPr>
        <w:t xml:space="preserve"> make an order as to costs as</w:t>
      </w:r>
      <w:r w:rsidR="00D54817">
        <w:rPr>
          <w:rFonts w:hint="eastAsia"/>
          <w:szCs w:val="23"/>
          <w:lang w:val="en-GB"/>
        </w:rPr>
        <w:t xml:space="preserve"> that</w:t>
      </w:r>
      <w:r w:rsidR="009567BC">
        <w:rPr>
          <w:szCs w:val="23"/>
          <w:lang w:val="en-GB"/>
        </w:rPr>
        <w:t xml:space="preserve"> sought by Goldwell, unless it is unjust to do so.  In considering whether it is unjust to make such a costs order, the court shall take into account all the circumstances of the case including</w:t>
      </w:r>
      <w:r w:rsidR="00D54817">
        <w:rPr>
          <w:rFonts w:hint="eastAsia"/>
          <w:szCs w:val="23"/>
          <w:lang w:val="en-GB"/>
        </w:rPr>
        <w:t xml:space="preserve"> those set out in r.23(6).</w:t>
      </w:r>
    </w:p>
    <w:p w:rsidR="009567BC" w:rsidRDefault="009567BC" w:rsidP="009567BC">
      <w:pPr>
        <w:pStyle w:val="ListParagraph"/>
        <w:rPr>
          <w:szCs w:val="23"/>
          <w:lang w:val="en-GB"/>
        </w:rPr>
      </w:pPr>
    </w:p>
    <w:p w:rsidR="00615FD3" w:rsidRDefault="009567BC" w:rsidP="008F06D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szCs w:val="23"/>
          <w:lang w:val="en-GB"/>
        </w:rPr>
        <w:t>Goldwell is prima facie entitled to the costs order being sought.  Is it unjust to order so?</w:t>
      </w:r>
    </w:p>
    <w:p w:rsidR="00615FD3" w:rsidRDefault="00615FD3" w:rsidP="00615FD3">
      <w:pPr>
        <w:pStyle w:val="ListParagraph"/>
        <w:rPr>
          <w:szCs w:val="23"/>
          <w:lang w:val="en-GB"/>
        </w:rPr>
      </w:pPr>
    </w:p>
    <w:p w:rsidR="00615FD3" w:rsidRDefault="00615FD3" w:rsidP="008F06D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szCs w:val="23"/>
          <w:lang w:val="en-GB"/>
        </w:rPr>
        <w:lastRenderedPageBreak/>
        <w:t>T</w:t>
      </w:r>
      <w:r>
        <w:rPr>
          <w:rFonts w:hint="eastAsia"/>
          <w:szCs w:val="23"/>
          <w:lang w:val="en-GB"/>
        </w:rPr>
        <w:t xml:space="preserve">he parties </w:t>
      </w:r>
      <w:r w:rsidR="009567BC">
        <w:rPr>
          <w:szCs w:val="23"/>
          <w:lang w:val="en-GB"/>
        </w:rPr>
        <w:t xml:space="preserve">refer to the correspondence between the parties regarding </w:t>
      </w:r>
      <w:r>
        <w:rPr>
          <w:szCs w:val="23"/>
          <w:lang w:val="en-GB"/>
        </w:rPr>
        <w:t>the sanctioned payment.</w:t>
      </w:r>
      <w:r>
        <w:rPr>
          <w:rFonts w:hint="eastAsia"/>
          <w:szCs w:val="23"/>
          <w:lang w:val="en-GB"/>
        </w:rPr>
        <w:t xml:space="preserve">  </w:t>
      </w:r>
      <w:r>
        <w:rPr>
          <w:szCs w:val="23"/>
          <w:lang w:val="en-GB"/>
        </w:rPr>
        <w:t>T</w:t>
      </w:r>
      <w:r>
        <w:rPr>
          <w:rFonts w:hint="eastAsia"/>
          <w:szCs w:val="23"/>
          <w:lang w:val="en-GB"/>
        </w:rPr>
        <w:t>he first one came from the solicitors for Goldwell days before 12 October 2010 setting out in detail their analysis of the merits and calculation of the quantum and hence the sanctioned payment.</w:t>
      </w:r>
    </w:p>
    <w:p w:rsidR="00615FD3" w:rsidRDefault="00615FD3" w:rsidP="00615FD3">
      <w:pPr>
        <w:pStyle w:val="ListParagraph"/>
        <w:rPr>
          <w:szCs w:val="23"/>
          <w:lang w:val="en-GB"/>
        </w:rPr>
      </w:pPr>
    </w:p>
    <w:p w:rsidR="009567BC" w:rsidRDefault="009567BC"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 xml:space="preserve">The first letter indicating </w:t>
      </w:r>
      <w:r w:rsidR="00615FD3">
        <w:rPr>
          <w:rFonts w:hint="eastAsia"/>
          <w:szCs w:val="23"/>
          <w:lang w:val="en-GB"/>
        </w:rPr>
        <w:t>Au</w:t>
      </w:r>
      <w:r w:rsidR="00615FD3">
        <w:rPr>
          <w:szCs w:val="23"/>
          <w:lang w:val="en-GB"/>
        </w:rPr>
        <w:t>’</w:t>
      </w:r>
      <w:r w:rsidR="00615FD3">
        <w:rPr>
          <w:rFonts w:hint="eastAsia"/>
          <w:szCs w:val="23"/>
          <w:lang w:val="en-GB"/>
        </w:rPr>
        <w:t>s</w:t>
      </w:r>
      <w:r>
        <w:rPr>
          <w:szCs w:val="23"/>
          <w:lang w:val="en-GB"/>
        </w:rPr>
        <w:t xml:space="preserve"> intention</w:t>
      </w:r>
      <w:r w:rsidR="00F01AF0">
        <w:rPr>
          <w:rFonts w:hint="eastAsia"/>
          <w:szCs w:val="23"/>
          <w:lang w:val="en-GB"/>
        </w:rPr>
        <w:t xml:space="preserve"> to accept the sanctioned payment</w:t>
      </w:r>
      <w:r>
        <w:rPr>
          <w:szCs w:val="23"/>
          <w:lang w:val="en-GB"/>
        </w:rPr>
        <w:t xml:space="preserve"> came on 21 June 2011.  That was more than 8 months after </w:t>
      </w:r>
      <w:r w:rsidR="00615FD3">
        <w:rPr>
          <w:rFonts w:hint="eastAsia"/>
          <w:szCs w:val="23"/>
          <w:lang w:val="en-GB"/>
        </w:rPr>
        <w:t xml:space="preserve">12 October 2010 when </w:t>
      </w:r>
      <w:r>
        <w:rPr>
          <w:szCs w:val="23"/>
          <w:lang w:val="en-GB"/>
        </w:rPr>
        <w:t xml:space="preserve">the sanctioned payment </w:t>
      </w:r>
      <w:r w:rsidR="00615FD3">
        <w:rPr>
          <w:rFonts w:hint="eastAsia"/>
          <w:szCs w:val="23"/>
          <w:lang w:val="en-GB"/>
        </w:rPr>
        <w:t xml:space="preserve">could have been accepted </w:t>
      </w:r>
      <w:r>
        <w:rPr>
          <w:szCs w:val="23"/>
          <w:lang w:val="en-GB"/>
        </w:rPr>
        <w:t xml:space="preserve">without leave.  </w:t>
      </w:r>
      <w:r w:rsidR="00F01AF0">
        <w:rPr>
          <w:rFonts w:hint="eastAsia"/>
          <w:szCs w:val="23"/>
          <w:lang w:val="en-GB"/>
        </w:rPr>
        <w:t>In the circumstances</w:t>
      </w:r>
      <w:r w:rsidR="00615FD3">
        <w:rPr>
          <w:rFonts w:hint="eastAsia"/>
          <w:szCs w:val="23"/>
          <w:lang w:val="en-GB"/>
        </w:rPr>
        <w:t>, u</w:t>
      </w:r>
      <w:r>
        <w:rPr>
          <w:szCs w:val="23"/>
          <w:lang w:val="en-GB"/>
        </w:rPr>
        <w:t xml:space="preserve">nless the parties agreed on costs, acceptance of the sanctioned payment would require leave of the court.  Goldwell’s solicitors </w:t>
      </w:r>
      <w:r w:rsidR="00877DD6">
        <w:rPr>
          <w:szCs w:val="23"/>
          <w:lang w:val="en-GB"/>
        </w:rPr>
        <w:t xml:space="preserve">rightly </w:t>
      </w:r>
      <w:r>
        <w:rPr>
          <w:szCs w:val="23"/>
          <w:lang w:val="en-GB"/>
        </w:rPr>
        <w:t>pointed that out in their reply.</w:t>
      </w:r>
    </w:p>
    <w:p w:rsidR="009567BC" w:rsidRDefault="009567BC" w:rsidP="009567BC">
      <w:pPr>
        <w:pStyle w:val="ListParagraph"/>
        <w:rPr>
          <w:szCs w:val="23"/>
          <w:lang w:val="en-GB"/>
        </w:rPr>
      </w:pPr>
    </w:p>
    <w:p w:rsidR="009567BC" w:rsidRDefault="00877DD6"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By their reply, Goldwell’s solicitors</w:t>
      </w:r>
      <w:r w:rsidR="003B22D0">
        <w:rPr>
          <w:rFonts w:hint="eastAsia"/>
          <w:szCs w:val="23"/>
          <w:lang w:val="en-GB"/>
        </w:rPr>
        <w:t xml:space="preserve"> also</w:t>
      </w:r>
      <w:r>
        <w:rPr>
          <w:szCs w:val="23"/>
          <w:lang w:val="en-GB"/>
        </w:rPr>
        <w:t xml:space="preserve"> explained their stance that costs had bee</w:t>
      </w:r>
      <w:r w:rsidR="00F01AF0">
        <w:rPr>
          <w:szCs w:val="23"/>
          <w:lang w:val="en-GB"/>
        </w:rPr>
        <w:t>n incurred since the sanctioned payment</w:t>
      </w:r>
      <w:r>
        <w:rPr>
          <w:szCs w:val="23"/>
          <w:lang w:val="en-GB"/>
        </w:rPr>
        <w:t>; and they were minded to seek such costs against Au.</w:t>
      </w:r>
      <w:r w:rsidR="000A777A">
        <w:rPr>
          <w:rFonts w:hint="eastAsia"/>
          <w:szCs w:val="23"/>
          <w:lang w:val="en-GB"/>
        </w:rPr>
        <w:t xml:space="preserve">  </w:t>
      </w:r>
      <w:r>
        <w:rPr>
          <w:szCs w:val="23"/>
          <w:lang w:val="en-GB"/>
        </w:rPr>
        <w:t>This met with the reply from Au’s solicitors suggesting that he would seek costs of t</w:t>
      </w:r>
      <w:r w:rsidR="00F01AF0">
        <w:rPr>
          <w:szCs w:val="23"/>
          <w:lang w:val="en-GB"/>
        </w:rPr>
        <w:t>he action up to date, i.e.,</w:t>
      </w:r>
      <w:r w:rsidR="00F01AF0">
        <w:rPr>
          <w:rFonts w:hint="eastAsia"/>
          <w:szCs w:val="23"/>
          <w:lang w:val="en-GB"/>
        </w:rPr>
        <w:t xml:space="preserve"> 22 June 2011</w:t>
      </w:r>
      <w:r>
        <w:rPr>
          <w:szCs w:val="23"/>
          <w:lang w:val="en-GB"/>
        </w:rPr>
        <w:t xml:space="preserve">.  A </w:t>
      </w:r>
      <w:r w:rsidR="00F01AF0">
        <w:rPr>
          <w:rFonts w:hint="eastAsia"/>
          <w:szCs w:val="23"/>
          <w:lang w:val="en-GB"/>
        </w:rPr>
        <w:t>month</w:t>
      </w:r>
      <w:r>
        <w:rPr>
          <w:szCs w:val="23"/>
          <w:lang w:val="en-GB"/>
        </w:rPr>
        <w:t xml:space="preserve"> later, his stance changed to that he would seek costs up to the da</w:t>
      </w:r>
      <w:r w:rsidR="00F01AF0">
        <w:rPr>
          <w:szCs w:val="23"/>
          <w:lang w:val="en-GB"/>
        </w:rPr>
        <w:t>te of the sanctioned payment</w:t>
      </w:r>
      <w:r w:rsidR="00F01AF0">
        <w:rPr>
          <w:rFonts w:hint="eastAsia"/>
          <w:szCs w:val="23"/>
          <w:lang w:val="en-GB"/>
        </w:rPr>
        <w:t xml:space="preserve"> plus</w:t>
      </w:r>
      <w:r>
        <w:rPr>
          <w:szCs w:val="23"/>
          <w:lang w:val="en-GB"/>
        </w:rPr>
        <w:t xml:space="preserve"> the expert fee.</w:t>
      </w:r>
    </w:p>
    <w:p w:rsidR="00877DD6" w:rsidRDefault="00877DD6" w:rsidP="00877DD6">
      <w:pPr>
        <w:pStyle w:val="ListParagraph"/>
        <w:rPr>
          <w:szCs w:val="23"/>
          <w:lang w:val="en-GB"/>
        </w:rPr>
      </w:pPr>
    </w:p>
    <w:p w:rsidR="00877DD6" w:rsidRDefault="00877DD6"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Au’s last offer</w:t>
      </w:r>
      <w:r w:rsidR="00F01AF0">
        <w:rPr>
          <w:rFonts w:hint="eastAsia"/>
          <w:szCs w:val="23"/>
          <w:lang w:val="en-GB"/>
        </w:rPr>
        <w:t xml:space="preserve"> above</w:t>
      </w:r>
      <w:r>
        <w:rPr>
          <w:szCs w:val="23"/>
          <w:lang w:val="en-GB"/>
        </w:rPr>
        <w:t xml:space="preserve"> was eventually rejected by Goldwell.  Instead, Goldwell proposed no order as to costs for the action</w:t>
      </w:r>
      <w:r w:rsidR="003B22D0">
        <w:rPr>
          <w:rFonts w:hint="eastAsia"/>
          <w:szCs w:val="23"/>
          <w:lang w:val="en-GB"/>
        </w:rPr>
        <w:t xml:space="preserve"> on top of Au</w:t>
      </w:r>
      <w:r w:rsidR="003B22D0">
        <w:rPr>
          <w:szCs w:val="23"/>
          <w:lang w:val="en-GB"/>
        </w:rPr>
        <w:t>’</w:t>
      </w:r>
      <w:r w:rsidR="003B22D0">
        <w:rPr>
          <w:rFonts w:hint="eastAsia"/>
          <w:szCs w:val="23"/>
          <w:lang w:val="en-GB"/>
        </w:rPr>
        <w:t>s acceptance of the sanctioned payment</w:t>
      </w:r>
      <w:r w:rsidR="00F01AF0">
        <w:rPr>
          <w:rFonts w:hint="eastAsia"/>
          <w:szCs w:val="23"/>
          <w:lang w:val="en-GB"/>
        </w:rPr>
        <w:t xml:space="preserve"> to settle the case</w:t>
      </w:r>
      <w:r>
        <w:rPr>
          <w:szCs w:val="23"/>
          <w:lang w:val="en-GB"/>
        </w:rPr>
        <w:t xml:space="preserve">.  </w:t>
      </w:r>
      <w:r w:rsidR="00F01AF0">
        <w:rPr>
          <w:rFonts w:hint="eastAsia"/>
          <w:szCs w:val="23"/>
          <w:lang w:val="en-GB"/>
        </w:rPr>
        <w:t xml:space="preserve">That was days before the trial.  </w:t>
      </w:r>
      <w:r>
        <w:rPr>
          <w:szCs w:val="23"/>
          <w:lang w:val="en-GB"/>
        </w:rPr>
        <w:t>No agreement was reached and the trial was not avoided.</w:t>
      </w:r>
    </w:p>
    <w:p w:rsidR="00877DD6" w:rsidRDefault="00877DD6" w:rsidP="00877DD6">
      <w:pPr>
        <w:pStyle w:val="ListParagraph"/>
        <w:rPr>
          <w:szCs w:val="23"/>
          <w:lang w:val="en-GB"/>
        </w:rPr>
      </w:pPr>
    </w:p>
    <w:p w:rsidR="009A0168" w:rsidRDefault="00877DD6" w:rsidP="008F06D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 xml:space="preserve">In my view, </w:t>
      </w:r>
      <w:r w:rsidR="009A0168">
        <w:rPr>
          <w:szCs w:val="23"/>
          <w:lang w:val="en-GB"/>
        </w:rPr>
        <w:t>Goldwell was quite entitled to take issue as to its cos</w:t>
      </w:r>
      <w:r w:rsidR="003B22D0">
        <w:rPr>
          <w:szCs w:val="23"/>
          <w:lang w:val="en-GB"/>
        </w:rPr>
        <w:t>ts that could have been avoided</w:t>
      </w:r>
      <w:r w:rsidR="003B22D0">
        <w:rPr>
          <w:rFonts w:hint="eastAsia"/>
          <w:szCs w:val="23"/>
          <w:lang w:val="en-GB"/>
        </w:rPr>
        <w:t>, had Au accepted the sanctioned payment by</w:t>
      </w:r>
      <w:r w:rsidR="009A0168">
        <w:rPr>
          <w:szCs w:val="23"/>
          <w:lang w:val="en-GB"/>
        </w:rPr>
        <w:t xml:space="preserve"> 12 October 2010.  At the end</w:t>
      </w:r>
      <w:r w:rsidR="00F01AF0">
        <w:rPr>
          <w:rFonts w:hint="eastAsia"/>
          <w:szCs w:val="23"/>
          <w:lang w:val="en-GB"/>
        </w:rPr>
        <w:t xml:space="preserve"> of the without prejudice negotiation</w:t>
      </w:r>
      <w:r w:rsidR="009A0168">
        <w:rPr>
          <w:szCs w:val="23"/>
          <w:lang w:val="en-GB"/>
        </w:rPr>
        <w:t>, Goldwell proposed no order as to costs of the action, which was not accepted by Au.</w:t>
      </w:r>
    </w:p>
    <w:p w:rsidR="009A0168" w:rsidRDefault="009A0168" w:rsidP="009A0168">
      <w:pPr>
        <w:pStyle w:val="ListParagraph"/>
        <w:rPr>
          <w:szCs w:val="23"/>
          <w:lang w:val="en-GB"/>
        </w:rPr>
      </w:pPr>
    </w:p>
    <w:p w:rsidR="0000631B" w:rsidRPr="0000631B" w:rsidRDefault="00F01AF0" w:rsidP="0000631B">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rFonts w:hint="eastAsia"/>
          <w:szCs w:val="23"/>
          <w:lang w:val="en-GB"/>
        </w:rPr>
        <w:t>The point is that d</w:t>
      </w:r>
      <w:r w:rsidR="003B22D0">
        <w:rPr>
          <w:rFonts w:hint="eastAsia"/>
          <w:szCs w:val="23"/>
          <w:lang w:val="en-GB"/>
        </w:rPr>
        <w:t>espite</w:t>
      </w:r>
      <w:r w:rsidR="0000631B">
        <w:rPr>
          <w:szCs w:val="23"/>
          <w:lang w:val="en-GB"/>
        </w:rPr>
        <w:t xml:space="preserve"> the disagreement on costs, Au could still have applied for leave to accept the sanctioned payment together with the issue of costs to be decided by the court.  He chose not to do so</w:t>
      </w:r>
      <w:r>
        <w:rPr>
          <w:rFonts w:hint="eastAsia"/>
          <w:szCs w:val="23"/>
          <w:lang w:val="en-GB"/>
        </w:rPr>
        <w:t>; and b</w:t>
      </w:r>
      <w:r w:rsidR="0000631B">
        <w:rPr>
          <w:szCs w:val="23"/>
          <w:lang w:val="en-GB"/>
        </w:rPr>
        <w:t xml:space="preserve">y turning down </w:t>
      </w:r>
      <w:r w:rsidR="009A0168">
        <w:rPr>
          <w:szCs w:val="23"/>
          <w:lang w:val="en-GB"/>
        </w:rPr>
        <w:t>the last offer of Goldwell</w:t>
      </w:r>
      <w:r w:rsidR="0000631B">
        <w:rPr>
          <w:szCs w:val="23"/>
          <w:lang w:val="en-GB"/>
        </w:rPr>
        <w:t>, Au chose to take the risk not only of obtaining an award less than the sanctioned payment, but also of failing to prove liability at all.  The risk materialised; and the result could not be worse.</w:t>
      </w:r>
    </w:p>
    <w:p w:rsidR="0000631B" w:rsidRDefault="0000631B" w:rsidP="0000631B">
      <w:pPr>
        <w:pStyle w:val="ListParagraph"/>
        <w:rPr>
          <w:szCs w:val="23"/>
          <w:lang w:val="en-GB"/>
        </w:rPr>
      </w:pPr>
    </w:p>
    <w:p w:rsidR="00A01BCF" w:rsidRPr="009A0168" w:rsidRDefault="000A777A" w:rsidP="009A0168">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Considering all the circumstances, </w:t>
      </w:r>
      <w:r w:rsidR="009A0168">
        <w:rPr>
          <w:szCs w:val="23"/>
          <w:lang w:val="en-GB"/>
        </w:rPr>
        <w:t>I grant an order in terms as sought by Goldwell.</w:t>
      </w:r>
      <w:r w:rsidR="00615FD3">
        <w:rPr>
          <w:rFonts w:hint="eastAsia"/>
          <w:szCs w:val="23"/>
          <w:lang w:val="en-GB"/>
        </w:rPr>
        <w:t xml:space="preserve">  </w:t>
      </w:r>
      <w:r w:rsidR="00615FD3">
        <w:rPr>
          <w:szCs w:val="23"/>
          <w:lang w:val="en-GB"/>
        </w:rPr>
        <w:t>T</w:t>
      </w:r>
      <w:r w:rsidR="00615FD3">
        <w:rPr>
          <w:rFonts w:hint="eastAsia"/>
          <w:szCs w:val="23"/>
          <w:lang w:val="en-GB"/>
        </w:rPr>
        <w:t xml:space="preserve">he enhanced interest rate will be </w:t>
      </w:r>
      <w:r>
        <w:rPr>
          <w:rFonts w:hint="eastAsia"/>
          <w:szCs w:val="23"/>
          <w:lang w:val="en-GB"/>
        </w:rPr>
        <w:t xml:space="preserve">9% p.a., that is </w:t>
      </w:r>
      <w:r w:rsidR="00615FD3">
        <w:rPr>
          <w:rFonts w:hint="eastAsia"/>
          <w:szCs w:val="23"/>
          <w:lang w:val="en-GB"/>
        </w:rPr>
        <w:t>1% above the judgment rate</w:t>
      </w:r>
      <w:r>
        <w:rPr>
          <w:rFonts w:hint="eastAsia"/>
          <w:szCs w:val="23"/>
          <w:lang w:val="en-GB"/>
        </w:rPr>
        <w:t>,</w:t>
      </w:r>
      <w:r w:rsidR="00615FD3">
        <w:rPr>
          <w:rFonts w:hint="eastAsia"/>
          <w:szCs w:val="23"/>
          <w:lang w:val="en-GB"/>
        </w:rPr>
        <w:t xml:space="preserve"> as proposed by Goldwell.</w:t>
      </w:r>
      <w:r w:rsidR="00F01AF0">
        <w:rPr>
          <w:rFonts w:hint="eastAsia"/>
          <w:szCs w:val="23"/>
          <w:lang w:val="en-GB"/>
        </w:rPr>
        <w:t xml:space="preserve">  </w:t>
      </w:r>
      <w:r w:rsidR="00F01AF0">
        <w:rPr>
          <w:szCs w:val="23"/>
          <w:lang w:val="en-GB"/>
        </w:rPr>
        <w:t>W</w:t>
      </w:r>
      <w:r w:rsidR="00F01AF0">
        <w:rPr>
          <w:rFonts w:hint="eastAsia"/>
          <w:szCs w:val="23"/>
          <w:lang w:val="en-GB"/>
        </w:rPr>
        <w:t xml:space="preserve">hat </w:t>
      </w:r>
      <w:r w:rsidR="00F22D24">
        <w:rPr>
          <w:rFonts w:hint="eastAsia"/>
          <w:szCs w:val="23"/>
          <w:lang w:val="en-GB"/>
        </w:rPr>
        <w:t>costs of Goldwell under this order shall be taxed on indemnity basis and carrying enhanced interest will be a matter for taxation, if not agreed.</w:t>
      </w:r>
    </w:p>
    <w:p w:rsidR="00A01BCF" w:rsidRDefault="00A01BCF" w:rsidP="00A01BCF">
      <w:pPr>
        <w:pStyle w:val="ListParagraph"/>
        <w:rPr>
          <w:szCs w:val="23"/>
          <w:lang w:val="en-GB"/>
        </w:rPr>
      </w:pPr>
    </w:p>
    <w:p w:rsidR="009A0168" w:rsidRDefault="009A0168" w:rsidP="00A01BCF">
      <w:pPr>
        <w:pStyle w:val="ListParagraph"/>
        <w:rPr>
          <w:rFonts w:hint="eastAsia"/>
          <w:szCs w:val="23"/>
          <w:lang w:val="en-GB"/>
        </w:rPr>
      </w:pPr>
    </w:p>
    <w:p w:rsidR="003B22D0" w:rsidRDefault="003B22D0" w:rsidP="00A01BCF">
      <w:pPr>
        <w:pStyle w:val="ListParagraph"/>
        <w:rPr>
          <w:rFonts w:hint="eastAsia"/>
          <w:szCs w:val="23"/>
          <w:lang w:val="en-GB"/>
        </w:rPr>
      </w:pPr>
    </w:p>
    <w:p w:rsidR="003B22D0" w:rsidRDefault="003B22D0" w:rsidP="00A01BCF">
      <w:pPr>
        <w:pStyle w:val="ListParagraph"/>
        <w:rPr>
          <w:rFonts w:hint="eastAsia"/>
          <w:szCs w:val="23"/>
          <w:lang w:val="en-GB"/>
        </w:rPr>
      </w:pPr>
    </w:p>
    <w:p w:rsidR="003B22D0" w:rsidRDefault="003B22D0" w:rsidP="00A01BCF">
      <w:pPr>
        <w:pStyle w:val="ListParagraph"/>
        <w:rPr>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F22D24" w:rsidRDefault="00F22D24" w:rsidP="00A01BCF">
      <w:pPr>
        <w:tabs>
          <w:tab w:val="clear" w:pos="1440"/>
          <w:tab w:val="clear" w:pos="4320"/>
          <w:tab w:val="clear" w:pos="9072"/>
          <w:tab w:val="left" w:pos="851"/>
        </w:tabs>
        <w:spacing w:line="360" w:lineRule="auto"/>
        <w:jc w:val="both"/>
        <w:rPr>
          <w:rFonts w:hint="eastAsia"/>
          <w:szCs w:val="23"/>
          <w:lang w:val="en-GB"/>
        </w:rPr>
      </w:pPr>
    </w:p>
    <w:p w:rsidR="00F22D24" w:rsidRDefault="00F22D24"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David VRIJMOED of Messrs Au &amp; Vrijmoed for the Plaintiff</w:t>
      </w:r>
      <w:r w:rsidR="008F0D2F">
        <w:rPr>
          <w:rFonts w:hint="eastAsia"/>
          <w:szCs w:val="23"/>
          <w:lang w:val="en-GB"/>
        </w:rPr>
        <w:t xml:space="preserve"> upon the assignment by the Director of Legal Aid</w:t>
      </w:r>
    </w:p>
    <w:p w:rsidR="00F22D24" w:rsidRPr="00A01BCF" w:rsidRDefault="00F22D24"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Jeffrey CHAN of Messrs Cheng, Yeung &amp; Co for the Defendant</w:t>
      </w:r>
    </w:p>
    <w:sectPr w:rsidR="00F22D24" w:rsidRPr="00A01BCF">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4C6" w:rsidRDefault="00CC44C6">
      <w:r>
        <w:separator/>
      </w:r>
    </w:p>
  </w:endnote>
  <w:endnote w:type="continuationSeparator" w:id="0">
    <w:p w:rsidR="00CC44C6" w:rsidRDefault="00CC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4C6" w:rsidRDefault="00CC44C6">
      <w:r>
        <w:separator/>
      </w:r>
    </w:p>
  </w:footnote>
  <w:footnote w:type="continuationSeparator" w:id="0">
    <w:p w:rsidR="00CC44C6" w:rsidRDefault="00CC4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6DB" w:rsidRDefault="008F06DB">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6DB" w:rsidRDefault="008F06DB">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2F75F4">
      <w:rPr>
        <w:rStyle w:val="PageNumber"/>
        <w:noProof/>
        <w:sz w:val="27"/>
        <w:szCs w:val="27"/>
      </w:rPr>
      <w:t>1</w:t>
    </w:r>
    <w:r>
      <w:rPr>
        <w:rStyle w:val="PageNumber"/>
        <w:sz w:val="27"/>
        <w:szCs w:val="27"/>
      </w:rPr>
      <w:fldChar w:fldCharType="end"/>
    </w:r>
    <w:r>
      <w:rPr>
        <w:rStyle w:val="PageNumber"/>
        <w:sz w:val="27"/>
        <w:szCs w:val="27"/>
      </w:rPr>
      <w:t xml:space="preserve">  -</w:t>
    </w:r>
    <w:r w:rsidR="00193201">
      <w:rPr>
        <w:noProof/>
        <w:sz w:val="19"/>
        <w:szCs w:val="19"/>
        <w:lang w:eastAsia="en-US"/>
      </w:rPr>
    </w:r>
    <w:r w:rsidR="00193201">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8F06DB" w:rsidRDefault="008F06DB">
                <w:pPr>
                  <w:rPr>
                    <w:b/>
                    <w:bCs/>
                    <w:sz w:val="19"/>
                    <w:szCs w:val="19"/>
                  </w:rPr>
                </w:pPr>
                <w:r>
                  <w:rPr>
                    <w:b/>
                    <w:bCs/>
                    <w:sz w:val="19"/>
                    <w:szCs w:val="19"/>
                  </w:rPr>
                  <w:t>A</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9"/>
                    <w:szCs w:val="19"/>
                  </w:rPr>
                </w:pPr>
                <w:r>
                  <w:rPr>
                    <w:b/>
                    <w:bCs/>
                    <w:sz w:val="19"/>
                    <w:szCs w:val="19"/>
                  </w:rPr>
                  <w:t>B</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C</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pStyle w:val="Heading2"/>
                  <w:rPr>
                    <w:sz w:val="15"/>
                    <w:szCs w:val="15"/>
                  </w:rPr>
                </w:pPr>
                <w:r>
                  <w:rPr>
                    <w:sz w:val="19"/>
                    <w:szCs w:val="19"/>
                  </w:rPr>
                  <w:t>D</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E</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9"/>
                    <w:szCs w:val="19"/>
                  </w:rPr>
                </w:pPr>
                <w:r>
                  <w:rPr>
                    <w:b/>
                    <w:bCs/>
                    <w:sz w:val="19"/>
                    <w:szCs w:val="19"/>
                  </w:rPr>
                  <w:t>F</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G</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H</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I</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J</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K</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L</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M</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N</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O</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P</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Q</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R</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S</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T</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U</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pStyle w:val="Heading3"/>
                  <w:jc w:val="left"/>
                  <w:rPr>
                    <w:sz w:val="19"/>
                    <w:szCs w:val="19"/>
                  </w:rPr>
                </w:pPr>
                <w:r>
                  <w:rPr>
                    <w:sz w:val="19"/>
                    <w:szCs w:val="19"/>
                  </w:rPr>
                  <w:t>V</w:t>
                </w:r>
              </w:p>
            </w:txbxContent>
          </v:textbox>
        </v:shape>
      </w:pict>
    </w:r>
    <w:r w:rsidR="00193201">
      <w:rPr>
        <w:noProof/>
        <w:sz w:val="19"/>
        <w:szCs w:val="19"/>
        <w:lang w:eastAsia="en-US"/>
      </w:rPr>
    </w:r>
    <w:r w:rsidR="00193201">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8F06DB" w:rsidRDefault="008F06DB">
                <w:pPr>
                  <w:rPr>
                    <w:rFonts w:eastAsia="SimHei"/>
                    <w:b/>
                    <w:bCs/>
                    <w:sz w:val="17"/>
                    <w:szCs w:val="17"/>
                  </w:rPr>
                </w:pPr>
                <w:r>
                  <w:rPr>
                    <w:rFonts w:eastAsia="SimHei" w:hint="eastAsia"/>
                    <w:b/>
                    <w:bCs/>
                    <w:sz w:val="27"/>
                    <w:szCs w:val="27"/>
                  </w:rPr>
                  <w:t>由此</w:t>
                </w:r>
              </w:p>
            </w:txbxContent>
          </v:textbox>
        </v:shape>
      </w:pict>
    </w:r>
    <w:r w:rsidR="00193201">
      <w:rPr>
        <w:noProof/>
        <w:sz w:val="19"/>
        <w:szCs w:val="19"/>
        <w:lang w:eastAsia="en-US"/>
      </w:rPr>
    </w:r>
    <w:r w:rsidR="00193201">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8F06DB" w:rsidRDefault="008F06DB">
                <w:pPr>
                  <w:rPr>
                    <w:b/>
                    <w:bCs/>
                    <w:sz w:val="19"/>
                    <w:szCs w:val="19"/>
                  </w:rPr>
                </w:pPr>
                <w:r>
                  <w:rPr>
                    <w:b/>
                    <w:bCs/>
                    <w:sz w:val="19"/>
                    <w:szCs w:val="19"/>
                  </w:rPr>
                  <w:t>A</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9"/>
                    <w:szCs w:val="19"/>
                  </w:rPr>
                </w:pPr>
                <w:r>
                  <w:rPr>
                    <w:b/>
                    <w:bCs/>
                    <w:sz w:val="19"/>
                    <w:szCs w:val="19"/>
                  </w:rPr>
                  <w:t>B</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C</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pStyle w:val="Heading2"/>
                  <w:rPr>
                    <w:sz w:val="15"/>
                    <w:szCs w:val="15"/>
                  </w:rPr>
                </w:pPr>
                <w:r>
                  <w:rPr>
                    <w:sz w:val="19"/>
                    <w:szCs w:val="19"/>
                  </w:rPr>
                  <w:t>D</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E</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9"/>
                    <w:szCs w:val="19"/>
                  </w:rPr>
                </w:pPr>
                <w:r>
                  <w:rPr>
                    <w:b/>
                    <w:bCs/>
                    <w:sz w:val="19"/>
                    <w:szCs w:val="19"/>
                  </w:rPr>
                  <w:t>F</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G</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H</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I</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J</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K</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L</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M</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N</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O</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P</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Q</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R</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S</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T</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rPr>
                    <w:b/>
                    <w:bCs/>
                    <w:sz w:val="15"/>
                    <w:szCs w:val="15"/>
                  </w:rPr>
                </w:pPr>
                <w:r>
                  <w:rPr>
                    <w:b/>
                    <w:bCs/>
                    <w:sz w:val="19"/>
                    <w:szCs w:val="19"/>
                  </w:rPr>
                  <w:t>U</w:t>
                </w:r>
              </w:p>
              <w:p w:rsidR="008F06DB" w:rsidRDefault="008F06DB">
                <w:pPr>
                  <w:rPr>
                    <w:b/>
                    <w:bCs/>
                    <w:sz w:val="10"/>
                    <w:szCs w:val="10"/>
                  </w:rPr>
                </w:pPr>
              </w:p>
              <w:p w:rsidR="008F06DB" w:rsidRDefault="008F06DB">
                <w:pPr>
                  <w:rPr>
                    <w:b/>
                    <w:bCs/>
                    <w:sz w:val="15"/>
                    <w:szCs w:val="15"/>
                  </w:rPr>
                </w:pPr>
              </w:p>
              <w:p w:rsidR="008F06DB" w:rsidRDefault="008F06DB">
                <w:pPr>
                  <w:rPr>
                    <w:b/>
                    <w:bCs/>
                    <w:sz w:val="15"/>
                    <w:szCs w:val="15"/>
                  </w:rPr>
                </w:pPr>
              </w:p>
              <w:p w:rsidR="008F06DB" w:rsidRDefault="008F06DB">
                <w:pPr>
                  <w:pStyle w:val="Heading3"/>
                  <w:jc w:val="left"/>
                  <w:rPr>
                    <w:sz w:val="19"/>
                    <w:szCs w:val="19"/>
                  </w:rPr>
                </w:pPr>
                <w:r>
                  <w:rPr>
                    <w:sz w:val="19"/>
                    <w:szCs w:val="19"/>
                  </w:rPr>
                  <w:t>V</w:t>
                </w:r>
              </w:p>
            </w:txbxContent>
          </v:textbox>
        </v:shape>
      </w:pict>
    </w:r>
  </w:p>
  <w:p w:rsidR="008F06DB" w:rsidRDefault="008F06DB">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AB28F8"/>
    <w:multiLevelType w:val="hybridMultilevel"/>
    <w:tmpl w:val="0660082E"/>
    <w:lvl w:ilvl="0" w:tplc="B6520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291399">
    <w:abstractNumId w:val="0"/>
  </w:num>
  <w:num w:numId="2" w16cid:durableId="125043320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CF"/>
    <w:rsid w:val="0000631B"/>
    <w:rsid w:val="000A777A"/>
    <w:rsid w:val="00193201"/>
    <w:rsid w:val="001B6B43"/>
    <w:rsid w:val="001C6D0F"/>
    <w:rsid w:val="002F75F4"/>
    <w:rsid w:val="003B22D0"/>
    <w:rsid w:val="00615FD3"/>
    <w:rsid w:val="00877DD6"/>
    <w:rsid w:val="008F06DB"/>
    <w:rsid w:val="008F0D2F"/>
    <w:rsid w:val="008F378B"/>
    <w:rsid w:val="009567BC"/>
    <w:rsid w:val="009A0168"/>
    <w:rsid w:val="009F3090"/>
    <w:rsid w:val="00A01BCF"/>
    <w:rsid w:val="00A16C21"/>
    <w:rsid w:val="00A262AD"/>
    <w:rsid w:val="00A57E46"/>
    <w:rsid w:val="00AE7835"/>
    <w:rsid w:val="00B277B2"/>
    <w:rsid w:val="00CC44C6"/>
    <w:rsid w:val="00D54817"/>
    <w:rsid w:val="00D9401F"/>
    <w:rsid w:val="00DB07AF"/>
    <w:rsid w:val="00E11B9B"/>
    <w:rsid w:val="00E61139"/>
    <w:rsid w:val="00F01AF0"/>
    <w:rsid w:val="00F22D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77700F4-541F-1E4B-8F86-1856F948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uiPriority w:val="34"/>
    <w:qFormat/>
    <w:rsid w:val="00A01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2011-09-28T02:33:00Z</cp:lastPrinted>
  <dcterms:created xsi:type="dcterms:W3CDTF">2023-10-14T01:12:00Z</dcterms:created>
  <dcterms:modified xsi:type="dcterms:W3CDTF">2023-10-14T01:12:00Z</dcterms:modified>
</cp:coreProperties>
</file>