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16" w:rsidRDefault="00E02016">
      <w:pPr>
        <w:pStyle w:val="Heading4"/>
      </w:pPr>
      <w:r>
        <w:t>DCP</w:t>
      </w:r>
      <w:r w:rsidR="00A75F34">
        <w:t>I</w:t>
      </w:r>
      <w:r w:rsidR="00A42D9F">
        <w:t xml:space="preserve"> </w:t>
      </w:r>
      <w:r w:rsidR="00A80564">
        <w:t>676</w:t>
      </w:r>
      <w:r>
        <w:t>/20</w:t>
      </w:r>
      <w:r w:rsidR="00A80564">
        <w:t>13</w:t>
      </w:r>
    </w:p>
    <w:p w:rsidR="00E02016" w:rsidRDefault="00E02016">
      <w:pPr>
        <w:spacing w:line="360" w:lineRule="auto"/>
        <w:jc w:val="center"/>
        <w:rPr>
          <w:bCs/>
          <w:sz w:val="28"/>
          <w:lang w:val="en-GB"/>
        </w:rPr>
      </w:pPr>
    </w:p>
    <w:p w:rsidR="00E02016" w:rsidRDefault="00E02016">
      <w:pPr>
        <w:pStyle w:val="Heading3"/>
        <w:spacing w:line="360" w:lineRule="auto"/>
        <w:rPr>
          <w:szCs w:val="24"/>
          <w:lang w:eastAsia="zh-CN"/>
        </w:rPr>
      </w:pPr>
      <w:r>
        <w:rPr>
          <w:szCs w:val="24"/>
          <w:lang w:eastAsia="zh-CN"/>
        </w:rPr>
        <w:t>IN THE DISTRICT COURT OF THE</w:t>
      </w:r>
    </w:p>
    <w:p w:rsidR="00E02016" w:rsidRDefault="00E02016">
      <w:pPr>
        <w:pStyle w:val="Heading3"/>
        <w:spacing w:line="360" w:lineRule="auto"/>
      </w:pPr>
      <w:smartTag w:uri="urn:schemas-microsoft-com:office:smarttags" w:element="place">
        <w:r>
          <w:t>HONG KONG</w:t>
        </w:r>
      </w:smartTag>
      <w:r>
        <w:t xml:space="preserve"> SPECIAL ADMINISTRATIVE REGION</w:t>
      </w:r>
    </w:p>
    <w:p w:rsidR="00E02016" w:rsidRDefault="00E02016">
      <w:pPr>
        <w:pStyle w:val="Heading2"/>
        <w:spacing w:line="360" w:lineRule="auto"/>
        <w:rPr>
          <w:szCs w:val="24"/>
          <w:lang w:eastAsia="zh-CN"/>
        </w:rPr>
      </w:pPr>
      <w:r>
        <w:t>PERSONAL INJURIES</w:t>
      </w:r>
      <w:r w:rsidR="00491008">
        <w:rPr>
          <w:szCs w:val="24"/>
          <w:lang w:eastAsia="zh-CN"/>
        </w:rPr>
        <w:t xml:space="preserve"> ACTION NO</w:t>
      </w:r>
      <w:r>
        <w:rPr>
          <w:szCs w:val="24"/>
          <w:lang w:eastAsia="zh-CN"/>
        </w:rPr>
        <w:t xml:space="preserve"> </w:t>
      </w:r>
      <w:r w:rsidR="00A80564">
        <w:rPr>
          <w:szCs w:val="24"/>
          <w:lang w:eastAsia="zh-CN"/>
        </w:rPr>
        <w:t>6</w:t>
      </w:r>
      <w:r w:rsidR="00A42D9F">
        <w:rPr>
          <w:szCs w:val="24"/>
          <w:lang w:eastAsia="zh-CN"/>
        </w:rPr>
        <w:t>7</w:t>
      </w:r>
      <w:r w:rsidR="00A80564">
        <w:rPr>
          <w:szCs w:val="24"/>
          <w:lang w:eastAsia="zh-CN"/>
        </w:rPr>
        <w:t>6 OF 2013</w:t>
      </w:r>
    </w:p>
    <w:p w:rsidR="00E02016" w:rsidRDefault="00E02016">
      <w:pPr>
        <w:jc w:val="center"/>
        <w:rPr>
          <w:bCs/>
          <w:sz w:val="28"/>
          <w:u w:val="single"/>
          <w:lang w:val="en-GB"/>
        </w:rPr>
      </w:pP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</w:p>
    <w:p w:rsidR="00E02016" w:rsidRDefault="00E02016">
      <w:pPr>
        <w:jc w:val="center"/>
        <w:rPr>
          <w:bCs/>
          <w:sz w:val="28"/>
          <w:u w:val="single"/>
          <w:lang w:val="en-GB"/>
        </w:rPr>
      </w:pPr>
    </w:p>
    <w:p w:rsidR="00E02016" w:rsidRDefault="00E02016">
      <w:pPr>
        <w:jc w:val="center"/>
        <w:rPr>
          <w:bCs/>
          <w:sz w:val="28"/>
          <w:u w:val="single"/>
          <w:lang w:val="en-GB"/>
        </w:rPr>
      </w:pPr>
    </w:p>
    <w:p w:rsidR="00E02016" w:rsidRDefault="00E02016">
      <w:pPr>
        <w:rPr>
          <w:bCs/>
          <w:sz w:val="28"/>
          <w:lang w:val="en-GB"/>
        </w:rPr>
      </w:pPr>
      <w:r>
        <w:rPr>
          <w:bCs/>
          <w:sz w:val="28"/>
          <w:lang w:val="en-GB"/>
        </w:rPr>
        <w:t>BETWEEN</w:t>
      </w:r>
    </w:p>
    <w:p w:rsidR="00E02016" w:rsidRDefault="00E02016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E02016" w:rsidRDefault="00E02016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E02016" w:rsidRDefault="00E02016">
      <w:pPr>
        <w:tabs>
          <w:tab w:val="center" w:pos="4253"/>
          <w:tab w:val="right" w:pos="8505"/>
        </w:tabs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r w:rsidR="00A80564">
        <w:rPr>
          <w:bCs/>
          <w:sz w:val="28"/>
          <w:lang w:val="en-GB"/>
        </w:rPr>
        <w:t>WONG TUNG PO</w:t>
      </w:r>
      <w:r w:rsidR="00F90853">
        <w:rPr>
          <w:rFonts w:eastAsia="PMingLiU" w:hint="eastAsia"/>
          <w:bCs/>
          <w:sz w:val="28"/>
          <w:lang w:val="en-GB" w:eastAsia="zh-TW"/>
        </w:rPr>
        <w:t>（王東寶）</w:t>
      </w:r>
      <w:r w:rsidR="001C5329">
        <w:rPr>
          <w:bCs/>
          <w:sz w:val="28"/>
          <w:lang w:val="en-GB"/>
        </w:rPr>
        <w:tab/>
      </w:r>
      <w:r>
        <w:rPr>
          <w:bCs/>
          <w:sz w:val="28"/>
          <w:lang w:val="en-GB"/>
        </w:rPr>
        <w:t>Plaintiff</w:t>
      </w:r>
    </w:p>
    <w:p w:rsidR="00B479C6" w:rsidRDefault="00B479C6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E02016" w:rsidRDefault="00E02016">
      <w:pPr>
        <w:tabs>
          <w:tab w:val="center" w:pos="4253"/>
          <w:tab w:val="right" w:pos="8505"/>
        </w:tabs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proofErr w:type="gramStart"/>
      <w:r>
        <w:rPr>
          <w:bCs/>
          <w:sz w:val="28"/>
          <w:lang w:val="en-GB"/>
        </w:rPr>
        <w:t>and</w:t>
      </w:r>
      <w:proofErr w:type="gramEnd"/>
    </w:p>
    <w:p w:rsidR="00E02016" w:rsidRDefault="00E02016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E02016" w:rsidRDefault="00E02016">
      <w:pPr>
        <w:tabs>
          <w:tab w:val="center" w:pos="4253"/>
          <w:tab w:val="right" w:pos="8505"/>
        </w:tabs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r w:rsidR="00A80564">
        <w:rPr>
          <w:bCs/>
          <w:sz w:val="28"/>
          <w:lang w:val="en-GB"/>
        </w:rPr>
        <w:t>LAM LEI YUNG</w:t>
      </w:r>
      <w:r w:rsidR="00F90853">
        <w:rPr>
          <w:rFonts w:ascii="PMingLiU" w:eastAsia="PMingLiU" w:hAnsi="PMingLiU" w:hint="eastAsia"/>
          <w:bCs/>
          <w:sz w:val="28"/>
          <w:lang w:val="en-GB" w:eastAsia="zh-TW"/>
        </w:rPr>
        <w:t>（林麗容）</w:t>
      </w:r>
      <w:r w:rsidR="001C5329">
        <w:rPr>
          <w:bCs/>
          <w:sz w:val="28"/>
          <w:lang w:val="en-GB"/>
        </w:rPr>
        <w:tab/>
      </w:r>
      <w:r>
        <w:rPr>
          <w:bCs/>
          <w:sz w:val="28"/>
          <w:lang w:val="en-GB"/>
        </w:rPr>
        <w:t>Defendant</w:t>
      </w:r>
    </w:p>
    <w:p w:rsidR="00E02016" w:rsidRDefault="00E02016" w:rsidP="00502DDB">
      <w:pPr>
        <w:tabs>
          <w:tab w:val="center" w:pos="4253"/>
          <w:tab w:val="right" w:pos="8505"/>
        </w:tabs>
        <w:jc w:val="center"/>
        <w:rPr>
          <w:bCs/>
          <w:sz w:val="28"/>
          <w:lang w:val="en-GB"/>
        </w:rPr>
      </w:pPr>
    </w:p>
    <w:p w:rsidR="00E02016" w:rsidRDefault="00E02016">
      <w:pPr>
        <w:jc w:val="center"/>
        <w:rPr>
          <w:bCs/>
          <w:sz w:val="28"/>
          <w:u w:val="single"/>
          <w:lang w:val="en-GB"/>
        </w:rPr>
      </w:pP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</w:p>
    <w:p w:rsidR="00E02016" w:rsidRDefault="00E02016">
      <w:pPr>
        <w:pStyle w:val="Heading5"/>
      </w:pPr>
    </w:p>
    <w:p w:rsidR="00E02016" w:rsidRDefault="008D048D">
      <w:pPr>
        <w:pStyle w:val="Heading5"/>
        <w:jc w:val="left"/>
      </w:pPr>
      <w:r>
        <w:t>Before:</w:t>
      </w:r>
      <w:r>
        <w:tab/>
      </w:r>
      <w:r w:rsidR="00A80564">
        <w:t>Deputy District Judge</w:t>
      </w:r>
      <w:r w:rsidR="001C5329">
        <w:t xml:space="preserve"> </w:t>
      </w:r>
      <w:r w:rsidR="00A80564">
        <w:t xml:space="preserve">D Ho </w:t>
      </w:r>
      <w:r>
        <w:t>in C</w:t>
      </w:r>
      <w:r w:rsidR="00A75F34">
        <w:t xml:space="preserve">hambers (Open to </w:t>
      </w:r>
      <w:r w:rsidR="00B303BF">
        <w:t xml:space="preserve">the </w:t>
      </w:r>
      <w:r w:rsidR="00A75F34">
        <w:t>public)</w:t>
      </w:r>
    </w:p>
    <w:p w:rsidR="00E02016" w:rsidRDefault="00E02016">
      <w:pPr>
        <w:spacing w:line="360" w:lineRule="auto"/>
        <w:rPr>
          <w:bCs/>
          <w:sz w:val="28"/>
          <w:lang w:val="en-GB"/>
        </w:rPr>
      </w:pPr>
      <w:r>
        <w:rPr>
          <w:bCs/>
          <w:sz w:val="28"/>
          <w:lang w:val="en-GB"/>
        </w:rPr>
        <w:t>Date</w:t>
      </w:r>
      <w:r>
        <w:rPr>
          <w:rFonts w:hint="eastAsia"/>
          <w:bCs/>
          <w:sz w:val="28"/>
          <w:lang w:val="en-GB"/>
        </w:rPr>
        <w:t xml:space="preserve"> of Hearing</w:t>
      </w:r>
      <w:r w:rsidR="00A75F34">
        <w:rPr>
          <w:bCs/>
          <w:sz w:val="28"/>
          <w:lang w:val="en-GB"/>
        </w:rPr>
        <w:t>:</w:t>
      </w:r>
      <w:r w:rsidR="00A75F34">
        <w:rPr>
          <w:bCs/>
          <w:sz w:val="28"/>
          <w:lang w:val="en-GB"/>
        </w:rPr>
        <w:tab/>
      </w:r>
      <w:r w:rsidR="00A80564">
        <w:rPr>
          <w:bCs/>
          <w:sz w:val="28"/>
          <w:lang w:val="en-GB"/>
        </w:rPr>
        <w:t>7 January 2014</w:t>
      </w:r>
    </w:p>
    <w:p w:rsidR="00E02016" w:rsidRDefault="00E02016">
      <w:pPr>
        <w:spacing w:line="360" w:lineRule="auto"/>
        <w:rPr>
          <w:bCs/>
          <w:sz w:val="28"/>
          <w:lang w:val="en-GB"/>
        </w:rPr>
      </w:pPr>
      <w:r>
        <w:rPr>
          <w:bCs/>
          <w:sz w:val="28"/>
          <w:lang w:val="en-GB"/>
        </w:rPr>
        <w:t>Date</w:t>
      </w:r>
      <w:r>
        <w:rPr>
          <w:rFonts w:hint="eastAsia"/>
          <w:bCs/>
          <w:sz w:val="28"/>
          <w:lang w:val="en-GB"/>
        </w:rPr>
        <w:t xml:space="preserve"> of</w:t>
      </w:r>
      <w:r>
        <w:rPr>
          <w:bCs/>
          <w:sz w:val="28"/>
          <w:lang w:val="en-GB"/>
        </w:rPr>
        <w:t xml:space="preserve"> </w:t>
      </w:r>
      <w:r w:rsidR="00ED3866">
        <w:rPr>
          <w:bCs/>
          <w:sz w:val="28"/>
          <w:lang w:val="en-GB"/>
        </w:rPr>
        <w:t>Decision</w:t>
      </w:r>
      <w:r w:rsidR="00A80564">
        <w:rPr>
          <w:bCs/>
          <w:sz w:val="28"/>
          <w:lang w:val="en-GB"/>
        </w:rPr>
        <w:t>:</w:t>
      </w:r>
      <w:r w:rsidR="00A80564">
        <w:rPr>
          <w:bCs/>
          <w:sz w:val="28"/>
          <w:lang w:val="en-GB"/>
        </w:rPr>
        <w:tab/>
        <w:t>7 January 2014</w:t>
      </w:r>
    </w:p>
    <w:p w:rsidR="00E02016" w:rsidRDefault="00E02016">
      <w:pPr>
        <w:jc w:val="center"/>
        <w:rPr>
          <w:bCs/>
          <w:sz w:val="28"/>
          <w:u w:val="single"/>
          <w:lang w:val="en-GB"/>
        </w:rPr>
      </w:pP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</w:p>
    <w:p w:rsidR="00E02016" w:rsidRDefault="00E02016">
      <w:pPr>
        <w:pStyle w:val="Heading2"/>
      </w:pPr>
    </w:p>
    <w:p w:rsidR="00E02016" w:rsidRDefault="00ED3866">
      <w:pPr>
        <w:pStyle w:val="Heading2"/>
        <w:rPr>
          <w:lang w:eastAsia="zh-CN"/>
        </w:rPr>
      </w:pPr>
      <w:r>
        <w:rPr>
          <w:lang w:eastAsia="zh-CN"/>
        </w:rPr>
        <w:t>D E C I S I O N</w:t>
      </w:r>
    </w:p>
    <w:p w:rsidR="00E02016" w:rsidRDefault="00E02016">
      <w:pPr>
        <w:jc w:val="center"/>
        <w:rPr>
          <w:bCs/>
          <w:sz w:val="28"/>
          <w:u w:val="single"/>
          <w:lang w:val="en-GB"/>
        </w:rPr>
      </w:pP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</w:p>
    <w:p w:rsidR="00E02016" w:rsidRDefault="00E02016">
      <w:pPr>
        <w:jc w:val="center"/>
        <w:rPr>
          <w:bCs/>
          <w:sz w:val="28"/>
          <w:u w:val="single"/>
          <w:lang w:val="en-GB"/>
        </w:rPr>
      </w:pPr>
    </w:p>
    <w:p w:rsidR="00F94A69" w:rsidRDefault="00F94A69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This is an application by the defendant for setting aside a default judgment obtained by the plaintiff. </w:t>
      </w:r>
    </w:p>
    <w:p w:rsidR="00F94A69" w:rsidRDefault="00F94A69" w:rsidP="00F94A69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F94A69" w:rsidRPr="00F90853" w:rsidRDefault="00F94A69" w:rsidP="00F94A69">
      <w:pPr>
        <w:tabs>
          <w:tab w:val="left" w:pos="1418"/>
        </w:tabs>
        <w:spacing w:line="360" w:lineRule="auto"/>
        <w:jc w:val="both"/>
        <w:rPr>
          <w:bCs/>
          <w:i/>
          <w:sz w:val="28"/>
          <w:lang w:val="en-GB"/>
        </w:rPr>
      </w:pPr>
      <w:r w:rsidRPr="00F90853">
        <w:rPr>
          <w:bCs/>
          <w:i/>
          <w:sz w:val="28"/>
          <w:lang w:val="en-GB"/>
        </w:rPr>
        <w:t>Background</w:t>
      </w:r>
    </w:p>
    <w:p w:rsidR="00F94A69" w:rsidRDefault="00F94A69" w:rsidP="00F94A69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F94A69" w:rsidRDefault="00F94A69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The action relates to personal injuries sustained by the plaintiff on 3 August 2012.</w:t>
      </w:r>
    </w:p>
    <w:p w:rsidR="00EA5A35" w:rsidRDefault="00EA5A35" w:rsidP="00EA5A35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F94A69" w:rsidRDefault="00F94A69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lastRenderedPageBreak/>
        <w:t>At the material time</w:t>
      </w:r>
      <w:r w:rsidR="00B86E3D">
        <w:rPr>
          <w:bCs/>
          <w:sz w:val="28"/>
          <w:lang w:val="en-GB"/>
        </w:rPr>
        <w:t xml:space="preserve">, the plaintiff was a tenant of the defendant </w:t>
      </w:r>
      <w:r w:rsidR="00EA5A35">
        <w:rPr>
          <w:bCs/>
          <w:sz w:val="28"/>
          <w:lang w:val="en-GB"/>
        </w:rPr>
        <w:t>in a property which was subdivided into four rooms and the plaintiff was occupying Room A of the address</w:t>
      </w:r>
      <w:r w:rsidR="00F90853">
        <w:rPr>
          <w:bCs/>
          <w:sz w:val="28"/>
          <w:lang w:val="en-GB"/>
        </w:rPr>
        <w:t xml:space="preserve"> (“</w:t>
      </w:r>
      <w:r w:rsidR="003129D2">
        <w:rPr>
          <w:bCs/>
          <w:sz w:val="28"/>
          <w:lang w:val="en-GB"/>
        </w:rPr>
        <w:t>the first address</w:t>
      </w:r>
      <w:r w:rsidR="00F90853">
        <w:rPr>
          <w:bCs/>
          <w:sz w:val="28"/>
          <w:lang w:val="en-GB"/>
        </w:rPr>
        <w:t>”).</w:t>
      </w:r>
    </w:p>
    <w:p w:rsidR="00B5376E" w:rsidRDefault="00B5376E" w:rsidP="00B5376E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129D2" w:rsidRDefault="003129D2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It is alleged that on 3 August 2012 while inside Room A, the plaintiff was hit in the forehead by a concrete fragment falling from the ceiling </w:t>
      </w:r>
      <w:r w:rsidR="00B5376E">
        <w:rPr>
          <w:bCs/>
          <w:sz w:val="28"/>
          <w:lang w:val="en-GB"/>
        </w:rPr>
        <w:t xml:space="preserve">of Room A.  The plaintiff </w:t>
      </w:r>
      <w:r w:rsidR="00235381">
        <w:rPr>
          <w:bCs/>
          <w:sz w:val="28"/>
          <w:lang w:val="en-GB"/>
        </w:rPr>
        <w:t xml:space="preserve">lost consciousness for a while before an ambulance was called to </w:t>
      </w:r>
      <w:r w:rsidR="008A3488">
        <w:rPr>
          <w:bCs/>
          <w:sz w:val="28"/>
          <w:lang w:val="en-GB"/>
        </w:rPr>
        <w:t xml:space="preserve">take him to hospital.  He was discharged the next day and </w:t>
      </w:r>
      <w:r w:rsidR="00DE3442">
        <w:rPr>
          <w:bCs/>
          <w:sz w:val="28"/>
          <w:lang w:val="en-GB"/>
        </w:rPr>
        <w:t xml:space="preserve">has allegedly experienced episodes of loss of consciousness since and is said to be still suffering </w:t>
      </w:r>
      <w:r w:rsidR="00D950CA">
        <w:rPr>
          <w:bCs/>
          <w:sz w:val="28"/>
          <w:lang w:val="en-GB"/>
        </w:rPr>
        <w:t>from headache and dizziness and frequent blackout.</w:t>
      </w:r>
    </w:p>
    <w:p w:rsidR="0057028D" w:rsidRDefault="0057028D" w:rsidP="0057028D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DE3442" w:rsidRDefault="0057028D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There are attached to the pleadings three medical reports from public hospitals, which merely refer to the </w:t>
      </w:r>
      <w:r w:rsidR="00773BF9">
        <w:rPr>
          <w:bCs/>
          <w:sz w:val="28"/>
          <w:lang w:val="en-GB"/>
        </w:rPr>
        <w:t xml:space="preserve">defendant’s symptoms such as recurrent loss of consciousness, without referring to the </w:t>
      </w:r>
      <w:r w:rsidR="004B4879">
        <w:rPr>
          <w:bCs/>
          <w:sz w:val="28"/>
          <w:lang w:val="en-GB"/>
        </w:rPr>
        <w:t>admission on 3 August 20</w:t>
      </w:r>
      <w:r w:rsidR="005256AD">
        <w:rPr>
          <w:bCs/>
          <w:sz w:val="28"/>
          <w:lang w:val="en-GB"/>
        </w:rPr>
        <w:t>1</w:t>
      </w:r>
      <w:r w:rsidR="004B4879">
        <w:rPr>
          <w:bCs/>
          <w:sz w:val="28"/>
          <w:lang w:val="en-GB"/>
        </w:rPr>
        <w:t>2.</w:t>
      </w:r>
    </w:p>
    <w:p w:rsidR="004B4879" w:rsidRDefault="004B4879" w:rsidP="004B4879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4B4879" w:rsidRDefault="004B4879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writ herein was served on 21 May </w:t>
      </w:r>
      <w:r w:rsidR="00234385">
        <w:rPr>
          <w:bCs/>
          <w:sz w:val="28"/>
          <w:lang w:val="en-GB"/>
        </w:rPr>
        <w:t xml:space="preserve">2013 by inserting into the letterbox of </w:t>
      </w:r>
      <w:r w:rsidR="003B7529">
        <w:rPr>
          <w:bCs/>
          <w:sz w:val="28"/>
          <w:lang w:val="en-GB"/>
        </w:rPr>
        <w:t xml:space="preserve">both the first address and another address of the defendant, also in </w:t>
      </w:r>
      <w:proofErr w:type="spellStart"/>
      <w:r w:rsidR="003B7529">
        <w:rPr>
          <w:bCs/>
          <w:sz w:val="28"/>
          <w:lang w:val="en-GB"/>
        </w:rPr>
        <w:t>Tsuen</w:t>
      </w:r>
      <w:proofErr w:type="spellEnd"/>
      <w:r w:rsidR="003B7529">
        <w:rPr>
          <w:bCs/>
          <w:sz w:val="28"/>
          <w:lang w:val="en-GB"/>
        </w:rPr>
        <w:t xml:space="preserve"> Wan. </w:t>
      </w:r>
    </w:p>
    <w:p w:rsidR="003B7529" w:rsidRDefault="003B7529" w:rsidP="003B7529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B7529" w:rsidRDefault="003B7529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Interlocutory judgment with damages to be assessed was entered on 21 September 201</w:t>
      </w:r>
      <w:r w:rsidR="00F90853">
        <w:rPr>
          <w:bCs/>
          <w:sz w:val="28"/>
          <w:lang w:val="en-GB"/>
        </w:rPr>
        <w:t>3</w:t>
      </w:r>
      <w:r>
        <w:rPr>
          <w:bCs/>
          <w:sz w:val="28"/>
          <w:lang w:val="en-GB"/>
        </w:rPr>
        <w:t xml:space="preserve">, the defendant </w:t>
      </w:r>
      <w:r w:rsidR="00367A5E">
        <w:rPr>
          <w:bCs/>
          <w:sz w:val="28"/>
          <w:lang w:val="en-GB"/>
        </w:rPr>
        <w:t xml:space="preserve">having </w:t>
      </w:r>
      <w:r>
        <w:rPr>
          <w:bCs/>
          <w:sz w:val="28"/>
          <w:lang w:val="en-GB"/>
        </w:rPr>
        <w:t>fail</w:t>
      </w:r>
      <w:r w:rsidR="00367A5E">
        <w:rPr>
          <w:bCs/>
          <w:sz w:val="28"/>
          <w:lang w:val="en-GB"/>
        </w:rPr>
        <w:t>ed to file</w:t>
      </w:r>
      <w:r>
        <w:rPr>
          <w:bCs/>
          <w:sz w:val="28"/>
          <w:lang w:val="en-GB"/>
        </w:rPr>
        <w:t xml:space="preserve"> a notice to defend.  Service of the interlocutory judgment was said to have been effected on 23 September 2013.  A week later, </w:t>
      </w:r>
      <w:r w:rsidR="00367A5E">
        <w:rPr>
          <w:bCs/>
          <w:sz w:val="28"/>
          <w:lang w:val="en-GB"/>
        </w:rPr>
        <w:t xml:space="preserve">a statement of claim, together with other </w:t>
      </w:r>
      <w:r w:rsidR="00A427E1">
        <w:rPr>
          <w:bCs/>
          <w:sz w:val="28"/>
          <w:lang w:val="en-GB"/>
        </w:rPr>
        <w:t>court documents, including a statement of damages</w:t>
      </w:r>
      <w:r w:rsidR="00FA6BA3">
        <w:rPr>
          <w:bCs/>
          <w:sz w:val="28"/>
          <w:lang w:val="en-GB"/>
        </w:rPr>
        <w:t xml:space="preserve"> as well as a list of documents, were served on the defendant by inserting into the letterbox of </w:t>
      </w:r>
      <w:r w:rsidR="003067D1">
        <w:rPr>
          <w:bCs/>
          <w:sz w:val="28"/>
          <w:lang w:val="en-GB"/>
        </w:rPr>
        <w:t>the second address.</w:t>
      </w:r>
    </w:p>
    <w:p w:rsidR="00643301" w:rsidRDefault="00643301" w:rsidP="0064330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067D1" w:rsidRDefault="003067D1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lastRenderedPageBreak/>
        <w:t xml:space="preserve">In the plaintiff’s solicitors’ affirmation filed in opposition to </w:t>
      </w:r>
      <w:r w:rsidR="00643301">
        <w:rPr>
          <w:bCs/>
          <w:sz w:val="28"/>
          <w:lang w:val="en-GB"/>
        </w:rPr>
        <w:t xml:space="preserve">the present application, </w:t>
      </w:r>
      <w:r w:rsidR="00BA19BA">
        <w:rPr>
          <w:bCs/>
          <w:sz w:val="28"/>
          <w:lang w:val="en-GB"/>
        </w:rPr>
        <w:t xml:space="preserve">the </w:t>
      </w:r>
      <w:proofErr w:type="spellStart"/>
      <w:r w:rsidR="00BA19BA">
        <w:rPr>
          <w:bCs/>
          <w:sz w:val="28"/>
          <w:lang w:val="en-GB"/>
        </w:rPr>
        <w:t>affirmant</w:t>
      </w:r>
      <w:proofErr w:type="spellEnd"/>
      <w:r w:rsidR="00BA19BA">
        <w:rPr>
          <w:bCs/>
          <w:sz w:val="28"/>
          <w:lang w:val="en-GB"/>
        </w:rPr>
        <w:t xml:space="preserve"> deposed to </w:t>
      </w:r>
      <w:r w:rsidR="00145477">
        <w:rPr>
          <w:bCs/>
          <w:sz w:val="28"/>
          <w:lang w:val="en-GB"/>
        </w:rPr>
        <w:t xml:space="preserve">how the </w:t>
      </w:r>
      <w:r w:rsidR="006B09BA">
        <w:rPr>
          <w:bCs/>
          <w:sz w:val="28"/>
          <w:lang w:val="en-GB"/>
        </w:rPr>
        <w:t xml:space="preserve">defendant came to know about the defendant’s </w:t>
      </w:r>
      <w:r w:rsidR="00746C3F">
        <w:rPr>
          <w:bCs/>
          <w:sz w:val="28"/>
          <w:lang w:val="en-GB"/>
        </w:rPr>
        <w:t xml:space="preserve">two addresses in </w:t>
      </w:r>
      <w:proofErr w:type="spellStart"/>
      <w:r w:rsidR="00746C3F">
        <w:rPr>
          <w:bCs/>
          <w:sz w:val="28"/>
          <w:lang w:val="en-GB"/>
        </w:rPr>
        <w:t>Tsuen</w:t>
      </w:r>
      <w:proofErr w:type="spellEnd"/>
      <w:r w:rsidR="00746C3F">
        <w:rPr>
          <w:bCs/>
          <w:sz w:val="28"/>
          <w:lang w:val="en-GB"/>
        </w:rPr>
        <w:t xml:space="preserve"> Wan that I have just mentioned.</w:t>
      </w:r>
    </w:p>
    <w:p w:rsidR="00B31EF9" w:rsidRDefault="00B31EF9" w:rsidP="00B31EF9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746C3F" w:rsidRDefault="00746C3F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As said, the first address was the address where the alleged </w:t>
      </w:r>
      <w:r w:rsidR="000D026D">
        <w:rPr>
          <w:bCs/>
          <w:sz w:val="28"/>
          <w:lang w:val="en-GB"/>
        </w:rPr>
        <w:t>incident took place</w:t>
      </w:r>
      <w:r w:rsidR="00F90853">
        <w:rPr>
          <w:bCs/>
          <w:sz w:val="28"/>
          <w:lang w:val="en-GB"/>
        </w:rPr>
        <w:t xml:space="preserve">.  The </w:t>
      </w:r>
      <w:r w:rsidR="000D026D">
        <w:rPr>
          <w:bCs/>
          <w:sz w:val="28"/>
          <w:lang w:val="en-GB"/>
        </w:rPr>
        <w:t xml:space="preserve">other address </w:t>
      </w:r>
      <w:r w:rsidR="00F90853">
        <w:rPr>
          <w:bCs/>
          <w:sz w:val="28"/>
          <w:lang w:val="en-GB"/>
        </w:rPr>
        <w:t xml:space="preserve">was </w:t>
      </w:r>
      <w:r w:rsidR="000D026D">
        <w:rPr>
          <w:bCs/>
          <w:sz w:val="28"/>
          <w:lang w:val="en-GB"/>
        </w:rPr>
        <w:t xml:space="preserve">the one used by the defendant in a </w:t>
      </w:r>
      <w:r w:rsidR="00B31EF9">
        <w:rPr>
          <w:bCs/>
          <w:sz w:val="28"/>
          <w:lang w:val="en-GB"/>
        </w:rPr>
        <w:t>previous Lands Tribunal action</w:t>
      </w:r>
      <w:r w:rsidR="00F90853">
        <w:rPr>
          <w:bCs/>
          <w:sz w:val="28"/>
          <w:lang w:val="en-GB"/>
        </w:rPr>
        <w:t xml:space="preserve"> (“second address”)</w:t>
      </w:r>
      <w:r w:rsidR="00B31EF9">
        <w:rPr>
          <w:bCs/>
          <w:sz w:val="28"/>
          <w:lang w:val="en-GB"/>
        </w:rPr>
        <w:t xml:space="preserve">.  According to the plaintiff’s solicitors, </w:t>
      </w:r>
      <w:r w:rsidR="008C5265">
        <w:rPr>
          <w:bCs/>
          <w:sz w:val="28"/>
          <w:lang w:val="en-GB"/>
        </w:rPr>
        <w:t xml:space="preserve">pre-action letters were sent to the second </w:t>
      </w:r>
      <w:r w:rsidR="00F90853">
        <w:rPr>
          <w:bCs/>
          <w:sz w:val="28"/>
          <w:lang w:val="en-GB"/>
        </w:rPr>
        <w:t>address</w:t>
      </w:r>
      <w:r w:rsidR="008C5265">
        <w:rPr>
          <w:bCs/>
          <w:sz w:val="28"/>
          <w:lang w:val="en-GB"/>
        </w:rPr>
        <w:t xml:space="preserve">, which were not returned </w:t>
      </w:r>
      <w:r w:rsidR="00852790">
        <w:rPr>
          <w:bCs/>
          <w:sz w:val="28"/>
          <w:lang w:val="en-GB"/>
        </w:rPr>
        <w:t>undelivered.</w:t>
      </w:r>
    </w:p>
    <w:p w:rsidR="00852790" w:rsidRDefault="00852790" w:rsidP="00852790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852790" w:rsidRDefault="00852790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In her affirmation in support of the present application, the defendant admitted that she used the </w:t>
      </w:r>
      <w:r w:rsidR="007C1E63">
        <w:rPr>
          <w:bCs/>
          <w:sz w:val="28"/>
          <w:lang w:val="en-GB"/>
        </w:rPr>
        <w:t xml:space="preserve">second address in the previous Lands Tribunal action and the property </w:t>
      </w:r>
      <w:r w:rsidR="00F90853">
        <w:rPr>
          <w:bCs/>
          <w:sz w:val="28"/>
          <w:lang w:val="en-GB"/>
        </w:rPr>
        <w:t xml:space="preserve">thereat </w:t>
      </w:r>
      <w:r w:rsidR="007C1E63">
        <w:rPr>
          <w:bCs/>
          <w:sz w:val="28"/>
          <w:lang w:val="en-GB"/>
        </w:rPr>
        <w:t xml:space="preserve">actually belonged to her husband for rental purpose.  The writ did not </w:t>
      </w:r>
      <w:r w:rsidR="000356BE">
        <w:rPr>
          <w:bCs/>
          <w:sz w:val="28"/>
          <w:lang w:val="en-GB"/>
        </w:rPr>
        <w:t xml:space="preserve">come to her attention until 26 September 2013, when </w:t>
      </w:r>
      <w:r w:rsidR="00C708BF">
        <w:rPr>
          <w:bCs/>
          <w:sz w:val="28"/>
          <w:lang w:val="en-GB"/>
        </w:rPr>
        <w:t>her husband happened to visit the second address to collect rent.</w:t>
      </w:r>
    </w:p>
    <w:p w:rsidR="00661707" w:rsidRDefault="00661707" w:rsidP="00661707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C708BF" w:rsidRDefault="00C708BF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According to the defendant, the husband walked by the letterbox and found the door to the letterbox to be left opened and saw inside the letter</w:t>
      </w:r>
      <w:r w:rsidR="00661707">
        <w:rPr>
          <w:bCs/>
          <w:sz w:val="28"/>
          <w:lang w:val="en-GB"/>
        </w:rPr>
        <w:t>box an envelope addressed to the defendant.</w:t>
      </w:r>
    </w:p>
    <w:p w:rsidR="00661707" w:rsidRDefault="00661707" w:rsidP="00661707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832CDB" w:rsidRPr="00F945F1" w:rsidRDefault="00661707" w:rsidP="00F945F1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Upon learning about the present action, the defendant sought legal assistance and a notice to act was filed by </w:t>
      </w:r>
      <w:r w:rsidR="00832CDB">
        <w:rPr>
          <w:bCs/>
          <w:sz w:val="28"/>
          <w:lang w:val="en-GB"/>
        </w:rPr>
        <w:t>her solicitors on 15 October 2013.</w:t>
      </w:r>
      <w:r w:rsidR="00F945F1">
        <w:rPr>
          <w:bCs/>
          <w:sz w:val="28"/>
          <w:lang w:val="en-GB"/>
        </w:rPr>
        <w:t xml:space="preserve">  </w:t>
      </w:r>
      <w:r w:rsidR="00832CDB" w:rsidRPr="00F945F1">
        <w:rPr>
          <w:bCs/>
          <w:sz w:val="28"/>
          <w:lang w:val="en-GB"/>
        </w:rPr>
        <w:t xml:space="preserve">On 1 November 2013 the defendant filed an affirmation to explain how she came to know about </w:t>
      </w:r>
      <w:r w:rsidR="00BB41DD" w:rsidRPr="00F945F1">
        <w:rPr>
          <w:bCs/>
          <w:sz w:val="28"/>
          <w:lang w:val="en-GB"/>
        </w:rPr>
        <w:t>the present proceedings and, three days later (that is, on 4 November 2013), the defendant took out the present summons for setting aside the default judgment.</w:t>
      </w:r>
    </w:p>
    <w:p w:rsidR="0020404A" w:rsidRDefault="0020404A" w:rsidP="0020404A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20404A" w:rsidRDefault="0020404A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lastRenderedPageBreak/>
        <w:t xml:space="preserve">The defendant accepts that service in these proceedings was regular, but otherwise seeks to </w:t>
      </w:r>
      <w:r w:rsidR="008C66F2">
        <w:rPr>
          <w:bCs/>
          <w:sz w:val="28"/>
          <w:lang w:val="en-GB"/>
        </w:rPr>
        <w:t>set aside the default judgment on grounds of merit</w:t>
      </w:r>
      <w:r w:rsidR="00F945F1">
        <w:rPr>
          <w:bCs/>
          <w:sz w:val="28"/>
          <w:lang w:val="en-GB"/>
        </w:rPr>
        <w:t>s</w:t>
      </w:r>
      <w:r w:rsidR="008C66F2">
        <w:rPr>
          <w:bCs/>
          <w:sz w:val="28"/>
          <w:lang w:val="en-GB"/>
        </w:rPr>
        <w:t>.</w:t>
      </w:r>
    </w:p>
    <w:p w:rsidR="00280BE1" w:rsidRDefault="00280BE1" w:rsidP="00280BE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280BE1" w:rsidRPr="00F945F1" w:rsidRDefault="008C66F2" w:rsidP="00280BE1">
      <w:pPr>
        <w:tabs>
          <w:tab w:val="left" w:pos="1418"/>
        </w:tabs>
        <w:spacing w:line="360" w:lineRule="auto"/>
        <w:jc w:val="both"/>
        <w:rPr>
          <w:bCs/>
          <w:i/>
          <w:sz w:val="28"/>
          <w:lang w:val="en-GB"/>
        </w:rPr>
      </w:pPr>
      <w:r w:rsidRPr="00F945F1">
        <w:rPr>
          <w:bCs/>
          <w:i/>
          <w:sz w:val="28"/>
          <w:lang w:val="en-GB"/>
        </w:rPr>
        <w:t>Principles</w:t>
      </w:r>
    </w:p>
    <w:p w:rsidR="00280BE1" w:rsidRDefault="00280BE1" w:rsidP="00280BE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280BE1" w:rsidRDefault="008C66F2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principles on setting aside a regular </w:t>
      </w:r>
      <w:r w:rsidR="00280BE1">
        <w:rPr>
          <w:bCs/>
          <w:sz w:val="28"/>
          <w:lang w:val="en-GB"/>
        </w:rPr>
        <w:t>default judgment are well established.</w:t>
      </w:r>
      <w:r w:rsidR="00B80F10">
        <w:rPr>
          <w:bCs/>
          <w:sz w:val="28"/>
          <w:lang w:val="en-GB"/>
        </w:rPr>
        <w:t xml:space="preserve">  </w:t>
      </w:r>
      <w:r w:rsidR="00280BE1">
        <w:rPr>
          <w:bCs/>
          <w:sz w:val="28"/>
          <w:lang w:val="en-GB"/>
        </w:rPr>
        <w:t xml:space="preserve">Reference need only be made </w:t>
      </w:r>
      <w:r w:rsidR="00C64C9A">
        <w:rPr>
          <w:bCs/>
          <w:sz w:val="28"/>
          <w:lang w:val="en-GB"/>
        </w:rPr>
        <w:t>to paragraph</w:t>
      </w:r>
      <w:r w:rsidR="00F945F1">
        <w:rPr>
          <w:bCs/>
          <w:sz w:val="28"/>
          <w:lang w:val="en-GB"/>
        </w:rPr>
        <w:t>s</w:t>
      </w:r>
      <w:r w:rsidR="00C64C9A">
        <w:rPr>
          <w:bCs/>
          <w:sz w:val="28"/>
          <w:lang w:val="en-GB"/>
        </w:rPr>
        <w:t xml:space="preserve"> </w:t>
      </w:r>
      <w:r w:rsidR="00506C43">
        <w:rPr>
          <w:bCs/>
          <w:sz w:val="28"/>
          <w:lang w:val="en-GB"/>
        </w:rPr>
        <w:t xml:space="preserve">13/9/12 </w:t>
      </w:r>
      <w:r w:rsidR="0043004A">
        <w:rPr>
          <w:bCs/>
          <w:sz w:val="28"/>
          <w:lang w:val="en-GB"/>
        </w:rPr>
        <w:t xml:space="preserve">to 13/9/14 of the Hong Kong </w:t>
      </w:r>
      <w:r w:rsidR="00B80F10">
        <w:rPr>
          <w:bCs/>
          <w:sz w:val="28"/>
          <w:lang w:val="en-GB"/>
        </w:rPr>
        <w:t xml:space="preserve">Civil Procedures 2014, </w:t>
      </w:r>
      <w:proofErr w:type="spellStart"/>
      <w:r w:rsidR="00B80F10">
        <w:rPr>
          <w:bCs/>
          <w:sz w:val="28"/>
          <w:lang w:val="en-GB"/>
        </w:rPr>
        <w:t>Vol</w:t>
      </w:r>
      <w:proofErr w:type="spellEnd"/>
      <w:r w:rsidR="00B80F10">
        <w:rPr>
          <w:bCs/>
          <w:sz w:val="28"/>
          <w:lang w:val="en-GB"/>
        </w:rPr>
        <w:t xml:space="preserve"> 1, which ha</w:t>
      </w:r>
      <w:r w:rsidR="00F945F1">
        <w:rPr>
          <w:bCs/>
          <w:sz w:val="28"/>
          <w:lang w:val="en-GB"/>
        </w:rPr>
        <w:t>ve</w:t>
      </w:r>
      <w:r w:rsidR="00B80F10">
        <w:rPr>
          <w:bCs/>
          <w:sz w:val="28"/>
          <w:lang w:val="en-GB"/>
        </w:rPr>
        <w:t xml:space="preserve"> b</w:t>
      </w:r>
      <w:r w:rsidR="00851E72">
        <w:rPr>
          <w:bCs/>
          <w:sz w:val="28"/>
          <w:lang w:val="en-GB"/>
        </w:rPr>
        <w:t xml:space="preserve">een aptly summarised </w:t>
      </w:r>
      <w:r w:rsidR="00F945F1">
        <w:rPr>
          <w:bCs/>
          <w:sz w:val="28"/>
          <w:lang w:val="en-GB"/>
        </w:rPr>
        <w:t xml:space="preserve">in the submission of </w:t>
      </w:r>
      <w:r w:rsidR="00851E72">
        <w:rPr>
          <w:bCs/>
          <w:sz w:val="28"/>
          <w:lang w:val="en-GB"/>
        </w:rPr>
        <w:t>Miss Yu</w:t>
      </w:r>
      <w:r w:rsidR="00F945F1">
        <w:rPr>
          <w:bCs/>
          <w:sz w:val="28"/>
          <w:lang w:val="en-GB"/>
        </w:rPr>
        <w:t>, C</w:t>
      </w:r>
      <w:r w:rsidR="00B80F10">
        <w:rPr>
          <w:bCs/>
          <w:sz w:val="28"/>
          <w:lang w:val="en-GB"/>
        </w:rPr>
        <w:t xml:space="preserve">ounsel for the defendant, and the principles include, </w:t>
      </w:r>
      <w:r w:rsidR="003F2154">
        <w:rPr>
          <w:bCs/>
          <w:sz w:val="28"/>
          <w:lang w:val="en-GB"/>
        </w:rPr>
        <w:t>among other things, the</w:t>
      </w:r>
      <w:r w:rsidR="00851E72">
        <w:rPr>
          <w:bCs/>
          <w:sz w:val="28"/>
          <w:lang w:val="en-GB"/>
        </w:rPr>
        <w:t xml:space="preserve"> following:</w:t>
      </w:r>
    </w:p>
    <w:p w:rsidR="003F2154" w:rsidRDefault="003F2154" w:rsidP="003F2154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851E72" w:rsidRDefault="00F945F1" w:rsidP="00F945F1">
      <w:pPr>
        <w:numPr>
          <w:ilvl w:val="0"/>
          <w:numId w:val="4"/>
        </w:numPr>
        <w:tabs>
          <w:tab w:val="clear" w:pos="1985"/>
          <w:tab w:val="left" w:pos="1418"/>
          <w:tab w:val="left" w:pos="2160"/>
        </w:tabs>
        <w:spacing w:line="360" w:lineRule="auto"/>
        <w:ind w:left="2160" w:hanging="742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</w:t>
      </w:r>
      <w:r w:rsidR="003F2154">
        <w:rPr>
          <w:bCs/>
          <w:sz w:val="28"/>
          <w:lang w:val="en-GB"/>
        </w:rPr>
        <w:t>he power to set aside a regular default judgment</w:t>
      </w:r>
      <w:r>
        <w:rPr>
          <w:bCs/>
          <w:sz w:val="28"/>
          <w:lang w:val="en-GB"/>
        </w:rPr>
        <w:t xml:space="preserve"> </w:t>
      </w:r>
      <w:r w:rsidR="006000E4">
        <w:rPr>
          <w:bCs/>
          <w:sz w:val="28"/>
          <w:lang w:val="en-GB"/>
        </w:rPr>
        <w:t xml:space="preserve">is </w:t>
      </w:r>
      <w:r w:rsidR="003F2154">
        <w:rPr>
          <w:bCs/>
          <w:sz w:val="28"/>
          <w:lang w:val="en-GB"/>
        </w:rPr>
        <w:t>discretionary and</w:t>
      </w:r>
      <w:r>
        <w:rPr>
          <w:bCs/>
          <w:sz w:val="28"/>
          <w:lang w:val="en-GB"/>
        </w:rPr>
        <w:t xml:space="preserve"> </w:t>
      </w:r>
      <w:r w:rsidR="003F2154">
        <w:rPr>
          <w:bCs/>
          <w:sz w:val="28"/>
          <w:lang w:val="en-GB"/>
        </w:rPr>
        <w:t>unconditional</w:t>
      </w:r>
      <w:r w:rsidR="00851E72">
        <w:rPr>
          <w:bCs/>
          <w:sz w:val="28"/>
          <w:lang w:val="en-GB"/>
        </w:rPr>
        <w:t>;</w:t>
      </w:r>
    </w:p>
    <w:p w:rsidR="00851E72" w:rsidRDefault="00851E72" w:rsidP="00F945F1">
      <w:pPr>
        <w:tabs>
          <w:tab w:val="left" w:pos="1418"/>
          <w:tab w:val="left" w:pos="2160"/>
        </w:tabs>
        <w:spacing w:line="360" w:lineRule="auto"/>
        <w:jc w:val="both"/>
        <w:rPr>
          <w:bCs/>
          <w:sz w:val="28"/>
          <w:lang w:val="en-GB"/>
        </w:rPr>
      </w:pPr>
    </w:p>
    <w:p w:rsidR="00851E72" w:rsidRDefault="006000E4" w:rsidP="00F945F1">
      <w:pPr>
        <w:numPr>
          <w:ilvl w:val="0"/>
          <w:numId w:val="4"/>
        </w:numPr>
        <w:tabs>
          <w:tab w:val="clear" w:pos="1985"/>
          <w:tab w:val="left" w:pos="1418"/>
          <w:tab w:val="left" w:pos="2160"/>
        </w:tabs>
        <w:spacing w:line="360" w:lineRule="auto"/>
        <w:ind w:left="2160" w:hanging="742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</w:t>
      </w:r>
      <w:r w:rsidR="003F2154">
        <w:rPr>
          <w:bCs/>
          <w:sz w:val="28"/>
          <w:lang w:val="en-GB"/>
        </w:rPr>
        <w:t xml:space="preserve">he major consideration is whether </w:t>
      </w:r>
      <w:r w:rsidR="0022754A">
        <w:rPr>
          <w:bCs/>
          <w:sz w:val="28"/>
          <w:lang w:val="en-GB"/>
        </w:rPr>
        <w:t xml:space="preserve">the defendant has shown a defence on the merits to which </w:t>
      </w:r>
      <w:r w:rsidR="00E558F7">
        <w:rPr>
          <w:bCs/>
          <w:sz w:val="28"/>
          <w:lang w:val="en-GB"/>
        </w:rPr>
        <w:t>the court should pay heed</w:t>
      </w:r>
      <w:r w:rsidR="00851E72">
        <w:rPr>
          <w:bCs/>
          <w:sz w:val="28"/>
          <w:lang w:val="en-GB"/>
        </w:rPr>
        <w:t xml:space="preserve">; </w:t>
      </w:r>
    </w:p>
    <w:p w:rsidR="00851E72" w:rsidRDefault="00851E72" w:rsidP="00F945F1">
      <w:pPr>
        <w:tabs>
          <w:tab w:val="left" w:pos="1418"/>
          <w:tab w:val="left" w:pos="2160"/>
        </w:tabs>
        <w:spacing w:line="360" w:lineRule="auto"/>
        <w:jc w:val="both"/>
        <w:rPr>
          <w:bCs/>
          <w:sz w:val="28"/>
          <w:lang w:val="en-GB"/>
        </w:rPr>
      </w:pPr>
    </w:p>
    <w:p w:rsidR="00851E72" w:rsidRDefault="00851E72" w:rsidP="00F945F1">
      <w:pPr>
        <w:numPr>
          <w:ilvl w:val="0"/>
          <w:numId w:val="4"/>
        </w:numPr>
        <w:tabs>
          <w:tab w:val="clear" w:pos="1985"/>
          <w:tab w:val="left" w:pos="1418"/>
          <w:tab w:val="left" w:pos="2160"/>
        </w:tabs>
        <w:spacing w:line="360" w:lineRule="auto"/>
        <w:ind w:left="2160" w:hanging="742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</w:t>
      </w:r>
      <w:r w:rsidR="00E558F7">
        <w:rPr>
          <w:bCs/>
          <w:sz w:val="28"/>
          <w:lang w:val="en-GB"/>
        </w:rPr>
        <w:t xml:space="preserve">he court will not prima facie </w:t>
      </w:r>
      <w:r w:rsidR="00336406">
        <w:rPr>
          <w:bCs/>
          <w:sz w:val="28"/>
          <w:lang w:val="en-GB"/>
        </w:rPr>
        <w:t xml:space="preserve">desire to let a judgment </w:t>
      </w:r>
      <w:r w:rsidR="009E56BA">
        <w:rPr>
          <w:bCs/>
          <w:sz w:val="28"/>
          <w:lang w:val="en-GB"/>
        </w:rPr>
        <w:t xml:space="preserve">pass on which there has been </w:t>
      </w:r>
      <w:r w:rsidR="000A2B90">
        <w:rPr>
          <w:bCs/>
          <w:sz w:val="28"/>
          <w:lang w:val="en-GB"/>
        </w:rPr>
        <w:t>no proper adjudication</w:t>
      </w:r>
      <w:r>
        <w:rPr>
          <w:bCs/>
          <w:sz w:val="28"/>
          <w:lang w:val="en-GB"/>
        </w:rPr>
        <w:t>;</w:t>
      </w:r>
    </w:p>
    <w:p w:rsidR="00851E72" w:rsidRDefault="00851E72" w:rsidP="00F945F1">
      <w:pPr>
        <w:tabs>
          <w:tab w:val="left" w:pos="1418"/>
          <w:tab w:val="left" w:pos="2160"/>
        </w:tabs>
        <w:spacing w:line="360" w:lineRule="auto"/>
        <w:jc w:val="both"/>
        <w:rPr>
          <w:bCs/>
          <w:sz w:val="28"/>
          <w:lang w:val="en-GB"/>
        </w:rPr>
      </w:pPr>
    </w:p>
    <w:p w:rsidR="003F2154" w:rsidRDefault="00F872DC" w:rsidP="00F945F1">
      <w:pPr>
        <w:numPr>
          <w:ilvl w:val="0"/>
          <w:numId w:val="4"/>
        </w:numPr>
        <w:tabs>
          <w:tab w:val="clear" w:pos="1985"/>
          <w:tab w:val="left" w:pos="1418"/>
          <w:tab w:val="left" w:pos="2160"/>
        </w:tabs>
        <w:spacing w:line="360" w:lineRule="auto"/>
        <w:ind w:left="2160" w:hanging="742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It is not sufficient to show a merely </w:t>
      </w:r>
      <w:r w:rsidR="00851E72">
        <w:rPr>
          <w:bCs/>
          <w:sz w:val="28"/>
          <w:lang w:val="en-GB"/>
        </w:rPr>
        <w:t>‘</w:t>
      </w:r>
      <w:r w:rsidR="00CA3273">
        <w:rPr>
          <w:bCs/>
          <w:sz w:val="28"/>
          <w:lang w:val="en-GB"/>
        </w:rPr>
        <w:t>arguable</w:t>
      </w:r>
      <w:r w:rsidR="00851E72">
        <w:rPr>
          <w:bCs/>
          <w:sz w:val="28"/>
          <w:lang w:val="en-GB"/>
        </w:rPr>
        <w:t>’</w:t>
      </w:r>
      <w:r w:rsidR="00CA3273">
        <w:rPr>
          <w:bCs/>
          <w:sz w:val="28"/>
          <w:lang w:val="en-GB"/>
        </w:rPr>
        <w:t xml:space="preserve"> defence</w:t>
      </w:r>
      <w:r w:rsidR="00851E72">
        <w:rPr>
          <w:bCs/>
          <w:sz w:val="28"/>
          <w:lang w:val="en-GB"/>
        </w:rPr>
        <w:t xml:space="preserve">.  </w:t>
      </w:r>
      <w:r w:rsidR="00CA3273">
        <w:rPr>
          <w:bCs/>
          <w:sz w:val="28"/>
          <w:lang w:val="en-GB"/>
        </w:rPr>
        <w:t>The defendant must show that he has a real prospect of success.</w:t>
      </w:r>
    </w:p>
    <w:p w:rsidR="00B17211" w:rsidRDefault="00B17211" w:rsidP="00B1721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B17211" w:rsidRDefault="00EE5081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court will also have </w:t>
      </w:r>
      <w:r w:rsidR="00BE5C96">
        <w:rPr>
          <w:bCs/>
          <w:sz w:val="28"/>
          <w:lang w:val="en-GB"/>
        </w:rPr>
        <w:t xml:space="preserve">regard to all </w:t>
      </w:r>
      <w:r w:rsidR="008F7C65">
        <w:rPr>
          <w:bCs/>
          <w:sz w:val="28"/>
          <w:lang w:val="en-GB"/>
        </w:rPr>
        <w:t xml:space="preserve">relevant circumstances, such as </w:t>
      </w:r>
      <w:r w:rsidR="00851E72">
        <w:rPr>
          <w:bCs/>
          <w:sz w:val="28"/>
          <w:lang w:val="en-GB"/>
        </w:rPr>
        <w:t>why the default occurred;</w:t>
      </w:r>
      <w:r w:rsidR="00497090">
        <w:rPr>
          <w:bCs/>
          <w:sz w:val="28"/>
          <w:lang w:val="en-GB"/>
        </w:rPr>
        <w:t xml:space="preserve"> the defendant’s conduct after h</w:t>
      </w:r>
      <w:r w:rsidR="00851E72">
        <w:rPr>
          <w:bCs/>
          <w:sz w:val="28"/>
          <w:lang w:val="en-GB"/>
        </w:rPr>
        <w:t>e had notice of the proceedings;</w:t>
      </w:r>
      <w:r w:rsidR="00497090">
        <w:rPr>
          <w:bCs/>
          <w:sz w:val="28"/>
          <w:lang w:val="en-GB"/>
        </w:rPr>
        <w:t xml:space="preserve"> explanation for any delay </w:t>
      </w:r>
      <w:r w:rsidR="00F634F8">
        <w:rPr>
          <w:bCs/>
          <w:sz w:val="28"/>
          <w:lang w:val="en-GB"/>
        </w:rPr>
        <w:t xml:space="preserve">in making the </w:t>
      </w:r>
      <w:r w:rsidR="00F634F8">
        <w:rPr>
          <w:bCs/>
          <w:sz w:val="28"/>
          <w:lang w:val="en-GB"/>
        </w:rPr>
        <w:lastRenderedPageBreak/>
        <w:t>application</w:t>
      </w:r>
      <w:r w:rsidR="00851E72">
        <w:rPr>
          <w:bCs/>
          <w:sz w:val="28"/>
          <w:lang w:val="en-GB"/>
        </w:rPr>
        <w:t xml:space="preserve"> to set aside the judgment;</w:t>
      </w:r>
      <w:r w:rsidR="00F634F8">
        <w:rPr>
          <w:bCs/>
          <w:sz w:val="28"/>
          <w:lang w:val="en-GB"/>
        </w:rPr>
        <w:t xml:space="preserve"> </w:t>
      </w:r>
      <w:r w:rsidR="00F945F1">
        <w:rPr>
          <w:bCs/>
          <w:sz w:val="28"/>
          <w:lang w:val="en-GB"/>
        </w:rPr>
        <w:t>and any p</w:t>
      </w:r>
      <w:r w:rsidR="00F634F8">
        <w:rPr>
          <w:bCs/>
          <w:sz w:val="28"/>
          <w:lang w:val="en-GB"/>
        </w:rPr>
        <w:t xml:space="preserve">rejudice caused to </w:t>
      </w:r>
      <w:r w:rsidR="00B17211">
        <w:rPr>
          <w:bCs/>
          <w:sz w:val="28"/>
          <w:lang w:val="en-GB"/>
        </w:rPr>
        <w:t>the plaintiff</w:t>
      </w:r>
      <w:r w:rsidR="0062204B">
        <w:rPr>
          <w:bCs/>
          <w:sz w:val="28"/>
          <w:lang w:val="en-GB"/>
        </w:rPr>
        <w:t xml:space="preserve">.  </w:t>
      </w:r>
      <w:r w:rsidR="00B17211">
        <w:rPr>
          <w:bCs/>
          <w:sz w:val="28"/>
          <w:lang w:val="en-GB"/>
        </w:rPr>
        <w:t>These</w:t>
      </w:r>
      <w:r w:rsidR="0062204B">
        <w:rPr>
          <w:bCs/>
          <w:sz w:val="28"/>
          <w:lang w:val="en-GB"/>
        </w:rPr>
        <w:t xml:space="preserve"> </w:t>
      </w:r>
      <w:r w:rsidR="00B17211">
        <w:rPr>
          <w:bCs/>
          <w:sz w:val="28"/>
          <w:lang w:val="en-GB"/>
        </w:rPr>
        <w:t>factors will</w:t>
      </w:r>
      <w:r w:rsidR="0062204B">
        <w:rPr>
          <w:bCs/>
          <w:sz w:val="28"/>
          <w:lang w:val="en-GB"/>
        </w:rPr>
        <w:t xml:space="preserve"> </w:t>
      </w:r>
      <w:r w:rsidR="00B17211">
        <w:rPr>
          <w:bCs/>
          <w:sz w:val="28"/>
          <w:lang w:val="en-GB"/>
        </w:rPr>
        <w:t>be weighed against the dominant factor of the merits</w:t>
      </w:r>
      <w:r w:rsidR="0062204B">
        <w:rPr>
          <w:bCs/>
          <w:sz w:val="28"/>
          <w:lang w:val="en-GB"/>
        </w:rPr>
        <w:t xml:space="preserve"> </w:t>
      </w:r>
      <w:r w:rsidR="00B17211">
        <w:rPr>
          <w:bCs/>
          <w:sz w:val="28"/>
          <w:lang w:val="en-GB"/>
        </w:rPr>
        <w:t>to see where the justice of the case lies.</w:t>
      </w:r>
    </w:p>
    <w:p w:rsidR="007B2D63" w:rsidRDefault="007B2D63" w:rsidP="007B2D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F2154" w:rsidRDefault="00B17211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 would also refer to the following </w:t>
      </w:r>
      <w:r w:rsidR="002901EF">
        <w:rPr>
          <w:bCs/>
          <w:sz w:val="28"/>
          <w:lang w:val="en-GB"/>
        </w:rPr>
        <w:t>part of paragraph</w:t>
      </w:r>
      <w:r w:rsidR="0062204B">
        <w:rPr>
          <w:bCs/>
          <w:sz w:val="28"/>
          <w:lang w:val="en-GB"/>
        </w:rPr>
        <w:t xml:space="preserve"> 13/9/14</w:t>
      </w:r>
      <w:r w:rsidR="002901EF">
        <w:rPr>
          <w:bCs/>
          <w:sz w:val="28"/>
          <w:lang w:val="en-GB"/>
        </w:rPr>
        <w:t>, that is,</w:t>
      </w:r>
    </w:p>
    <w:p w:rsidR="007B2D63" w:rsidRPr="00E74D9C" w:rsidRDefault="007B2D63" w:rsidP="00E74D9C">
      <w:pPr>
        <w:tabs>
          <w:tab w:val="left" w:pos="1418"/>
        </w:tabs>
        <w:jc w:val="both"/>
        <w:rPr>
          <w:bCs/>
          <w:lang w:val="en-GB"/>
        </w:rPr>
      </w:pPr>
    </w:p>
    <w:p w:rsidR="002901EF" w:rsidRPr="00E74D9C" w:rsidRDefault="007B2D63" w:rsidP="00E74D9C">
      <w:pPr>
        <w:tabs>
          <w:tab w:val="left" w:pos="1418"/>
        </w:tabs>
        <w:ind w:left="1418"/>
        <w:jc w:val="both"/>
        <w:rPr>
          <w:bCs/>
          <w:lang w:val="en-GB"/>
        </w:rPr>
      </w:pPr>
      <w:r w:rsidRPr="00E74D9C">
        <w:rPr>
          <w:bCs/>
          <w:lang w:val="en-GB"/>
        </w:rPr>
        <w:t>“</w:t>
      </w:r>
      <w:r w:rsidR="00851E72">
        <w:rPr>
          <w:bCs/>
          <w:lang w:val="en-GB"/>
        </w:rPr>
        <w:t>w</w:t>
      </w:r>
      <w:r w:rsidR="002901EF" w:rsidRPr="00E74D9C">
        <w:rPr>
          <w:bCs/>
          <w:lang w:val="en-GB"/>
        </w:rPr>
        <w:t xml:space="preserve">here the ultimate outcome </w:t>
      </w:r>
      <w:r w:rsidR="009C4DD2" w:rsidRPr="00E74D9C">
        <w:rPr>
          <w:bCs/>
          <w:lang w:val="en-GB"/>
        </w:rPr>
        <w:t xml:space="preserve">would depend on whose </w:t>
      </w:r>
      <w:r w:rsidR="005E1405" w:rsidRPr="00E74D9C">
        <w:rPr>
          <w:bCs/>
          <w:lang w:val="en-GB"/>
        </w:rPr>
        <w:t xml:space="preserve">evidence is believed and no </w:t>
      </w:r>
      <w:r w:rsidR="00AC1013" w:rsidRPr="00E74D9C">
        <w:rPr>
          <w:bCs/>
          <w:lang w:val="en-GB"/>
        </w:rPr>
        <w:t xml:space="preserve">provisional view of the probable outcome of the action can be formed without a trial, the appropriate </w:t>
      </w:r>
      <w:r w:rsidR="00242903" w:rsidRPr="00E74D9C">
        <w:rPr>
          <w:bCs/>
          <w:lang w:val="en-GB"/>
        </w:rPr>
        <w:t xml:space="preserve">test to determine whether </w:t>
      </w:r>
      <w:r w:rsidR="007E46A3" w:rsidRPr="00E74D9C">
        <w:rPr>
          <w:bCs/>
          <w:lang w:val="en-GB"/>
        </w:rPr>
        <w:t xml:space="preserve">the defendant has a real prospect of success </w:t>
      </w:r>
      <w:r w:rsidR="00B34E86" w:rsidRPr="00E74D9C">
        <w:rPr>
          <w:bCs/>
          <w:lang w:val="en-GB"/>
        </w:rPr>
        <w:t xml:space="preserve">is whether the defence </w:t>
      </w:r>
      <w:r w:rsidR="00851E72">
        <w:rPr>
          <w:bCs/>
          <w:lang w:val="en-GB"/>
        </w:rPr>
        <w:t>‘</w:t>
      </w:r>
      <w:r w:rsidR="00B34E86" w:rsidRPr="00E74D9C">
        <w:rPr>
          <w:bCs/>
          <w:lang w:val="en-GB"/>
        </w:rPr>
        <w:t>could well be established</w:t>
      </w:r>
      <w:r w:rsidR="00851E72">
        <w:rPr>
          <w:bCs/>
          <w:lang w:val="en-GB"/>
        </w:rPr>
        <w:t>’</w:t>
      </w:r>
      <w:r w:rsidR="00B34E86" w:rsidRPr="00E74D9C">
        <w:rPr>
          <w:bCs/>
          <w:lang w:val="en-GB"/>
        </w:rPr>
        <w:t xml:space="preserve"> </w:t>
      </w:r>
      <w:r w:rsidRPr="00E74D9C">
        <w:rPr>
          <w:bCs/>
          <w:lang w:val="en-GB"/>
        </w:rPr>
        <w:t>at trial.”</w:t>
      </w:r>
    </w:p>
    <w:p w:rsidR="007B2D63" w:rsidRDefault="007B2D63" w:rsidP="007B2D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57AA2" w:rsidRPr="0062204B" w:rsidRDefault="007B2D63" w:rsidP="0062204B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For argument purpose, both parties do have to refer to the </w:t>
      </w:r>
      <w:r w:rsidR="00CB62D7">
        <w:rPr>
          <w:bCs/>
          <w:sz w:val="28"/>
          <w:lang w:val="en-GB"/>
        </w:rPr>
        <w:t xml:space="preserve">terms of the </w:t>
      </w:r>
      <w:r w:rsidR="00D34F53">
        <w:rPr>
          <w:bCs/>
          <w:sz w:val="28"/>
          <w:lang w:val="en-GB"/>
        </w:rPr>
        <w:t>tenancy agreement.</w:t>
      </w:r>
      <w:r w:rsidR="0062204B">
        <w:rPr>
          <w:bCs/>
          <w:sz w:val="28"/>
          <w:lang w:val="en-GB"/>
        </w:rPr>
        <w:t xml:space="preserve">  </w:t>
      </w:r>
      <w:r w:rsidR="00357AA2" w:rsidRPr="0062204B">
        <w:rPr>
          <w:bCs/>
          <w:sz w:val="28"/>
          <w:lang w:val="en-GB"/>
        </w:rPr>
        <w:t>However, Miss Yu frankly admitted that the tenancy agreement has yet to be stamped and is, therefore, as yet inadmissible.</w:t>
      </w:r>
      <w:r w:rsidR="0062204B">
        <w:rPr>
          <w:bCs/>
          <w:sz w:val="28"/>
          <w:lang w:val="en-GB"/>
        </w:rPr>
        <w:t xml:space="preserve">  </w:t>
      </w:r>
      <w:r w:rsidR="00CB61AC" w:rsidRPr="0062204B">
        <w:rPr>
          <w:bCs/>
          <w:sz w:val="28"/>
          <w:lang w:val="en-GB"/>
        </w:rPr>
        <w:t xml:space="preserve">For the present purpose, however, both </w:t>
      </w:r>
      <w:r w:rsidR="00BB1C84" w:rsidRPr="0062204B">
        <w:rPr>
          <w:bCs/>
          <w:sz w:val="28"/>
          <w:lang w:val="en-GB"/>
        </w:rPr>
        <w:t xml:space="preserve">counsel agreed that </w:t>
      </w:r>
      <w:r w:rsidR="0015635C" w:rsidRPr="0062204B">
        <w:rPr>
          <w:bCs/>
          <w:sz w:val="28"/>
          <w:lang w:val="en-GB"/>
        </w:rPr>
        <w:t xml:space="preserve">I could look at the tenancy agreement de </w:t>
      </w:r>
      <w:proofErr w:type="spellStart"/>
      <w:r w:rsidR="0015635C" w:rsidRPr="0062204B">
        <w:rPr>
          <w:bCs/>
          <w:sz w:val="28"/>
          <w:lang w:val="en-GB"/>
        </w:rPr>
        <w:t>bene</w:t>
      </w:r>
      <w:proofErr w:type="spellEnd"/>
      <w:r w:rsidR="0015635C" w:rsidRPr="0062204B">
        <w:rPr>
          <w:bCs/>
          <w:sz w:val="28"/>
          <w:lang w:val="en-GB"/>
        </w:rPr>
        <w:t xml:space="preserve"> </w:t>
      </w:r>
      <w:proofErr w:type="spellStart"/>
      <w:r w:rsidR="0015635C" w:rsidRPr="0062204B">
        <w:rPr>
          <w:bCs/>
          <w:sz w:val="28"/>
          <w:lang w:val="en-GB"/>
        </w:rPr>
        <w:t>esse</w:t>
      </w:r>
      <w:proofErr w:type="spellEnd"/>
      <w:r w:rsidR="0015635C" w:rsidRPr="0062204B">
        <w:rPr>
          <w:bCs/>
          <w:sz w:val="28"/>
          <w:lang w:val="en-GB"/>
        </w:rPr>
        <w:t xml:space="preserve">.  </w:t>
      </w:r>
    </w:p>
    <w:p w:rsidR="0015635C" w:rsidRDefault="0015635C" w:rsidP="0015635C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15635C" w:rsidRDefault="0015635C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In her written submission, Miss Yu submit</w:t>
      </w:r>
      <w:r w:rsidR="0062204B">
        <w:rPr>
          <w:bCs/>
          <w:sz w:val="28"/>
          <w:lang w:val="en-GB"/>
        </w:rPr>
        <w:t xml:space="preserve">s </w:t>
      </w:r>
      <w:r>
        <w:rPr>
          <w:bCs/>
          <w:sz w:val="28"/>
          <w:lang w:val="en-GB"/>
        </w:rPr>
        <w:t xml:space="preserve">that there </w:t>
      </w:r>
      <w:r w:rsidR="0062204B">
        <w:rPr>
          <w:bCs/>
          <w:sz w:val="28"/>
          <w:lang w:val="en-GB"/>
        </w:rPr>
        <w:t>wa</w:t>
      </w:r>
      <w:r>
        <w:rPr>
          <w:bCs/>
          <w:sz w:val="28"/>
          <w:lang w:val="en-GB"/>
        </w:rPr>
        <w:t xml:space="preserve">s no factual evidence to </w:t>
      </w:r>
      <w:r w:rsidR="00C315E0">
        <w:rPr>
          <w:bCs/>
          <w:sz w:val="28"/>
          <w:lang w:val="en-GB"/>
        </w:rPr>
        <w:t xml:space="preserve">support </w:t>
      </w:r>
      <w:r w:rsidR="00B24349">
        <w:rPr>
          <w:bCs/>
          <w:sz w:val="28"/>
          <w:lang w:val="en-GB"/>
        </w:rPr>
        <w:t>the plaintiff’s allegation</w:t>
      </w:r>
      <w:r w:rsidR="00F40765">
        <w:rPr>
          <w:bCs/>
          <w:sz w:val="28"/>
          <w:lang w:val="en-GB"/>
        </w:rPr>
        <w:t xml:space="preserve">s such as photographs or discharge </w:t>
      </w:r>
      <w:r w:rsidR="001813E9">
        <w:rPr>
          <w:bCs/>
          <w:sz w:val="28"/>
          <w:lang w:val="en-GB"/>
        </w:rPr>
        <w:t xml:space="preserve">slip or medical reports arising from his admission </w:t>
      </w:r>
      <w:r w:rsidR="001461FD">
        <w:rPr>
          <w:bCs/>
          <w:sz w:val="28"/>
          <w:lang w:val="en-GB"/>
        </w:rPr>
        <w:t>to hospital on the date of the alleged incident</w:t>
      </w:r>
      <w:r w:rsidR="00001883">
        <w:rPr>
          <w:bCs/>
          <w:sz w:val="28"/>
          <w:lang w:val="en-GB"/>
        </w:rPr>
        <w:t>,</w:t>
      </w:r>
      <w:r w:rsidR="001461FD">
        <w:rPr>
          <w:bCs/>
          <w:sz w:val="28"/>
          <w:lang w:val="en-GB"/>
        </w:rPr>
        <w:t xml:space="preserve"> </w:t>
      </w:r>
      <w:r w:rsidR="00001883">
        <w:rPr>
          <w:bCs/>
          <w:sz w:val="28"/>
          <w:lang w:val="en-GB"/>
        </w:rPr>
        <w:t>w</w:t>
      </w:r>
      <w:r w:rsidR="001461FD">
        <w:rPr>
          <w:bCs/>
          <w:sz w:val="28"/>
          <w:lang w:val="en-GB"/>
        </w:rPr>
        <w:t xml:space="preserve">hile the medical reports </w:t>
      </w:r>
      <w:r w:rsidR="002D4B0B">
        <w:rPr>
          <w:bCs/>
          <w:sz w:val="28"/>
          <w:lang w:val="en-GB"/>
        </w:rPr>
        <w:t xml:space="preserve">disclosed so far </w:t>
      </w:r>
      <w:r w:rsidR="0062204B">
        <w:rPr>
          <w:bCs/>
          <w:sz w:val="28"/>
          <w:lang w:val="en-GB"/>
        </w:rPr>
        <w:t>did</w:t>
      </w:r>
      <w:r w:rsidR="002D4B0B">
        <w:rPr>
          <w:bCs/>
          <w:sz w:val="28"/>
          <w:lang w:val="en-GB"/>
        </w:rPr>
        <w:t xml:space="preserve"> </w:t>
      </w:r>
      <w:r w:rsidR="003B3A1A">
        <w:rPr>
          <w:bCs/>
          <w:sz w:val="28"/>
          <w:lang w:val="en-GB"/>
        </w:rPr>
        <w:t xml:space="preserve">not assist the plaintiff’s case that the alleged </w:t>
      </w:r>
      <w:r w:rsidR="00B85166">
        <w:rPr>
          <w:bCs/>
          <w:sz w:val="28"/>
          <w:lang w:val="en-GB"/>
        </w:rPr>
        <w:t>incident caused injury to the plaintiff</w:t>
      </w:r>
      <w:r w:rsidR="006123B8">
        <w:rPr>
          <w:bCs/>
          <w:sz w:val="28"/>
          <w:lang w:val="en-GB"/>
        </w:rPr>
        <w:t>.</w:t>
      </w:r>
    </w:p>
    <w:p w:rsidR="006123B8" w:rsidRDefault="006123B8" w:rsidP="006123B8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1461FD" w:rsidRDefault="00001883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As to liability, Miss Yu submitted that the defendant</w:t>
      </w:r>
      <w:r w:rsidR="006123B8">
        <w:rPr>
          <w:bCs/>
          <w:sz w:val="28"/>
          <w:lang w:val="en-GB"/>
        </w:rPr>
        <w:t xml:space="preserve">, as the landlord, </w:t>
      </w:r>
      <w:r w:rsidR="00161114">
        <w:rPr>
          <w:bCs/>
          <w:sz w:val="28"/>
          <w:lang w:val="en-GB"/>
        </w:rPr>
        <w:t xml:space="preserve">was not liable under Section 5 of the </w:t>
      </w:r>
      <w:r w:rsidR="00B406BA">
        <w:rPr>
          <w:bCs/>
          <w:sz w:val="28"/>
          <w:lang w:val="en-GB"/>
        </w:rPr>
        <w:t xml:space="preserve">Occupiers Liability Ordinance, Cap.314, absent a clause in the relevant tenancy agreement </w:t>
      </w:r>
      <w:r w:rsidR="00332026">
        <w:rPr>
          <w:bCs/>
          <w:sz w:val="28"/>
          <w:lang w:val="en-GB"/>
        </w:rPr>
        <w:t xml:space="preserve">imposing an obligation </w:t>
      </w:r>
      <w:r w:rsidR="00167EC4">
        <w:rPr>
          <w:bCs/>
          <w:sz w:val="28"/>
          <w:lang w:val="en-GB"/>
        </w:rPr>
        <w:t xml:space="preserve">on the defendant </w:t>
      </w:r>
      <w:r w:rsidR="00C321A3">
        <w:rPr>
          <w:bCs/>
          <w:sz w:val="28"/>
          <w:lang w:val="en-GB"/>
        </w:rPr>
        <w:t xml:space="preserve">to repair.  She </w:t>
      </w:r>
      <w:r w:rsidR="00255E12">
        <w:rPr>
          <w:bCs/>
          <w:sz w:val="28"/>
          <w:lang w:val="en-GB"/>
        </w:rPr>
        <w:t xml:space="preserve">referred to Clause 10, which only imposed </w:t>
      </w:r>
      <w:r w:rsidR="00586882">
        <w:rPr>
          <w:bCs/>
          <w:sz w:val="28"/>
          <w:lang w:val="en-GB"/>
        </w:rPr>
        <w:t xml:space="preserve">a duty to </w:t>
      </w:r>
      <w:r w:rsidR="0062204B">
        <w:rPr>
          <w:bCs/>
          <w:sz w:val="28"/>
          <w:lang w:val="en-GB"/>
        </w:rPr>
        <w:t xml:space="preserve">repair on the tenant’s part </w:t>
      </w:r>
      <w:r w:rsidR="00586882">
        <w:rPr>
          <w:bCs/>
          <w:sz w:val="28"/>
          <w:lang w:val="en-GB"/>
        </w:rPr>
        <w:t xml:space="preserve">in respect of </w:t>
      </w:r>
      <w:r w:rsidR="00586882">
        <w:rPr>
          <w:bCs/>
          <w:sz w:val="28"/>
          <w:lang w:val="en-GB"/>
        </w:rPr>
        <w:lastRenderedPageBreak/>
        <w:t xml:space="preserve">windows </w:t>
      </w:r>
      <w:r w:rsidR="0062204B">
        <w:rPr>
          <w:bCs/>
          <w:sz w:val="28"/>
          <w:lang w:val="en-GB"/>
        </w:rPr>
        <w:t xml:space="preserve">DCCJ 5148/2004 unreported, 27 April 2006 </w:t>
      </w:r>
      <w:r w:rsidR="00586882">
        <w:rPr>
          <w:bCs/>
          <w:sz w:val="28"/>
          <w:lang w:val="en-GB"/>
        </w:rPr>
        <w:t xml:space="preserve">and fittings in the kitchen </w:t>
      </w:r>
      <w:r w:rsidR="00FA0A29">
        <w:rPr>
          <w:bCs/>
          <w:sz w:val="28"/>
          <w:lang w:val="en-GB"/>
        </w:rPr>
        <w:t>and bathroom.</w:t>
      </w:r>
    </w:p>
    <w:p w:rsidR="009A1828" w:rsidRDefault="009A1828" w:rsidP="009A1828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9A1828" w:rsidRPr="00205BD1" w:rsidRDefault="00FA0A29" w:rsidP="00205BD1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She relied on </w:t>
      </w:r>
      <w:r w:rsidR="009A1828" w:rsidRPr="00E74D9C">
        <w:rPr>
          <w:bCs/>
          <w:i/>
          <w:sz w:val="28"/>
          <w:lang w:val="en-GB"/>
        </w:rPr>
        <w:t xml:space="preserve">Lai Kin </w:t>
      </w:r>
      <w:proofErr w:type="gramStart"/>
      <w:r w:rsidR="009A1828" w:rsidRPr="00E74D9C">
        <w:rPr>
          <w:bCs/>
          <w:i/>
          <w:sz w:val="28"/>
          <w:lang w:val="en-GB"/>
        </w:rPr>
        <w:t>On</w:t>
      </w:r>
      <w:proofErr w:type="gramEnd"/>
      <w:r w:rsidR="009A1828" w:rsidRPr="00E74D9C">
        <w:rPr>
          <w:bCs/>
          <w:i/>
          <w:sz w:val="28"/>
          <w:lang w:val="en-GB"/>
        </w:rPr>
        <w:t xml:space="preserve"> Jacky &amp; An</w:t>
      </w:r>
      <w:r w:rsidR="00B147CB">
        <w:rPr>
          <w:bCs/>
          <w:i/>
          <w:sz w:val="28"/>
          <w:lang w:val="en-GB"/>
        </w:rPr>
        <w:t>othe</w:t>
      </w:r>
      <w:r w:rsidR="009A1828" w:rsidRPr="00E74D9C">
        <w:rPr>
          <w:bCs/>
          <w:i/>
          <w:sz w:val="28"/>
          <w:lang w:val="en-GB"/>
        </w:rPr>
        <w:t>r</w:t>
      </w:r>
      <w:r w:rsidR="0062204B">
        <w:rPr>
          <w:bCs/>
          <w:i/>
          <w:sz w:val="28"/>
          <w:lang w:val="en-GB"/>
        </w:rPr>
        <w:t xml:space="preserve"> v </w:t>
      </w:r>
      <w:proofErr w:type="spellStart"/>
      <w:r w:rsidR="0062204B">
        <w:rPr>
          <w:bCs/>
          <w:i/>
          <w:sz w:val="28"/>
          <w:lang w:val="en-GB"/>
        </w:rPr>
        <w:t>Sajjad-Haider</w:t>
      </w:r>
      <w:proofErr w:type="spellEnd"/>
      <w:r w:rsidR="009A1828">
        <w:rPr>
          <w:bCs/>
          <w:sz w:val="28"/>
          <w:lang w:val="en-GB"/>
        </w:rPr>
        <w:t>, regarding the absence of an implied obligation to repair on the landlord’s part.</w:t>
      </w:r>
      <w:r w:rsidR="00205BD1">
        <w:rPr>
          <w:bCs/>
          <w:sz w:val="28"/>
          <w:lang w:val="en-GB"/>
        </w:rPr>
        <w:t xml:space="preserve">  </w:t>
      </w:r>
      <w:r w:rsidR="009A1828" w:rsidRPr="00205BD1">
        <w:rPr>
          <w:bCs/>
          <w:sz w:val="28"/>
          <w:lang w:val="en-GB"/>
        </w:rPr>
        <w:t xml:space="preserve">Miss Yu further referred to the </w:t>
      </w:r>
      <w:r w:rsidR="005935FA" w:rsidRPr="00205BD1">
        <w:rPr>
          <w:bCs/>
          <w:sz w:val="28"/>
          <w:lang w:val="en-GB"/>
        </w:rPr>
        <w:t xml:space="preserve">absence of prior reports of </w:t>
      </w:r>
      <w:r w:rsidR="00DE64CD" w:rsidRPr="00205BD1">
        <w:rPr>
          <w:bCs/>
          <w:sz w:val="28"/>
          <w:lang w:val="en-GB"/>
        </w:rPr>
        <w:t xml:space="preserve">problems by the plaintiff to </w:t>
      </w:r>
      <w:r w:rsidR="00E12FB0" w:rsidRPr="00205BD1">
        <w:rPr>
          <w:bCs/>
          <w:sz w:val="28"/>
          <w:lang w:val="en-GB"/>
        </w:rPr>
        <w:t xml:space="preserve">the defendant and the fact that </w:t>
      </w:r>
      <w:r w:rsidR="007C3A0E" w:rsidRPr="00205BD1">
        <w:rPr>
          <w:bCs/>
          <w:sz w:val="28"/>
          <w:lang w:val="en-GB"/>
        </w:rPr>
        <w:t>the plaintiff did not inform the defendant of the alleged incident immediately afterwards.</w:t>
      </w:r>
    </w:p>
    <w:p w:rsidR="008D2721" w:rsidRDefault="008D2721" w:rsidP="008D272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453A4B" w:rsidRPr="00205BD1" w:rsidRDefault="008D2721" w:rsidP="00205BD1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On the question of delay, Miss Yu submitted that there was no </w:t>
      </w:r>
      <w:r w:rsidR="00C317C5">
        <w:rPr>
          <w:bCs/>
          <w:sz w:val="28"/>
          <w:lang w:val="en-GB"/>
        </w:rPr>
        <w:t>delay on the defendant’s part in taking out the present application</w:t>
      </w:r>
      <w:r w:rsidR="0025753A">
        <w:rPr>
          <w:bCs/>
          <w:sz w:val="28"/>
          <w:lang w:val="en-GB"/>
        </w:rPr>
        <w:t xml:space="preserve"> and any delay to these proceedings would not </w:t>
      </w:r>
      <w:r w:rsidR="00453A4B">
        <w:rPr>
          <w:bCs/>
          <w:sz w:val="28"/>
          <w:lang w:val="en-GB"/>
        </w:rPr>
        <w:t>be significant.</w:t>
      </w:r>
      <w:r w:rsidR="00205BD1">
        <w:rPr>
          <w:bCs/>
          <w:sz w:val="28"/>
          <w:lang w:val="en-GB"/>
        </w:rPr>
        <w:t xml:space="preserve">  </w:t>
      </w:r>
      <w:r w:rsidR="00453A4B" w:rsidRPr="00205BD1">
        <w:rPr>
          <w:bCs/>
          <w:sz w:val="28"/>
          <w:lang w:val="en-GB"/>
        </w:rPr>
        <w:t xml:space="preserve">She also referred to the absence of any reference in the plaintiff’s affirmation to any prejudice caused </w:t>
      </w:r>
      <w:r w:rsidR="00114101" w:rsidRPr="00205BD1">
        <w:rPr>
          <w:bCs/>
          <w:sz w:val="28"/>
          <w:lang w:val="en-GB"/>
        </w:rPr>
        <w:t xml:space="preserve">to him or reference to </w:t>
      </w:r>
      <w:r w:rsidR="00205BD1">
        <w:rPr>
          <w:bCs/>
          <w:sz w:val="28"/>
          <w:lang w:val="en-GB"/>
        </w:rPr>
        <w:t xml:space="preserve">any </w:t>
      </w:r>
      <w:r w:rsidR="00114101" w:rsidRPr="00205BD1">
        <w:rPr>
          <w:bCs/>
          <w:sz w:val="28"/>
          <w:lang w:val="en-GB"/>
        </w:rPr>
        <w:t>lack of merits in the defence case.</w:t>
      </w:r>
    </w:p>
    <w:p w:rsidR="005638A0" w:rsidRDefault="005638A0" w:rsidP="005638A0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114101" w:rsidRDefault="00114101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From the plaintiff’s </w:t>
      </w:r>
      <w:r w:rsidR="001A3017">
        <w:rPr>
          <w:bCs/>
          <w:sz w:val="28"/>
          <w:lang w:val="en-GB"/>
        </w:rPr>
        <w:t xml:space="preserve">belated affirmation, it is now clear that </w:t>
      </w:r>
      <w:r w:rsidR="005638A0">
        <w:rPr>
          <w:bCs/>
          <w:sz w:val="28"/>
          <w:lang w:val="en-GB"/>
        </w:rPr>
        <w:t xml:space="preserve">the plaintiff’s solicitors in fact served a list of documents along with the pleadings on 27 September 2013, which includes, inter alia, what appears to be a </w:t>
      </w:r>
      <w:r w:rsidR="00E72D5A">
        <w:rPr>
          <w:bCs/>
          <w:sz w:val="28"/>
          <w:lang w:val="en-GB"/>
        </w:rPr>
        <w:t xml:space="preserve">note of ambulance men dated 3 August 2013 recording </w:t>
      </w:r>
      <w:r w:rsidR="005335AA">
        <w:rPr>
          <w:bCs/>
          <w:sz w:val="28"/>
          <w:lang w:val="en-GB"/>
        </w:rPr>
        <w:t>the plaintiff’s head injury</w:t>
      </w:r>
      <w:r w:rsidR="00C40FA8">
        <w:rPr>
          <w:bCs/>
          <w:sz w:val="28"/>
          <w:lang w:val="en-GB"/>
        </w:rPr>
        <w:t xml:space="preserve"> caused by cement falling from the ceiling while at home, as well as a discharge summary of </w:t>
      </w:r>
      <w:r w:rsidR="00865B56">
        <w:rPr>
          <w:bCs/>
          <w:sz w:val="28"/>
          <w:lang w:val="en-GB"/>
        </w:rPr>
        <w:t xml:space="preserve">4 August </w:t>
      </w:r>
      <w:r w:rsidR="00A4541F">
        <w:rPr>
          <w:bCs/>
          <w:sz w:val="28"/>
          <w:lang w:val="en-GB"/>
        </w:rPr>
        <w:t>2012.</w:t>
      </w:r>
    </w:p>
    <w:p w:rsidR="00A4541F" w:rsidRDefault="00A4541F" w:rsidP="00A4541F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9A1828" w:rsidRDefault="00A4541F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In his submission in reply, Mr Jackson </w:t>
      </w:r>
      <w:proofErr w:type="spellStart"/>
      <w:r>
        <w:rPr>
          <w:bCs/>
          <w:sz w:val="28"/>
          <w:lang w:val="en-GB"/>
        </w:rPr>
        <w:t>Poon</w:t>
      </w:r>
      <w:proofErr w:type="spellEnd"/>
      <w:r>
        <w:rPr>
          <w:bCs/>
          <w:sz w:val="28"/>
          <w:lang w:val="en-GB"/>
        </w:rPr>
        <w:t xml:space="preserve">, counsel for the plaintiff, submitted, first, in his written submission that it was incredible for the defendant not to have cleared the letterbox of the second address </w:t>
      </w:r>
      <w:r w:rsidR="00913C7C">
        <w:rPr>
          <w:bCs/>
          <w:sz w:val="28"/>
          <w:lang w:val="en-GB"/>
        </w:rPr>
        <w:t>between the date of the first pre-action letter</w:t>
      </w:r>
      <w:r w:rsidR="001A2158">
        <w:rPr>
          <w:bCs/>
          <w:sz w:val="28"/>
          <w:lang w:val="en-GB"/>
        </w:rPr>
        <w:t xml:space="preserve"> (that is, 23 August 2012) </w:t>
      </w:r>
      <w:r w:rsidR="00A93AC0">
        <w:rPr>
          <w:bCs/>
          <w:sz w:val="28"/>
          <w:lang w:val="en-GB"/>
        </w:rPr>
        <w:t xml:space="preserve">and the day when the defendant’s husband opened the letterbox </w:t>
      </w:r>
      <w:r w:rsidR="003578DC">
        <w:rPr>
          <w:bCs/>
          <w:sz w:val="28"/>
          <w:lang w:val="en-GB"/>
        </w:rPr>
        <w:t xml:space="preserve">of the same address on </w:t>
      </w:r>
      <w:r w:rsidR="009A632A">
        <w:rPr>
          <w:bCs/>
          <w:sz w:val="28"/>
          <w:lang w:val="en-GB"/>
        </w:rPr>
        <w:t>26 September 2013.</w:t>
      </w:r>
    </w:p>
    <w:p w:rsidR="006C00F8" w:rsidRDefault="006C00F8" w:rsidP="006C00F8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150863" w:rsidRPr="001F66D3" w:rsidRDefault="009A632A" w:rsidP="005A59F7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 w:rsidRPr="001F66D3">
        <w:rPr>
          <w:bCs/>
          <w:sz w:val="28"/>
          <w:lang w:val="en-GB"/>
        </w:rPr>
        <w:lastRenderedPageBreak/>
        <w:t xml:space="preserve">He further submitted that there is no defence on liability </w:t>
      </w:r>
      <w:r w:rsidR="006C00F8" w:rsidRPr="001F66D3">
        <w:rPr>
          <w:bCs/>
          <w:sz w:val="28"/>
          <w:lang w:val="en-GB"/>
        </w:rPr>
        <w:t>on the part of the defendant.</w:t>
      </w:r>
      <w:r w:rsidR="00E56C9C" w:rsidRPr="001F66D3">
        <w:rPr>
          <w:bCs/>
          <w:sz w:val="28"/>
          <w:lang w:val="en-GB"/>
        </w:rPr>
        <w:t xml:space="preserve">  Reference </w:t>
      </w:r>
      <w:r w:rsidR="00D2245B" w:rsidRPr="001F66D3">
        <w:rPr>
          <w:bCs/>
          <w:sz w:val="28"/>
          <w:lang w:val="en-GB"/>
        </w:rPr>
        <w:t>wa</w:t>
      </w:r>
      <w:r w:rsidR="00E56C9C" w:rsidRPr="001F66D3">
        <w:rPr>
          <w:bCs/>
          <w:sz w:val="28"/>
          <w:lang w:val="en-GB"/>
        </w:rPr>
        <w:t xml:space="preserve">s made to Section 3 of </w:t>
      </w:r>
      <w:r w:rsidR="00D2245B" w:rsidRPr="001F66D3">
        <w:rPr>
          <w:bCs/>
          <w:sz w:val="28"/>
          <w:lang w:val="en-GB"/>
        </w:rPr>
        <w:t xml:space="preserve">Occupiers Liability Ordinance, </w:t>
      </w:r>
      <w:r w:rsidR="00E56C9C" w:rsidRPr="001F66D3">
        <w:rPr>
          <w:bCs/>
          <w:sz w:val="28"/>
          <w:lang w:val="en-GB"/>
        </w:rPr>
        <w:t>Cap.314, which impose</w:t>
      </w:r>
      <w:r w:rsidR="00D2245B" w:rsidRPr="001F66D3">
        <w:rPr>
          <w:bCs/>
          <w:sz w:val="28"/>
          <w:lang w:val="en-GB"/>
        </w:rPr>
        <w:t>s</w:t>
      </w:r>
      <w:r w:rsidR="00E56C9C" w:rsidRPr="001F66D3">
        <w:rPr>
          <w:bCs/>
          <w:sz w:val="28"/>
          <w:lang w:val="en-GB"/>
        </w:rPr>
        <w:t xml:space="preserve"> a general duty of care on occupiers.</w:t>
      </w:r>
      <w:r w:rsidR="00D2245B" w:rsidRPr="001F66D3">
        <w:rPr>
          <w:bCs/>
          <w:sz w:val="28"/>
          <w:lang w:val="en-GB"/>
        </w:rPr>
        <w:t xml:space="preserve">  </w:t>
      </w:r>
      <w:r w:rsidR="00E56C9C" w:rsidRPr="001F66D3">
        <w:rPr>
          <w:bCs/>
          <w:sz w:val="28"/>
          <w:lang w:val="en-GB"/>
        </w:rPr>
        <w:t xml:space="preserve">He relied on </w:t>
      </w:r>
      <w:r w:rsidR="00E56C9C" w:rsidRPr="001F66D3">
        <w:rPr>
          <w:bCs/>
          <w:i/>
          <w:sz w:val="28"/>
          <w:lang w:val="en-GB"/>
        </w:rPr>
        <w:t xml:space="preserve">Chung Man </w:t>
      </w:r>
      <w:proofErr w:type="spellStart"/>
      <w:r w:rsidR="00E56C9C" w:rsidRPr="001F66D3">
        <w:rPr>
          <w:bCs/>
          <w:i/>
          <w:sz w:val="28"/>
          <w:lang w:val="en-GB"/>
        </w:rPr>
        <w:t>Yau</w:t>
      </w:r>
      <w:proofErr w:type="spellEnd"/>
      <w:r w:rsidR="00D2245B" w:rsidRPr="001F66D3">
        <w:rPr>
          <w:bCs/>
          <w:i/>
          <w:sz w:val="28"/>
          <w:lang w:val="en-GB"/>
        </w:rPr>
        <w:t xml:space="preserve"> &amp; </w:t>
      </w:r>
      <w:proofErr w:type="spellStart"/>
      <w:r w:rsidR="00D2245B" w:rsidRPr="001F66D3">
        <w:rPr>
          <w:bCs/>
          <w:i/>
          <w:sz w:val="28"/>
          <w:lang w:val="en-GB"/>
        </w:rPr>
        <w:t>Anor</w:t>
      </w:r>
      <w:proofErr w:type="spellEnd"/>
      <w:r w:rsidR="00D2245B" w:rsidRPr="001F66D3">
        <w:rPr>
          <w:bCs/>
          <w:i/>
          <w:sz w:val="28"/>
          <w:lang w:val="en-GB"/>
        </w:rPr>
        <w:t xml:space="preserve"> </w:t>
      </w:r>
      <w:r w:rsidR="009C4567" w:rsidRPr="001F66D3">
        <w:rPr>
          <w:bCs/>
          <w:i/>
          <w:sz w:val="28"/>
          <w:lang w:val="en-GB"/>
        </w:rPr>
        <w:t xml:space="preserve">v </w:t>
      </w:r>
      <w:proofErr w:type="spellStart"/>
      <w:r w:rsidR="00D2245B" w:rsidRPr="001F66D3">
        <w:rPr>
          <w:bCs/>
          <w:i/>
          <w:sz w:val="28"/>
          <w:lang w:val="en-GB"/>
        </w:rPr>
        <w:t>Sihon</w:t>
      </w:r>
      <w:proofErr w:type="spellEnd"/>
      <w:r w:rsidR="00D2245B" w:rsidRPr="001F66D3">
        <w:rPr>
          <w:bCs/>
          <w:i/>
          <w:sz w:val="28"/>
          <w:lang w:val="en-GB"/>
        </w:rPr>
        <w:t xml:space="preserve"> Co Ltd </w:t>
      </w:r>
      <w:r w:rsidR="001F66D3" w:rsidRPr="001F66D3">
        <w:rPr>
          <w:rFonts w:hint="eastAsia"/>
          <w:bCs/>
          <w:sz w:val="28"/>
          <w:lang w:val="en-GB"/>
        </w:rPr>
        <w:t>(HCPI</w:t>
      </w:r>
      <w:r w:rsidR="001F66D3" w:rsidRPr="001F66D3">
        <w:rPr>
          <w:rFonts w:hint="eastAsia"/>
          <w:bCs/>
          <w:i/>
          <w:sz w:val="28"/>
          <w:lang w:val="en-GB"/>
        </w:rPr>
        <w:t xml:space="preserve"> </w:t>
      </w:r>
      <w:r w:rsidR="001F66D3" w:rsidRPr="001F66D3">
        <w:rPr>
          <w:rFonts w:hint="eastAsia"/>
          <w:bCs/>
          <w:sz w:val="28"/>
          <w:lang w:val="en-GB"/>
        </w:rPr>
        <w:t xml:space="preserve">117/1995) </w:t>
      </w:r>
      <w:r w:rsidR="00D2245B" w:rsidRPr="001F66D3">
        <w:rPr>
          <w:bCs/>
          <w:sz w:val="28"/>
          <w:lang w:val="en-GB"/>
        </w:rPr>
        <w:t>unreported,</w:t>
      </w:r>
      <w:r w:rsidR="00D2245B" w:rsidRPr="001F66D3">
        <w:rPr>
          <w:bCs/>
          <w:i/>
          <w:sz w:val="28"/>
          <w:lang w:val="en-GB"/>
        </w:rPr>
        <w:t xml:space="preserve"> </w:t>
      </w:r>
      <w:r w:rsidR="00D2245B" w:rsidRPr="001F66D3">
        <w:rPr>
          <w:bCs/>
          <w:sz w:val="28"/>
          <w:lang w:val="en-GB"/>
        </w:rPr>
        <w:t>9 Au</w:t>
      </w:r>
      <w:r w:rsidR="009C4567" w:rsidRPr="001F66D3">
        <w:rPr>
          <w:bCs/>
          <w:sz w:val="28"/>
          <w:lang w:val="en-GB"/>
        </w:rPr>
        <w:t>g</w:t>
      </w:r>
      <w:r w:rsidR="00D2245B" w:rsidRPr="001F66D3">
        <w:rPr>
          <w:bCs/>
          <w:sz w:val="28"/>
          <w:lang w:val="en-GB"/>
        </w:rPr>
        <w:t>ust 1996</w:t>
      </w:r>
      <w:r w:rsidR="001F66D3" w:rsidRPr="001F66D3">
        <w:rPr>
          <w:rFonts w:hint="eastAsia"/>
          <w:bCs/>
          <w:sz w:val="28"/>
          <w:lang w:val="en-GB"/>
        </w:rPr>
        <w:t>.</w:t>
      </w:r>
      <w:r w:rsidR="001F66D3">
        <w:rPr>
          <w:rFonts w:hint="eastAsia"/>
          <w:bCs/>
          <w:sz w:val="28"/>
          <w:lang w:val="en-GB"/>
        </w:rPr>
        <w:t xml:space="preserve">  </w:t>
      </w:r>
      <w:r w:rsidR="00E56C9C" w:rsidRPr="001F66D3">
        <w:rPr>
          <w:bCs/>
          <w:sz w:val="28"/>
          <w:lang w:val="en-GB"/>
        </w:rPr>
        <w:t xml:space="preserve">In this regard, Mr </w:t>
      </w:r>
      <w:proofErr w:type="spellStart"/>
      <w:r w:rsidR="00E56C9C" w:rsidRPr="001F66D3">
        <w:rPr>
          <w:bCs/>
          <w:sz w:val="28"/>
          <w:lang w:val="en-GB"/>
        </w:rPr>
        <w:t>Poon</w:t>
      </w:r>
      <w:proofErr w:type="spellEnd"/>
      <w:r w:rsidR="00E56C9C" w:rsidRPr="001F66D3">
        <w:rPr>
          <w:bCs/>
          <w:sz w:val="28"/>
          <w:lang w:val="en-GB"/>
        </w:rPr>
        <w:t xml:space="preserve"> submitted that the tenancy agreement </w:t>
      </w:r>
      <w:r w:rsidR="005872AC" w:rsidRPr="001F66D3">
        <w:rPr>
          <w:bCs/>
          <w:sz w:val="28"/>
          <w:lang w:val="en-GB"/>
        </w:rPr>
        <w:t>contain</w:t>
      </w:r>
      <w:r w:rsidR="001C5D69" w:rsidRPr="001F66D3">
        <w:rPr>
          <w:bCs/>
          <w:sz w:val="28"/>
          <w:lang w:val="en-GB"/>
        </w:rPr>
        <w:t>ed</w:t>
      </w:r>
      <w:r w:rsidR="005872AC" w:rsidRPr="001F66D3">
        <w:rPr>
          <w:bCs/>
          <w:sz w:val="28"/>
          <w:lang w:val="en-GB"/>
        </w:rPr>
        <w:t xml:space="preserve"> a right on the defendant’s </w:t>
      </w:r>
      <w:r w:rsidR="00150863" w:rsidRPr="001F66D3">
        <w:rPr>
          <w:bCs/>
          <w:sz w:val="28"/>
          <w:lang w:val="en-GB"/>
        </w:rPr>
        <w:t xml:space="preserve">part to inspect the property in question so that she </w:t>
      </w:r>
      <w:r w:rsidR="000124F0" w:rsidRPr="001F66D3">
        <w:rPr>
          <w:bCs/>
          <w:sz w:val="28"/>
          <w:lang w:val="en-GB"/>
        </w:rPr>
        <w:t xml:space="preserve">should be </w:t>
      </w:r>
      <w:r w:rsidR="00150863" w:rsidRPr="001F66D3">
        <w:rPr>
          <w:bCs/>
          <w:sz w:val="28"/>
          <w:lang w:val="en-GB"/>
        </w:rPr>
        <w:t xml:space="preserve">regarded as an occupier, hence a duty to make sure the place </w:t>
      </w:r>
      <w:r w:rsidR="005A59F7" w:rsidRPr="001F66D3">
        <w:rPr>
          <w:bCs/>
          <w:sz w:val="28"/>
          <w:lang w:val="en-GB"/>
        </w:rPr>
        <w:t xml:space="preserve">would be </w:t>
      </w:r>
      <w:r w:rsidR="00B75C36" w:rsidRPr="001F66D3">
        <w:rPr>
          <w:bCs/>
          <w:sz w:val="28"/>
          <w:lang w:val="en-GB"/>
        </w:rPr>
        <w:t xml:space="preserve">safe </w:t>
      </w:r>
      <w:r w:rsidR="00150863" w:rsidRPr="001F66D3">
        <w:rPr>
          <w:bCs/>
          <w:sz w:val="28"/>
          <w:lang w:val="en-GB"/>
        </w:rPr>
        <w:t>to visitors</w:t>
      </w:r>
      <w:r w:rsidR="00B75C36" w:rsidRPr="001F66D3">
        <w:rPr>
          <w:bCs/>
          <w:sz w:val="28"/>
          <w:lang w:val="en-GB"/>
        </w:rPr>
        <w:t>,</w:t>
      </w:r>
      <w:r w:rsidR="00150863" w:rsidRPr="001F66D3">
        <w:rPr>
          <w:bCs/>
          <w:sz w:val="28"/>
          <w:lang w:val="en-GB"/>
        </w:rPr>
        <w:t xml:space="preserve"> of whom the plaintiff was one.</w:t>
      </w:r>
      <w:r w:rsidR="005A59F7" w:rsidRPr="001F66D3">
        <w:rPr>
          <w:bCs/>
          <w:sz w:val="28"/>
          <w:lang w:val="en-GB"/>
        </w:rPr>
        <w:t xml:space="preserve">  </w:t>
      </w:r>
      <w:r w:rsidR="00B75C36" w:rsidRPr="001F66D3">
        <w:rPr>
          <w:bCs/>
          <w:sz w:val="28"/>
          <w:lang w:val="en-GB"/>
        </w:rPr>
        <w:t xml:space="preserve">Mr </w:t>
      </w:r>
      <w:proofErr w:type="spellStart"/>
      <w:r w:rsidR="00B75C36" w:rsidRPr="001F66D3">
        <w:rPr>
          <w:bCs/>
          <w:sz w:val="28"/>
          <w:lang w:val="en-GB"/>
        </w:rPr>
        <w:t>Poon</w:t>
      </w:r>
      <w:proofErr w:type="spellEnd"/>
      <w:r w:rsidR="00B75C36" w:rsidRPr="001F66D3">
        <w:rPr>
          <w:bCs/>
          <w:sz w:val="28"/>
          <w:lang w:val="en-GB"/>
        </w:rPr>
        <w:t xml:space="preserve"> submitted that the defendant should regularly enter the room to inspect the state of repair and it was her failure so to do that resulted in the incident.</w:t>
      </w:r>
    </w:p>
    <w:p w:rsidR="00EF58FE" w:rsidRDefault="00EF58FE" w:rsidP="00EF58FE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89776A" w:rsidRPr="005A59F7" w:rsidRDefault="00B75C36" w:rsidP="005A59F7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He referred to clause 12 of the tenancy agreement, which requires </w:t>
      </w:r>
      <w:r w:rsidR="00EF7839">
        <w:rPr>
          <w:bCs/>
          <w:sz w:val="28"/>
          <w:lang w:val="en-GB"/>
        </w:rPr>
        <w:t xml:space="preserve">the plaintiff not to disallow </w:t>
      </w:r>
      <w:r w:rsidR="00EF58FE">
        <w:rPr>
          <w:bCs/>
          <w:sz w:val="28"/>
          <w:lang w:val="en-GB"/>
        </w:rPr>
        <w:t xml:space="preserve">the defendant’s personnel to enter the room to inspect or carry out any repair works.  Clause 12, he submitted, implies a duty to </w:t>
      </w:r>
      <w:r w:rsidR="00F23448">
        <w:rPr>
          <w:bCs/>
          <w:sz w:val="28"/>
          <w:lang w:val="en-GB"/>
        </w:rPr>
        <w:t xml:space="preserve">repair on the defendant’s part.  </w:t>
      </w:r>
      <w:r w:rsidR="00F23448" w:rsidRPr="005A59F7">
        <w:rPr>
          <w:bCs/>
          <w:sz w:val="28"/>
          <w:lang w:val="en-GB"/>
        </w:rPr>
        <w:t xml:space="preserve">He also refers to </w:t>
      </w:r>
      <w:proofErr w:type="spellStart"/>
      <w:r w:rsidR="00A459EB" w:rsidRPr="005A59F7">
        <w:rPr>
          <w:bCs/>
          <w:sz w:val="28"/>
          <w:lang w:val="en-GB"/>
        </w:rPr>
        <w:t>Halsbury</w:t>
      </w:r>
      <w:proofErr w:type="spellEnd"/>
      <w:r w:rsidR="00A459EB" w:rsidRPr="005A59F7">
        <w:rPr>
          <w:bCs/>
          <w:sz w:val="28"/>
          <w:lang w:val="en-GB"/>
        </w:rPr>
        <w:t xml:space="preserve"> Laws of Hong Kong, </w:t>
      </w:r>
      <w:proofErr w:type="spellStart"/>
      <w:r w:rsidR="00A459EB" w:rsidRPr="005A59F7">
        <w:rPr>
          <w:bCs/>
          <w:sz w:val="28"/>
          <w:lang w:val="en-GB"/>
        </w:rPr>
        <w:t>Vol</w:t>
      </w:r>
      <w:proofErr w:type="spellEnd"/>
      <w:r w:rsidR="00A459EB" w:rsidRPr="005A59F7">
        <w:rPr>
          <w:bCs/>
          <w:sz w:val="28"/>
          <w:lang w:val="en-GB"/>
        </w:rPr>
        <w:t xml:space="preserve"> 17(1), 2007 </w:t>
      </w:r>
      <w:r w:rsidR="005A59F7">
        <w:rPr>
          <w:bCs/>
          <w:sz w:val="28"/>
          <w:lang w:val="en-GB"/>
        </w:rPr>
        <w:t>R</w:t>
      </w:r>
      <w:r w:rsidR="00A459EB" w:rsidRPr="005A59F7">
        <w:rPr>
          <w:bCs/>
          <w:sz w:val="28"/>
          <w:lang w:val="en-GB"/>
        </w:rPr>
        <w:t xml:space="preserve">eissue, paragraph </w:t>
      </w:r>
      <w:r w:rsidR="00CB060D" w:rsidRPr="005A59F7">
        <w:rPr>
          <w:bCs/>
          <w:sz w:val="28"/>
          <w:lang w:val="en-GB"/>
        </w:rPr>
        <w:t>235.289, which refer</w:t>
      </w:r>
      <w:r w:rsidR="005A59F7">
        <w:rPr>
          <w:bCs/>
          <w:sz w:val="28"/>
          <w:lang w:val="en-GB"/>
        </w:rPr>
        <w:t>s</w:t>
      </w:r>
      <w:r w:rsidR="00CB060D" w:rsidRPr="005A59F7">
        <w:rPr>
          <w:bCs/>
          <w:sz w:val="28"/>
          <w:lang w:val="en-GB"/>
        </w:rPr>
        <w:t xml:space="preserve"> to </w:t>
      </w:r>
      <w:r w:rsidR="00363012" w:rsidRPr="005A59F7">
        <w:rPr>
          <w:bCs/>
          <w:sz w:val="28"/>
          <w:lang w:val="en-GB"/>
        </w:rPr>
        <w:t xml:space="preserve">the general rule, that is, in the absence of </w:t>
      </w:r>
      <w:r w:rsidR="00A4326F" w:rsidRPr="005A59F7">
        <w:rPr>
          <w:bCs/>
          <w:sz w:val="28"/>
          <w:lang w:val="en-GB"/>
        </w:rPr>
        <w:t xml:space="preserve">express stipulation or of an obligation imposed by statute, the landlord is generally </w:t>
      </w:r>
      <w:r w:rsidR="00B14F2E" w:rsidRPr="005A59F7">
        <w:rPr>
          <w:bCs/>
          <w:sz w:val="28"/>
          <w:lang w:val="en-GB"/>
        </w:rPr>
        <w:t xml:space="preserve">under no liability towards the tenant to put the demised premises into repair at the commencement of the tenancy or to do repairs during the continuance of the </w:t>
      </w:r>
      <w:r w:rsidR="005712BF" w:rsidRPr="005A59F7">
        <w:rPr>
          <w:bCs/>
          <w:sz w:val="28"/>
          <w:lang w:val="en-GB"/>
        </w:rPr>
        <w:t>tenancy.</w:t>
      </w:r>
      <w:r w:rsidR="005A59F7">
        <w:rPr>
          <w:bCs/>
          <w:sz w:val="28"/>
          <w:lang w:val="en-GB"/>
        </w:rPr>
        <w:t xml:space="preserve">  </w:t>
      </w:r>
      <w:r w:rsidR="0089776A" w:rsidRPr="005A59F7">
        <w:rPr>
          <w:bCs/>
          <w:sz w:val="28"/>
          <w:lang w:val="en-GB"/>
        </w:rPr>
        <w:t xml:space="preserve">The paragraph continues to set out </w:t>
      </w:r>
      <w:r w:rsidR="00441760" w:rsidRPr="005A59F7">
        <w:rPr>
          <w:bCs/>
          <w:sz w:val="28"/>
          <w:lang w:val="en-GB"/>
        </w:rPr>
        <w:t>exceptions to the general rule, the first being this:</w:t>
      </w:r>
    </w:p>
    <w:p w:rsidR="0008232F" w:rsidRDefault="0008232F" w:rsidP="00E74D9C">
      <w:pPr>
        <w:tabs>
          <w:tab w:val="left" w:pos="1418"/>
        </w:tabs>
        <w:jc w:val="both"/>
        <w:rPr>
          <w:bCs/>
          <w:sz w:val="28"/>
          <w:lang w:val="en-GB"/>
        </w:rPr>
      </w:pPr>
    </w:p>
    <w:p w:rsidR="00E74D9C" w:rsidRPr="00E74D9C" w:rsidRDefault="0008232F" w:rsidP="00E74D9C">
      <w:pPr>
        <w:tabs>
          <w:tab w:val="left" w:pos="1418"/>
        </w:tabs>
        <w:ind w:left="1418"/>
        <w:jc w:val="both"/>
        <w:rPr>
          <w:bCs/>
          <w:lang w:val="en-GB"/>
        </w:rPr>
      </w:pPr>
      <w:r w:rsidRPr="00E74D9C">
        <w:rPr>
          <w:bCs/>
          <w:lang w:val="en-GB"/>
        </w:rPr>
        <w:t>“</w:t>
      </w:r>
      <w:r w:rsidR="00441760" w:rsidRPr="00E74D9C">
        <w:rPr>
          <w:bCs/>
          <w:lang w:val="en-GB"/>
        </w:rPr>
        <w:t xml:space="preserve">Where the landlord retains in his possession </w:t>
      </w:r>
      <w:r w:rsidR="00904267" w:rsidRPr="00E74D9C">
        <w:rPr>
          <w:bCs/>
          <w:lang w:val="en-GB"/>
        </w:rPr>
        <w:t xml:space="preserve">some part of the building, the maintenance of which </w:t>
      </w:r>
      <w:r w:rsidR="00425B20" w:rsidRPr="00E74D9C">
        <w:rPr>
          <w:bCs/>
          <w:lang w:val="en-GB"/>
        </w:rPr>
        <w:t xml:space="preserve">in proper repair is necessary for the protection of the demised premises or the safe enjoyment of them by the tenant, he is under an obligation to </w:t>
      </w:r>
      <w:r w:rsidR="001E274E" w:rsidRPr="00E74D9C">
        <w:rPr>
          <w:bCs/>
          <w:lang w:val="en-GB"/>
        </w:rPr>
        <w:t xml:space="preserve">take reasonable care that the </w:t>
      </w:r>
      <w:r w:rsidR="0020382C" w:rsidRPr="00E74D9C">
        <w:rPr>
          <w:bCs/>
          <w:lang w:val="en-GB"/>
        </w:rPr>
        <w:t xml:space="preserve">premises retained are not </w:t>
      </w:r>
      <w:r w:rsidR="0060248B" w:rsidRPr="00E74D9C">
        <w:rPr>
          <w:bCs/>
          <w:lang w:val="en-GB"/>
        </w:rPr>
        <w:t xml:space="preserve">in such a condition as to </w:t>
      </w:r>
      <w:r w:rsidR="003F0DDD" w:rsidRPr="00E74D9C">
        <w:rPr>
          <w:bCs/>
          <w:lang w:val="en-GB"/>
        </w:rPr>
        <w:t xml:space="preserve">cause damage to the tenant or the demised premises and this obligation </w:t>
      </w:r>
      <w:r w:rsidR="009F6DC6" w:rsidRPr="00E74D9C">
        <w:rPr>
          <w:bCs/>
          <w:lang w:val="en-GB"/>
        </w:rPr>
        <w:t xml:space="preserve">is properly to be regarded as an implied term rather than </w:t>
      </w:r>
      <w:r w:rsidRPr="00E74D9C">
        <w:rPr>
          <w:bCs/>
          <w:lang w:val="en-GB"/>
        </w:rPr>
        <w:t xml:space="preserve">an independent </w:t>
      </w:r>
      <w:proofErr w:type="spellStart"/>
      <w:r w:rsidRPr="00E74D9C">
        <w:rPr>
          <w:bCs/>
          <w:lang w:val="en-GB"/>
        </w:rPr>
        <w:t>tortious</w:t>
      </w:r>
      <w:proofErr w:type="spellEnd"/>
      <w:r w:rsidRPr="00E74D9C">
        <w:rPr>
          <w:bCs/>
          <w:lang w:val="en-GB"/>
        </w:rPr>
        <w:t xml:space="preserve"> duty” </w:t>
      </w:r>
    </w:p>
    <w:p w:rsidR="00E74D9C" w:rsidRDefault="00E74D9C" w:rsidP="00E74D9C">
      <w:pPr>
        <w:tabs>
          <w:tab w:val="left" w:pos="1418"/>
        </w:tabs>
        <w:jc w:val="both"/>
        <w:rPr>
          <w:bCs/>
          <w:sz w:val="28"/>
          <w:lang w:val="en-GB"/>
        </w:rPr>
      </w:pPr>
    </w:p>
    <w:p w:rsidR="001F7629" w:rsidRPr="005A59F7" w:rsidRDefault="0008232F" w:rsidP="005A59F7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lastRenderedPageBreak/>
        <w:t xml:space="preserve">In reply, Miss Yu referred to </w:t>
      </w:r>
      <w:r w:rsidR="00264B3A">
        <w:rPr>
          <w:bCs/>
          <w:sz w:val="28"/>
          <w:lang w:val="en-GB"/>
        </w:rPr>
        <w:t xml:space="preserve">paragraph 4 of </w:t>
      </w:r>
      <w:r w:rsidR="00264B3A" w:rsidRPr="00E74D9C">
        <w:rPr>
          <w:bCs/>
          <w:i/>
          <w:sz w:val="28"/>
          <w:lang w:val="en-GB"/>
        </w:rPr>
        <w:t>Lai Kin On</w:t>
      </w:r>
      <w:r w:rsidR="005A59F7">
        <w:rPr>
          <w:bCs/>
          <w:sz w:val="28"/>
          <w:lang w:val="en-GB"/>
        </w:rPr>
        <w:t xml:space="preserve">, supra, </w:t>
      </w:r>
      <w:r w:rsidR="00D06529">
        <w:rPr>
          <w:bCs/>
          <w:sz w:val="28"/>
          <w:lang w:val="en-GB"/>
        </w:rPr>
        <w:t xml:space="preserve">where </w:t>
      </w:r>
      <w:r w:rsidR="005D3A98">
        <w:rPr>
          <w:bCs/>
          <w:sz w:val="28"/>
          <w:lang w:val="en-GB"/>
        </w:rPr>
        <w:t xml:space="preserve">Deputy District Judge </w:t>
      </w:r>
      <w:proofErr w:type="spellStart"/>
      <w:r w:rsidR="005D3A98">
        <w:rPr>
          <w:bCs/>
          <w:sz w:val="28"/>
          <w:lang w:val="en-GB"/>
        </w:rPr>
        <w:t>Mim</w:t>
      </w:r>
      <w:r w:rsidR="005A59F7">
        <w:rPr>
          <w:bCs/>
          <w:sz w:val="28"/>
          <w:lang w:val="en-GB"/>
        </w:rPr>
        <w:t>mie</w:t>
      </w:r>
      <w:proofErr w:type="spellEnd"/>
      <w:r w:rsidR="005D3A98">
        <w:rPr>
          <w:bCs/>
          <w:sz w:val="28"/>
          <w:lang w:val="en-GB"/>
        </w:rPr>
        <w:t xml:space="preserve"> Chan (as she then was) </w:t>
      </w:r>
      <w:r w:rsidR="005A59F7">
        <w:rPr>
          <w:bCs/>
          <w:sz w:val="28"/>
          <w:lang w:val="en-GB"/>
        </w:rPr>
        <w:t xml:space="preserve">considered </w:t>
      </w:r>
      <w:r w:rsidR="00A00B34">
        <w:rPr>
          <w:bCs/>
          <w:sz w:val="28"/>
          <w:lang w:val="en-GB"/>
        </w:rPr>
        <w:t xml:space="preserve">the contents of </w:t>
      </w:r>
      <w:r w:rsidR="005A59F7">
        <w:rPr>
          <w:bCs/>
          <w:sz w:val="28"/>
          <w:lang w:val="en-GB"/>
        </w:rPr>
        <w:t xml:space="preserve">a </w:t>
      </w:r>
      <w:r w:rsidR="00A00B34">
        <w:rPr>
          <w:bCs/>
          <w:sz w:val="28"/>
          <w:lang w:val="en-GB"/>
        </w:rPr>
        <w:t xml:space="preserve">tenancy agreement </w:t>
      </w:r>
      <w:r w:rsidR="0087122C">
        <w:rPr>
          <w:bCs/>
          <w:sz w:val="28"/>
          <w:lang w:val="en-GB"/>
        </w:rPr>
        <w:t>which bear</w:t>
      </w:r>
      <w:r w:rsidR="001F66D3">
        <w:rPr>
          <w:rFonts w:hint="eastAsia"/>
          <w:bCs/>
          <w:sz w:val="28"/>
          <w:lang w:val="en-GB"/>
        </w:rPr>
        <w:t>s</w:t>
      </w:r>
      <w:r w:rsidR="0087122C">
        <w:rPr>
          <w:bCs/>
          <w:sz w:val="28"/>
          <w:lang w:val="en-GB"/>
        </w:rPr>
        <w:t xml:space="preserve"> much similarity to </w:t>
      </w:r>
      <w:r w:rsidR="00625E3B">
        <w:rPr>
          <w:bCs/>
          <w:sz w:val="28"/>
          <w:lang w:val="en-GB"/>
        </w:rPr>
        <w:t>the tenancy agreement in this action.</w:t>
      </w:r>
      <w:r w:rsidR="005A59F7">
        <w:rPr>
          <w:bCs/>
          <w:sz w:val="28"/>
          <w:lang w:val="en-GB"/>
        </w:rPr>
        <w:t xml:space="preserve">  At </w:t>
      </w:r>
      <w:r w:rsidR="00174749" w:rsidRPr="005A59F7">
        <w:rPr>
          <w:bCs/>
          <w:sz w:val="28"/>
          <w:lang w:val="en-GB"/>
        </w:rPr>
        <w:t xml:space="preserve">paragraph </w:t>
      </w:r>
      <w:r w:rsidR="0035588B" w:rsidRPr="005A59F7">
        <w:rPr>
          <w:bCs/>
          <w:sz w:val="28"/>
          <w:lang w:val="en-GB"/>
        </w:rPr>
        <w:t xml:space="preserve">7, the learned judge refers to the fact that </w:t>
      </w:r>
      <w:r w:rsidR="00B01CBC" w:rsidRPr="005A59F7">
        <w:rPr>
          <w:bCs/>
          <w:sz w:val="28"/>
          <w:lang w:val="en-GB"/>
        </w:rPr>
        <w:t xml:space="preserve">the tenancy agreement did not contain any express </w:t>
      </w:r>
      <w:r w:rsidR="00DD025D" w:rsidRPr="005A59F7">
        <w:rPr>
          <w:bCs/>
          <w:sz w:val="28"/>
          <w:lang w:val="en-GB"/>
        </w:rPr>
        <w:t xml:space="preserve">covenant on the part of the </w:t>
      </w:r>
      <w:r w:rsidR="00762D7F" w:rsidRPr="005A59F7">
        <w:rPr>
          <w:bCs/>
          <w:sz w:val="28"/>
          <w:lang w:val="en-GB"/>
        </w:rPr>
        <w:t xml:space="preserve">landlord to maintain or repair the ceiling </w:t>
      </w:r>
      <w:r w:rsidR="00BD3C50" w:rsidRPr="005A59F7">
        <w:rPr>
          <w:bCs/>
          <w:sz w:val="28"/>
          <w:lang w:val="en-GB"/>
        </w:rPr>
        <w:t>or any part of the premises</w:t>
      </w:r>
      <w:r w:rsidR="005A59F7">
        <w:rPr>
          <w:bCs/>
          <w:sz w:val="28"/>
          <w:lang w:val="en-GB"/>
        </w:rPr>
        <w:t xml:space="preserve"> and continues:</w:t>
      </w:r>
    </w:p>
    <w:p w:rsidR="00B90BAC" w:rsidRDefault="00B90BAC" w:rsidP="00B90BAC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0A00E8" w:rsidRPr="00B147CB" w:rsidRDefault="005A59F7" w:rsidP="002A07B5">
      <w:pPr>
        <w:tabs>
          <w:tab w:val="left" w:pos="1418"/>
        </w:tabs>
        <w:ind w:left="1440" w:hanging="1440"/>
        <w:jc w:val="both"/>
        <w:rPr>
          <w:bCs/>
          <w:lang w:val="en-GB"/>
        </w:rPr>
      </w:pPr>
      <w:r>
        <w:rPr>
          <w:bCs/>
          <w:lang w:val="en-GB"/>
        </w:rPr>
        <w:tab/>
      </w:r>
      <w:r w:rsidR="00BD3C50" w:rsidRPr="00B147CB">
        <w:rPr>
          <w:bCs/>
          <w:lang w:val="en-GB"/>
        </w:rPr>
        <w:t>“In law,</w:t>
      </w:r>
      <w:r>
        <w:rPr>
          <w:bCs/>
          <w:lang w:val="en-GB"/>
        </w:rPr>
        <w:t xml:space="preserve"> </w:t>
      </w:r>
      <w:r w:rsidR="00BD3C50" w:rsidRPr="00E74D9C">
        <w:rPr>
          <w:bCs/>
          <w:lang w:val="en-GB"/>
        </w:rPr>
        <w:t xml:space="preserve">there is no implied </w:t>
      </w:r>
      <w:r w:rsidR="00B90BAC" w:rsidRPr="00E74D9C">
        <w:rPr>
          <w:bCs/>
          <w:lang w:val="en-GB"/>
        </w:rPr>
        <w:t>covenant by the landlord of an unfurnished flat that it is or shall be reasonably fit for habitation, occupation</w:t>
      </w:r>
      <w:r w:rsidR="00570F0C">
        <w:rPr>
          <w:bCs/>
          <w:lang w:val="en-GB"/>
        </w:rPr>
        <w:t>,</w:t>
      </w:r>
      <w:r w:rsidR="00B90BAC" w:rsidRPr="00E74D9C">
        <w:rPr>
          <w:bCs/>
          <w:lang w:val="en-GB"/>
        </w:rPr>
        <w:t xml:space="preserve"> or for any other </w:t>
      </w:r>
      <w:r w:rsidR="00254561" w:rsidRPr="00E74D9C">
        <w:rPr>
          <w:bCs/>
          <w:lang w:val="en-GB"/>
        </w:rPr>
        <w:t xml:space="preserve">purpose for which it is let.  No covenant is </w:t>
      </w:r>
      <w:r w:rsidR="000019B4" w:rsidRPr="00E74D9C">
        <w:rPr>
          <w:bCs/>
          <w:lang w:val="en-GB"/>
        </w:rPr>
        <w:t>implied that the landlord will do any repairs whatsoever</w:t>
      </w:r>
      <w:r w:rsidR="00570F0C">
        <w:rPr>
          <w:bCs/>
          <w:lang w:val="en-GB"/>
        </w:rPr>
        <w:t>.</w:t>
      </w:r>
      <w:r w:rsidR="000019B4" w:rsidRPr="00E74D9C">
        <w:rPr>
          <w:bCs/>
          <w:lang w:val="en-GB"/>
        </w:rPr>
        <w:t xml:space="preserve"> </w:t>
      </w:r>
      <w:r w:rsidR="00570F0C">
        <w:rPr>
          <w:bCs/>
          <w:lang w:val="en-GB"/>
        </w:rPr>
        <w:t xml:space="preserve"> N</w:t>
      </w:r>
      <w:r w:rsidR="000019B4" w:rsidRPr="00E74D9C">
        <w:rPr>
          <w:bCs/>
          <w:lang w:val="en-GB"/>
        </w:rPr>
        <w:t xml:space="preserve">or is there an </w:t>
      </w:r>
      <w:r w:rsidR="00F7077E" w:rsidRPr="00E74D9C">
        <w:rPr>
          <w:bCs/>
          <w:lang w:val="en-GB"/>
        </w:rPr>
        <w:t xml:space="preserve">implied obligation </w:t>
      </w:r>
      <w:r w:rsidR="00FD2CDF" w:rsidRPr="00E74D9C">
        <w:rPr>
          <w:bCs/>
          <w:lang w:val="en-GB"/>
        </w:rPr>
        <w:t xml:space="preserve">that the flat will endure the term of the tenancy and </w:t>
      </w:r>
      <w:r w:rsidR="00570F0C">
        <w:rPr>
          <w:bCs/>
          <w:lang w:val="en-GB"/>
        </w:rPr>
        <w:t>a</w:t>
      </w:r>
      <w:r w:rsidR="00FD2CDF" w:rsidRPr="00E74D9C">
        <w:rPr>
          <w:bCs/>
          <w:lang w:val="en-GB"/>
        </w:rPr>
        <w:t xml:space="preserve"> landlord is not liable to his tenants </w:t>
      </w:r>
      <w:r w:rsidR="008150CE" w:rsidRPr="00E74D9C">
        <w:rPr>
          <w:bCs/>
          <w:lang w:val="en-GB"/>
        </w:rPr>
        <w:t xml:space="preserve">for defects in the premises rendering them </w:t>
      </w:r>
      <w:r w:rsidR="00D4245E" w:rsidRPr="00E74D9C">
        <w:rPr>
          <w:bCs/>
          <w:lang w:val="en-GB"/>
        </w:rPr>
        <w:t xml:space="preserve">dangerous or unfit </w:t>
      </w:r>
      <w:r w:rsidR="000A00E8" w:rsidRPr="00E74D9C">
        <w:rPr>
          <w:bCs/>
          <w:lang w:val="en-GB"/>
        </w:rPr>
        <w:t>for occupation, even though the landlord is aware of their existence</w:t>
      </w:r>
      <w:r w:rsidR="002A07B5">
        <w:rPr>
          <w:bCs/>
          <w:lang w:val="en-GB"/>
        </w:rPr>
        <w:t xml:space="preserve"> …… </w:t>
      </w:r>
      <w:r w:rsidR="00570F0C">
        <w:rPr>
          <w:bCs/>
          <w:lang w:val="en-GB"/>
        </w:rPr>
        <w:t>The law is</w:t>
      </w:r>
      <w:r w:rsidR="000A00E8" w:rsidRPr="00B147CB">
        <w:rPr>
          <w:bCs/>
          <w:lang w:val="en-GB"/>
        </w:rPr>
        <w:t xml:space="preserve"> therefore clear </w:t>
      </w:r>
      <w:r w:rsidR="00146D14" w:rsidRPr="00B147CB">
        <w:rPr>
          <w:bCs/>
          <w:lang w:val="en-GB"/>
        </w:rPr>
        <w:t xml:space="preserve">that landlords are not under any </w:t>
      </w:r>
      <w:r w:rsidR="002F1436" w:rsidRPr="00B147CB">
        <w:rPr>
          <w:bCs/>
          <w:lang w:val="en-GB"/>
        </w:rPr>
        <w:t>implied obligation to repair</w:t>
      </w:r>
      <w:r w:rsidR="00570F0C">
        <w:rPr>
          <w:bCs/>
          <w:lang w:val="en-GB"/>
        </w:rPr>
        <w:t>,</w:t>
      </w:r>
      <w:r w:rsidR="002F1436" w:rsidRPr="00B147CB">
        <w:rPr>
          <w:bCs/>
          <w:lang w:val="en-GB"/>
        </w:rPr>
        <w:t xml:space="preserve"> and the </w:t>
      </w:r>
      <w:r w:rsidR="00570F0C">
        <w:rPr>
          <w:bCs/>
          <w:lang w:val="en-GB"/>
        </w:rPr>
        <w:t>C</w:t>
      </w:r>
      <w:r w:rsidR="002F1436" w:rsidRPr="00B147CB">
        <w:rPr>
          <w:bCs/>
          <w:lang w:val="en-GB"/>
        </w:rPr>
        <w:t xml:space="preserve">ourts have </w:t>
      </w:r>
      <w:r w:rsidR="000524AB" w:rsidRPr="00B147CB">
        <w:rPr>
          <w:bCs/>
          <w:lang w:val="en-GB"/>
        </w:rPr>
        <w:t>no power to</w:t>
      </w:r>
      <w:r w:rsidR="00570F0C">
        <w:rPr>
          <w:bCs/>
          <w:lang w:val="en-GB"/>
        </w:rPr>
        <w:t xml:space="preserve"> introduce such an implied term</w:t>
      </w:r>
      <w:r w:rsidR="000524AB" w:rsidRPr="00B147CB">
        <w:rPr>
          <w:bCs/>
          <w:lang w:val="en-GB"/>
        </w:rPr>
        <w:t xml:space="preserve"> even if </w:t>
      </w:r>
      <w:r w:rsidR="009054F7" w:rsidRPr="00B147CB">
        <w:rPr>
          <w:bCs/>
          <w:lang w:val="en-GB"/>
        </w:rPr>
        <w:t xml:space="preserve">or merely because </w:t>
      </w:r>
      <w:r w:rsidR="00570F0C">
        <w:rPr>
          <w:bCs/>
          <w:lang w:val="en-GB"/>
        </w:rPr>
        <w:t>the C</w:t>
      </w:r>
      <w:r w:rsidR="00ED3B66" w:rsidRPr="00B147CB">
        <w:rPr>
          <w:bCs/>
          <w:lang w:val="en-GB"/>
        </w:rPr>
        <w:t xml:space="preserve">ourt considers </w:t>
      </w:r>
      <w:r w:rsidR="00374CC2" w:rsidRPr="00B147CB">
        <w:rPr>
          <w:bCs/>
          <w:lang w:val="en-GB"/>
        </w:rPr>
        <w:t>such term to be reasonable.</w:t>
      </w:r>
      <w:r w:rsidR="00B30494" w:rsidRPr="00B147CB">
        <w:rPr>
          <w:bCs/>
          <w:lang w:val="en-GB"/>
        </w:rPr>
        <w:t>”</w:t>
      </w:r>
    </w:p>
    <w:p w:rsidR="00B30494" w:rsidRDefault="00B30494" w:rsidP="00B30494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74CC2" w:rsidRDefault="00EF6FC1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So far</w:t>
      </w:r>
      <w:r w:rsidR="002A07B5">
        <w:rPr>
          <w:bCs/>
          <w:sz w:val="28"/>
          <w:lang w:val="en-GB"/>
        </w:rPr>
        <w:t>,</w:t>
      </w:r>
      <w:r>
        <w:rPr>
          <w:bCs/>
          <w:sz w:val="28"/>
          <w:lang w:val="en-GB"/>
        </w:rPr>
        <w:t xml:space="preserve"> there is no evidence that the subdivided </w:t>
      </w:r>
      <w:r w:rsidR="00B30494">
        <w:rPr>
          <w:bCs/>
          <w:sz w:val="28"/>
          <w:lang w:val="en-GB"/>
        </w:rPr>
        <w:t xml:space="preserve">room was a furnished domestic unit when it was rented out to the defendant and, as I understand it, even </w:t>
      </w:r>
      <w:r w:rsidR="00B445F2">
        <w:rPr>
          <w:bCs/>
          <w:sz w:val="28"/>
          <w:lang w:val="en-GB"/>
        </w:rPr>
        <w:t xml:space="preserve">if it was a furnished flat, any </w:t>
      </w:r>
      <w:r w:rsidR="002A07B5">
        <w:rPr>
          <w:bCs/>
          <w:sz w:val="28"/>
          <w:lang w:val="en-GB"/>
        </w:rPr>
        <w:t xml:space="preserve">implied </w:t>
      </w:r>
      <w:r w:rsidR="00B445F2">
        <w:rPr>
          <w:bCs/>
          <w:sz w:val="28"/>
          <w:lang w:val="en-GB"/>
        </w:rPr>
        <w:t xml:space="preserve">obligation would not extend to the whole currency of </w:t>
      </w:r>
      <w:r w:rsidR="00AA36E5">
        <w:rPr>
          <w:bCs/>
          <w:sz w:val="28"/>
          <w:lang w:val="en-GB"/>
        </w:rPr>
        <w:t>the tenancy agreement.</w:t>
      </w:r>
    </w:p>
    <w:p w:rsidR="001B4CA1" w:rsidRDefault="001B4CA1" w:rsidP="001B4CA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B30494" w:rsidRPr="002A07B5" w:rsidRDefault="00B222D1" w:rsidP="002A07B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Miss Yu further referred to the Privy Council case of </w:t>
      </w:r>
      <w:r w:rsidRPr="00E74D9C">
        <w:rPr>
          <w:bCs/>
          <w:i/>
          <w:sz w:val="28"/>
          <w:lang w:val="en-GB"/>
        </w:rPr>
        <w:t>Ca</w:t>
      </w:r>
      <w:r w:rsidR="00E74D9C" w:rsidRPr="00E74D9C">
        <w:rPr>
          <w:bCs/>
          <w:i/>
          <w:sz w:val="28"/>
          <w:lang w:val="en-GB"/>
        </w:rPr>
        <w:t>val</w:t>
      </w:r>
      <w:r w:rsidRPr="00E74D9C">
        <w:rPr>
          <w:bCs/>
          <w:i/>
          <w:sz w:val="28"/>
          <w:lang w:val="en-GB"/>
        </w:rPr>
        <w:t>ier v Pope</w:t>
      </w:r>
      <w:r w:rsidR="002A07B5">
        <w:rPr>
          <w:bCs/>
          <w:sz w:val="28"/>
          <w:lang w:val="en-GB"/>
        </w:rPr>
        <w:t xml:space="preserve"> [1906] AC 428</w:t>
      </w:r>
      <w:r>
        <w:rPr>
          <w:bCs/>
          <w:sz w:val="28"/>
          <w:lang w:val="en-GB"/>
        </w:rPr>
        <w:t>, a very old case</w:t>
      </w:r>
      <w:r w:rsidR="00C34700">
        <w:rPr>
          <w:bCs/>
          <w:sz w:val="28"/>
          <w:lang w:val="en-GB"/>
        </w:rPr>
        <w:t>.</w:t>
      </w:r>
      <w:r w:rsidR="002A07B5">
        <w:rPr>
          <w:bCs/>
          <w:sz w:val="28"/>
          <w:lang w:val="en-GB"/>
        </w:rPr>
        <w:t xml:space="preserve">  </w:t>
      </w:r>
      <w:r w:rsidR="001B4CA1" w:rsidRPr="002A07B5">
        <w:rPr>
          <w:bCs/>
          <w:sz w:val="28"/>
          <w:lang w:val="en-GB"/>
        </w:rPr>
        <w:t>At page 43</w:t>
      </w:r>
      <w:r w:rsidR="00FA1F62" w:rsidRPr="002A07B5">
        <w:rPr>
          <w:bCs/>
          <w:sz w:val="28"/>
          <w:lang w:val="en-GB"/>
        </w:rPr>
        <w:t>1, Lord James of Hereford has this to say,</w:t>
      </w:r>
    </w:p>
    <w:p w:rsidR="004832B6" w:rsidRPr="00E74D9C" w:rsidRDefault="004832B6" w:rsidP="00E74D9C">
      <w:pPr>
        <w:tabs>
          <w:tab w:val="left" w:pos="1418"/>
        </w:tabs>
        <w:jc w:val="both"/>
        <w:rPr>
          <w:bCs/>
          <w:lang w:val="en-GB"/>
        </w:rPr>
      </w:pPr>
    </w:p>
    <w:p w:rsidR="00C34700" w:rsidRDefault="00FA1F62" w:rsidP="00E74D9C">
      <w:pPr>
        <w:tabs>
          <w:tab w:val="left" w:pos="1418"/>
        </w:tabs>
        <w:ind w:left="1418"/>
        <w:jc w:val="both"/>
        <w:rPr>
          <w:bCs/>
          <w:lang w:val="en-GB"/>
        </w:rPr>
      </w:pPr>
      <w:r w:rsidRPr="00E74D9C">
        <w:rPr>
          <w:bCs/>
          <w:lang w:val="en-GB"/>
        </w:rPr>
        <w:t>“</w:t>
      </w:r>
      <w:r w:rsidR="00150414" w:rsidRPr="00E74D9C">
        <w:rPr>
          <w:bCs/>
          <w:lang w:val="en-GB"/>
        </w:rPr>
        <w:t xml:space="preserve">It was ably argued </w:t>
      </w:r>
      <w:r w:rsidR="00C34700">
        <w:rPr>
          <w:bCs/>
          <w:lang w:val="en-GB"/>
        </w:rPr>
        <w:t>at the B</w:t>
      </w:r>
      <w:r w:rsidR="00FB0322" w:rsidRPr="00E74D9C">
        <w:rPr>
          <w:bCs/>
          <w:lang w:val="en-GB"/>
        </w:rPr>
        <w:t>ar that</w:t>
      </w:r>
      <w:r w:rsidR="00C34700">
        <w:rPr>
          <w:bCs/>
          <w:lang w:val="en-GB"/>
        </w:rPr>
        <w:t>,</w:t>
      </w:r>
      <w:r w:rsidR="00FB0322" w:rsidRPr="00E74D9C">
        <w:rPr>
          <w:bCs/>
          <w:lang w:val="en-GB"/>
        </w:rPr>
        <w:t xml:space="preserve"> </w:t>
      </w:r>
      <w:r w:rsidR="00A262FB" w:rsidRPr="00E74D9C">
        <w:rPr>
          <w:bCs/>
          <w:lang w:val="en-GB"/>
        </w:rPr>
        <w:t xml:space="preserve">as the premises </w:t>
      </w:r>
      <w:r w:rsidR="004832B6" w:rsidRPr="00E74D9C">
        <w:rPr>
          <w:bCs/>
          <w:lang w:val="en-GB"/>
        </w:rPr>
        <w:t>belonged to the defendant, he must be taken to be in possession of them</w:t>
      </w:r>
      <w:r w:rsidR="00C34700">
        <w:rPr>
          <w:bCs/>
          <w:lang w:val="en-GB"/>
        </w:rPr>
        <w:t>,</w:t>
      </w:r>
      <w:r w:rsidR="004832B6" w:rsidRPr="00E74D9C">
        <w:rPr>
          <w:bCs/>
          <w:lang w:val="en-GB"/>
        </w:rPr>
        <w:t xml:space="preserve"> and that, therefore, a duty </w:t>
      </w:r>
      <w:r w:rsidR="0089211E" w:rsidRPr="00E74D9C">
        <w:rPr>
          <w:bCs/>
          <w:lang w:val="en-GB"/>
        </w:rPr>
        <w:t xml:space="preserve">arose to maintain them </w:t>
      </w:r>
      <w:r w:rsidR="00D82BD0" w:rsidRPr="00E74D9C">
        <w:rPr>
          <w:bCs/>
          <w:lang w:val="en-GB"/>
        </w:rPr>
        <w:t xml:space="preserve">in a condition that would not cause </w:t>
      </w:r>
      <w:r w:rsidR="006A45A4" w:rsidRPr="00E74D9C">
        <w:rPr>
          <w:bCs/>
          <w:lang w:val="en-GB"/>
        </w:rPr>
        <w:t xml:space="preserve">injury to </w:t>
      </w:r>
      <w:r w:rsidR="00C34700">
        <w:rPr>
          <w:bCs/>
          <w:lang w:val="en-GB"/>
        </w:rPr>
        <w:t>anyone who came upon them.  B</w:t>
      </w:r>
      <w:r w:rsidR="00672545" w:rsidRPr="00E74D9C">
        <w:rPr>
          <w:bCs/>
          <w:lang w:val="en-GB"/>
        </w:rPr>
        <w:t xml:space="preserve">ut </w:t>
      </w:r>
      <w:r w:rsidR="0080519D" w:rsidRPr="00E74D9C">
        <w:rPr>
          <w:bCs/>
          <w:lang w:val="en-GB"/>
        </w:rPr>
        <w:t xml:space="preserve">there seems to be a fallacy in this argument.  The defendant was not in actual </w:t>
      </w:r>
      <w:r w:rsidR="008E7D14" w:rsidRPr="00E74D9C">
        <w:rPr>
          <w:bCs/>
          <w:lang w:val="en-GB"/>
        </w:rPr>
        <w:t>possession of the house in question</w:t>
      </w:r>
      <w:r w:rsidR="00C34700">
        <w:rPr>
          <w:bCs/>
          <w:lang w:val="en-GB"/>
        </w:rPr>
        <w:t>,</w:t>
      </w:r>
      <w:r w:rsidR="008E7D14" w:rsidRPr="00E74D9C">
        <w:rPr>
          <w:bCs/>
          <w:lang w:val="en-GB"/>
        </w:rPr>
        <w:t xml:space="preserve"> and did not occupy </w:t>
      </w:r>
      <w:r w:rsidR="00B63234" w:rsidRPr="00E74D9C">
        <w:rPr>
          <w:bCs/>
          <w:lang w:val="en-GB"/>
        </w:rPr>
        <w:t>it.  The plaintiffs were the occupier</w:t>
      </w:r>
      <w:r w:rsidR="004E53C4" w:rsidRPr="00E74D9C">
        <w:rPr>
          <w:bCs/>
          <w:lang w:val="en-GB"/>
        </w:rPr>
        <w:t>s</w:t>
      </w:r>
      <w:r w:rsidR="00C34700">
        <w:rPr>
          <w:bCs/>
          <w:lang w:val="en-GB"/>
        </w:rPr>
        <w:t>,</w:t>
      </w:r>
      <w:r w:rsidR="004E53C4" w:rsidRPr="00E74D9C">
        <w:rPr>
          <w:bCs/>
          <w:lang w:val="en-GB"/>
        </w:rPr>
        <w:t xml:space="preserve"> and the statement of claim </w:t>
      </w:r>
      <w:r w:rsidR="00F3666E" w:rsidRPr="00E74D9C">
        <w:rPr>
          <w:bCs/>
          <w:lang w:val="en-GB"/>
        </w:rPr>
        <w:t xml:space="preserve">so alleges.  No duty is cast </w:t>
      </w:r>
      <w:r w:rsidR="000A5660" w:rsidRPr="00E74D9C">
        <w:rPr>
          <w:bCs/>
          <w:lang w:val="en-GB"/>
        </w:rPr>
        <w:t xml:space="preserve">upon a landlord to effect </w:t>
      </w:r>
      <w:r w:rsidR="001E1CC1" w:rsidRPr="00E74D9C">
        <w:rPr>
          <w:bCs/>
          <w:lang w:val="en-GB"/>
        </w:rPr>
        <w:t xml:space="preserve">internal repairs unless he contracts so to do.  </w:t>
      </w:r>
    </w:p>
    <w:p w:rsidR="00C34700" w:rsidRDefault="00C34700" w:rsidP="00E74D9C">
      <w:pPr>
        <w:tabs>
          <w:tab w:val="left" w:pos="1418"/>
        </w:tabs>
        <w:ind w:left="1418"/>
        <w:jc w:val="both"/>
        <w:rPr>
          <w:bCs/>
          <w:lang w:val="en-GB"/>
        </w:rPr>
      </w:pPr>
    </w:p>
    <w:p w:rsidR="00FA1F62" w:rsidRPr="00E74D9C" w:rsidRDefault="00C34700" w:rsidP="00E74D9C">
      <w:pPr>
        <w:tabs>
          <w:tab w:val="left" w:pos="1418"/>
        </w:tabs>
        <w:ind w:left="1418"/>
        <w:jc w:val="both"/>
        <w:rPr>
          <w:bCs/>
          <w:lang w:val="en-GB"/>
        </w:rPr>
      </w:pPr>
      <w:r>
        <w:rPr>
          <w:bCs/>
          <w:lang w:val="en-GB"/>
        </w:rPr>
        <w:tab/>
      </w:r>
      <w:r w:rsidR="001E1CC1" w:rsidRPr="00E74D9C">
        <w:rPr>
          <w:bCs/>
          <w:lang w:val="en-GB"/>
        </w:rPr>
        <w:t xml:space="preserve">Then all that </w:t>
      </w:r>
      <w:r w:rsidR="00372D65" w:rsidRPr="00E74D9C">
        <w:rPr>
          <w:bCs/>
          <w:lang w:val="en-GB"/>
        </w:rPr>
        <w:t xml:space="preserve">remains on which to found </w:t>
      </w:r>
      <w:r w:rsidR="004D76F2" w:rsidRPr="00E74D9C">
        <w:rPr>
          <w:bCs/>
          <w:lang w:val="en-GB"/>
        </w:rPr>
        <w:t>liability is the contract</w:t>
      </w:r>
      <w:r>
        <w:rPr>
          <w:bCs/>
          <w:lang w:val="en-GB"/>
        </w:rPr>
        <w:t>,</w:t>
      </w:r>
      <w:r w:rsidR="004D76F2" w:rsidRPr="00E74D9C">
        <w:rPr>
          <w:bCs/>
          <w:lang w:val="en-GB"/>
        </w:rPr>
        <w:t xml:space="preserve"> and it was urged that </w:t>
      </w:r>
      <w:r w:rsidR="00C80E25" w:rsidRPr="00E74D9C">
        <w:rPr>
          <w:bCs/>
          <w:lang w:val="en-GB"/>
        </w:rPr>
        <w:t>contract to repair placed the premises constructively in the possession of the d</w:t>
      </w:r>
      <w:r>
        <w:rPr>
          <w:bCs/>
          <w:lang w:val="en-GB"/>
        </w:rPr>
        <w:t>efendant and under his control.  B</w:t>
      </w:r>
      <w:r w:rsidR="00C80E25" w:rsidRPr="00E74D9C">
        <w:rPr>
          <w:bCs/>
          <w:lang w:val="en-GB"/>
        </w:rPr>
        <w:t xml:space="preserve">ut the actual possession </w:t>
      </w:r>
      <w:r w:rsidR="00C17856" w:rsidRPr="00E74D9C">
        <w:rPr>
          <w:bCs/>
          <w:lang w:val="en-GB"/>
        </w:rPr>
        <w:t>by the plaintiffs s</w:t>
      </w:r>
      <w:r>
        <w:rPr>
          <w:bCs/>
          <w:lang w:val="en-GB"/>
        </w:rPr>
        <w:t xml:space="preserve">eems to negative </w:t>
      </w:r>
      <w:r w:rsidR="00C17856" w:rsidRPr="00E74D9C">
        <w:rPr>
          <w:bCs/>
          <w:lang w:val="en-GB"/>
        </w:rPr>
        <w:t>this constructive control.</w:t>
      </w:r>
      <w:r w:rsidR="004D76F2" w:rsidRPr="00E74D9C">
        <w:rPr>
          <w:bCs/>
          <w:lang w:val="en-GB"/>
        </w:rPr>
        <w:t>”</w:t>
      </w:r>
    </w:p>
    <w:p w:rsidR="00C17856" w:rsidRDefault="00C17856" w:rsidP="00C17856">
      <w:pPr>
        <w:tabs>
          <w:tab w:val="left" w:pos="1418"/>
        </w:tabs>
        <w:spacing w:line="360" w:lineRule="auto"/>
        <w:ind w:left="1418"/>
        <w:jc w:val="both"/>
        <w:rPr>
          <w:bCs/>
          <w:sz w:val="28"/>
          <w:lang w:val="en-GB"/>
        </w:rPr>
      </w:pPr>
    </w:p>
    <w:p w:rsidR="001B4CA1" w:rsidRDefault="003C4449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At page 433, the court continues,</w:t>
      </w:r>
    </w:p>
    <w:p w:rsidR="007F261F" w:rsidRPr="00E74D9C" w:rsidRDefault="007F261F" w:rsidP="00E74D9C">
      <w:pPr>
        <w:tabs>
          <w:tab w:val="left" w:pos="1418"/>
        </w:tabs>
        <w:ind w:left="1418"/>
        <w:jc w:val="both"/>
        <w:rPr>
          <w:bCs/>
          <w:lang w:val="en-GB"/>
        </w:rPr>
      </w:pPr>
    </w:p>
    <w:p w:rsidR="003C4449" w:rsidRPr="00E74D9C" w:rsidRDefault="003C4449" w:rsidP="00E74D9C">
      <w:pPr>
        <w:tabs>
          <w:tab w:val="left" w:pos="1418"/>
        </w:tabs>
        <w:ind w:left="1418"/>
        <w:jc w:val="both"/>
        <w:rPr>
          <w:bCs/>
          <w:lang w:val="en-GB"/>
        </w:rPr>
      </w:pPr>
      <w:r w:rsidRPr="00E74D9C">
        <w:rPr>
          <w:bCs/>
          <w:lang w:val="en-GB"/>
        </w:rPr>
        <w:t xml:space="preserve">“But the power </w:t>
      </w:r>
      <w:r w:rsidR="00D1362D" w:rsidRPr="00E74D9C">
        <w:rPr>
          <w:bCs/>
          <w:lang w:val="en-GB"/>
        </w:rPr>
        <w:t xml:space="preserve">necessary to </w:t>
      </w:r>
      <w:r w:rsidR="0071231E" w:rsidRPr="00E74D9C">
        <w:rPr>
          <w:bCs/>
          <w:lang w:val="en-GB"/>
        </w:rPr>
        <w:t xml:space="preserve">raise the duty for a breach of which damages were recovered in the several cases to which we have been referred implies something more than the </w:t>
      </w:r>
      <w:r w:rsidR="00640B6D" w:rsidRPr="00E74D9C">
        <w:rPr>
          <w:bCs/>
          <w:lang w:val="en-GB"/>
        </w:rPr>
        <w:t xml:space="preserve">right or a liability to repair the premises.  It implies the power and the right </w:t>
      </w:r>
      <w:r w:rsidR="006A1B08" w:rsidRPr="00E74D9C">
        <w:rPr>
          <w:bCs/>
          <w:lang w:val="en-GB"/>
        </w:rPr>
        <w:t xml:space="preserve">to admit people to </w:t>
      </w:r>
      <w:r w:rsidR="009671DF" w:rsidRPr="00E74D9C">
        <w:rPr>
          <w:bCs/>
          <w:lang w:val="en-GB"/>
        </w:rPr>
        <w:t xml:space="preserve">the premises </w:t>
      </w:r>
      <w:r w:rsidR="003633FF" w:rsidRPr="00E74D9C">
        <w:rPr>
          <w:bCs/>
          <w:lang w:val="en-GB"/>
        </w:rPr>
        <w:t xml:space="preserve">and to exclude </w:t>
      </w:r>
      <w:r w:rsidR="007F261F" w:rsidRPr="00E74D9C">
        <w:rPr>
          <w:bCs/>
          <w:lang w:val="en-GB"/>
        </w:rPr>
        <w:t xml:space="preserve">people from them, but this power and this right belonged to the tenant, not the landlord, and the </w:t>
      </w:r>
      <w:r w:rsidR="00A61264" w:rsidRPr="00E74D9C">
        <w:rPr>
          <w:bCs/>
          <w:lang w:val="en-GB"/>
        </w:rPr>
        <w:t xml:space="preserve">latter’s contract to repair </w:t>
      </w:r>
      <w:r w:rsidR="00B22D41" w:rsidRPr="00E74D9C">
        <w:rPr>
          <w:bCs/>
          <w:lang w:val="en-GB"/>
        </w:rPr>
        <w:t xml:space="preserve">cannot transfer them to him.  The existence of such an agreement may entitle a landlord to demand from his tenant admission to the premises for the servants and workmen required to carry out </w:t>
      </w:r>
      <w:r w:rsidR="000C1185" w:rsidRPr="00E74D9C">
        <w:rPr>
          <w:bCs/>
          <w:lang w:val="en-GB"/>
        </w:rPr>
        <w:t>his contract, but nothing in the shape of control.”</w:t>
      </w:r>
    </w:p>
    <w:p w:rsidR="00980568" w:rsidRDefault="00980568" w:rsidP="00980568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7F261F" w:rsidRPr="002A07B5" w:rsidRDefault="00980568" w:rsidP="00980568">
      <w:pPr>
        <w:tabs>
          <w:tab w:val="left" w:pos="1418"/>
        </w:tabs>
        <w:spacing w:line="360" w:lineRule="auto"/>
        <w:jc w:val="both"/>
        <w:rPr>
          <w:bCs/>
          <w:i/>
          <w:sz w:val="28"/>
          <w:lang w:val="en-GB"/>
        </w:rPr>
      </w:pPr>
      <w:r w:rsidRPr="002A07B5">
        <w:rPr>
          <w:bCs/>
          <w:i/>
          <w:sz w:val="28"/>
          <w:lang w:val="en-GB"/>
        </w:rPr>
        <w:t>Discussion</w:t>
      </w:r>
    </w:p>
    <w:p w:rsidR="00980568" w:rsidRDefault="00980568" w:rsidP="00980568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174893" w:rsidRDefault="00980568" w:rsidP="00ED05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As Miss Yu rightly observed, in the plaintiff’s affirmation in opposition, reference </w:t>
      </w:r>
      <w:r w:rsidR="0045618B">
        <w:rPr>
          <w:bCs/>
          <w:sz w:val="28"/>
          <w:lang w:val="en-GB"/>
        </w:rPr>
        <w:t>was merely made to the effect</w:t>
      </w:r>
      <w:r w:rsidR="002A07B5">
        <w:rPr>
          <w:bCs/>
          <w:sz w:val="28"/>
          <w:lang w:val="en-GB"/>
        </w:rPr>
        <w:t>ing</w:t>
      </w:r>
      <w:r w:rsidR="0045618B">
        <w:rPr>
          <w:bCs/>
          <w:sz w:val="28"/>
          <w:lang w:val="en-GB"/>
        </w:rPr>
        <w:t xml:space="preserve"> of service and the regularity of the default judgment.  There is not a word on any prejudice caused to the plaintiff </w:t>
      </w:r>
      <w:r w:rsidR="00A17D9E">
        <w:rPr>
          <w:bCs/>
          <w:sz w:val="28"/>
          <w:lang w:val="en-GB"/>
        </w:rPr>
        <w:t xml:space="preserve">in setting aside the default judgment.  </w:t>
      </w:r>
    </w:p>
    <w:p w:rsidR="00174893" w:rsidRDefault="00174893" w:rsidP="0017489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E18D5" w:rsidRPr="002A07B5" w:rsidRDefault="00A17D9E" w:rsidP="002A07B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As to merits, in arguing that </w:t>
      </w:r>
      <w:r w:rsidR="00174893">
        <w:rPr>
          <w:bCs/>
          <w:sz w:val="28"/>
          <w:lang w:val="en-GB"/>
        </w:rPr>
        <w:t xml:space="preserve">the defendant has no defence on liability, Mr </w:t>
      </w:r>
      <w:proofErr w:type="spellStart"/>
      <w:r w:rsidR="00174893">
        <w:rPr>
          <w:bCs/>
          <w:sz w:val="28"/>
          <w:lang w:val="en-GB"/>
        </w:rPr>
        <w:t>Poon</w:t>
      </w:r>
      <w:proofErr w:type="spellEnd"/>
      <w:r w:rsidR="00174893">
        <w:rPr>
          <w:bCs/>
          <w:sz w:val="28"/>
          <w:lang w:val="en-GB"/>
        </w:rPr>
        <w:t xml:space="preserve"> referred to Section 3 of Cap.314.  </w:t>
      </w:r>
      <w:r w:rsidR="00174893" w:rsidRPr="002A07B5">
        <w:rPr>
          <w:bCs/>
          <w:sz w:val="28"/>
          <w:lang w:val="en-GB"/>
        </w:rPr>
        <w:t xml:space="preserve">However, as between a landlord and his tenant, the relevant section should be section 5, which imposes a similar duty of care on a landlord who is obliged under a tenancy agreement </w:t>
      </w:r>
      <w:r w:rsidR="00EE18D5" w:rsidRPr="002A07B5">
        <w:rPr>
          <w:bCs/>
          <w:sz w:val="28"/>
          <w:lang w:val="en-GB"/>
        </w:rPr>
        <w:t xml:space="preserve">for maintenance or repair of the premises. </w:t>
      </w:r>
      <w:r w:rsidR="002A07B5">
        <w:rPr>
          <w:bCs/>
          <w:sz w:val="28"/>
          <w:lang w:val="en-GB"/>
        </w:rPr>
        <w:t xml:space="preserve"> </w:t>
      </w:r>
      <w:r w:rsidR="00EE18D5" w:rsidRPr="002A07B5">
        <w:rPr>
          <w:bCs/>
          <w:sz w:val="28"/>
          <w:lang w:val="en-GB"/>
        </w:rPr>
        <w:t xml:space="preserve">As rightly submitted by Miss Yu, at common law, there is </w:t>
      </w:r>
      <w:r w:rsidR="00DA787E" w:rsidRPr="002A07B5">
        <w:rPr>
          <w:bCs/>
          <w:sz w:val="28"/>
          <w:lang w:val="en-GB"/>
        </w:rPr>
        <w:t xml:space="preserve">no implied duty to </w:t>
      </w:r>
      <w:r w:rsidR="00CB6B8D" w:rsidRPr="002A07B5">
        <w:rPr>
          <w:bCs/>
          <w:sz w:val="28"/>
          <w:lang w:val="en-GB"/>
        </w:rPr>
        <w:t>repair on the part of the landlord.</w:t>
      </w:r>
    </w:p>
    <w:p w:rsidR="00AC72B9" w:rsidRDefault="00AC72B9" w:rsidP="00AC72B9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74D9C" w:rsidRPr="002A07B5" w:rsidRDefault="00CB6B8D" w:rsidP="002A07B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 agree with Miss Yu that </w:t>
      </w:r>
      <w:r w:rsidR="00602A5F" w:rsidRPr="00E74D9C">
        <w:rPr>
          <w:bCs/>
          <w:i/>
          <w:sz w:val="28"/>
          <w:lang w:val="en-GB"/>
        </w:rPr>
        <w:t>Lai Kin</w:t>
      </w:r>
      <w:r w:rsidR="002A07B5">
        <w:rPr>
          <w:bCs/>
          <w:i/>
          <w:sz w:val="28"/>
          <w:lang w:val="en-GB"/>
        </w:rPr>
        <w:t xml:space="preserve"> On</w:t>
      </w:r>
      <w:r w:rsidR="002A07B5" w:rsidRPr="002A07B5">
        <w:rPr>
          <w:bCs/>
          <w:sz w:val="28"/>
          <w:lang w:val="en-GB"/>
        </w:rPr>
        <w:t>, supra,</w:t>
      </w:r>
      <w:r w:rsidR="002A07B5">
        <w:rPr>
          <w:bCs/>
          <w:i/>
          <w:sz w:val="28"/>
          <w:lang w:val="en-GB"/>
        </w:rPr>
        <w:t xml:space="preserve"> </w:t>
      </w:r>
      <w:r w:rsidR="00602A5F">
        <w:rPr>
          <w:bCs/>
          <w:sz w:val="28"/>
          <w:lang w:val="en-GB"/>
        </w:rPr>
        <w:t xml:space="preserve">and </w:t>
      </w:r>
      <w:r w:rsidR="00602A5F" w:rsidRPr="00E74D9C">
        <w:rPr>
          <w:bCs/>
          <w:i/>
          <w:sz w:val="28"/>
          <w:lang w:val="en-GB"/>
        </w:rPr>
        <w:t>Cavalier v Pope</w:t>
      </w:r>
      <w:r w:rsidR="002A07B5">
        <w:rPr>
          <w:bCs/>
          <w:sz w:val="28"/>
          <w:lang w:val="en-GB"/>
        </w:rPr>
        <w:t xml:space="preserve">, supra, </w:t>
      </w:r>
      <w:r w:rsidR="00602A5F">
        <w:rPr>
          <w:bCs/>
          <w:sz w:val="28"/>
          <w:lang w:val="en-GB"/>
        </w:rPr>
        <w:t xml:space="preserve">clearly provide an answer to </w:t>
      </w:r>
      <w:r w:rsidR="00ED7710">
        <w:rPr>
          <w:bCs/>
          <w:sz w:val="28"/>
          <w:lang w:val="en-GB"/>
        </w:rPr>
        <w:t xml:space="preserve">Mr </w:t>
      </w:r>
      <w:proofErr w:type="spellStart"/>
      <w:r w:rsidR="00ED7710">
        <w:rPr>
          <w:bCs/>
          <w:sz w:val="28"/>
          <w:lang w:val="en-GB"/>
        </w:rPr>
        <w:t>Poon’s</w:t>
      </w:r>
      <w:proofErr w:type="spellEnd"/>
      <w:r w:rsidR="00ED7710">
        <w:rPr>
          <w:bCs/>
          <w:sz w:val="28"/>
          <w:lang w:val="en-GB"/>
        </w:rPr>
        <w:t xml:space="preserve"> submission on an </w:t>
      </w:r>
      <w:r w:rsidR="00ED7710">
        <w:rPr>
          <w:bCs/>
          <w:sz w:val="28"/>
          <w:lang w:val="en-GB"/>
        </w:rPr>
        <w:lastRenderedPageBreak/>
        <w:t xml:space="preserve">implied duty on the defendant’s part to repair in reliance on the </w:t>
      </w:r>
      <w:r w:rsidR="001A1EFA">
        <w:rPr>
          <w:bCs/>
          <w:sz w:val="28"/>
          <w:lang w:val="en-GB"/>
        </w:rPr>
        <w:t>relevant clause in the tenancy agreement here</w:t>
      </w:r>
      <w:r w:rsidR="002A07B5">
        <w:rPr>
          <w:bCs/>
          <w:sz w:val="28"/>
          <w:lang w:val="en-GB"/>
        </w:rPr>
        <w:t xml:space="preserve">.  Nor </w:t>
      </w:r>
      <w:r w:rsidR="001A1EFA">
        <w:rPr>
          <w:bCs/>
          <w:sz w:val="28"/>
          <w:lang w:val="en-GB"/>
        </w:rPr>
        <w:t xml:space="preserve">does </w:t>
      </w:r>
      <w:r w:rsidR="002A07B5">
        <w:rPr>
          <w:bCs/>
          <w:sz w:val="28"/>
          <w:lang w:val="en-GB"/>
        </w:rPr>
        <w:t xml:space="preserve">Mr </w:t>
      </w:r>
      <w:proofErr w:type="spellStart"/>
      <w:r w:rsidR="002A07B5">
        <w:rPr>
          <w:bCs/>
          <w:sz w:val="28"/>
          <w:lang w:val="en-GB"/>
        </w:rPr>
        <w:t>Poon’s</w:t>
      </w:r>
      <w:proofErr w:type="spellEnd"/>
      <w:r w:rsidR="002A07B5">
        <w:rPr>
          <w:bCs/>
          <w:sz w:val="28"/>
          <w:lang w:val="en-GB"/>
        </w:rPr>
        <w:t xml:space="preserve"> </w:t>
      </w:r>
      <w:r w:rsidR="001A1EFA">
        <w:rPr>
          <w:bCs/>
          <w:sz w:val="28"/>
          <w:lang w:val="en-GB"/>
        </w:rPr>
        <w:t xml:space="preserve">reference to </w:t>
      </w:r>
      <w:proofErr w:type="spellStart"/>
      <w:r w:rsidR="00AC72B9">
        <w:rPr>
          <w:bCs/>
          <w:sz w:val="28"/>
          <w:lang w:val="en-GB"/>
        </w:rPr>
        <w:t>Halsbury</w:t>
      </w:r>
      <w:proofErr w:type="spellEnd"/>
      <w:r w:rsidR="00AC72B9">
        <w:rPr>
          <w:bCs/>
          <w:sz w:val="28"/>
          <w:lang w:val="en-GB"/>
        </w:rPr>
        <w:t xml:space="preserve"> Laws of Hong Kong assist </w:t>
      </w:r>
      <w:r w:rsidR="004422AC">
        <w:rPr>
          <w:bCs/>
          <w:sz w:val="28"/>
          <w:lang w:val="en-GB"/>
        </w:rPr>
        <w:t xml:space="preserve">him, as there is simply no evidence </w:t>
      </w:r>
      <w:r w:rsidR="00D40D82">
        <w:rPr>
          <w:bCs/>
          <w:sz w:val="28"/>
          <w:lang w:val="en-GB"/>
        </w:rPr>
        <w:t xml:space="preserve">as yet to indicate if the defendant </w:t>
      </w:r>
      <w:r w:rsidR="00D93CB7">
        <w:rPr>
          <w:bCs/>
          <w:sz w:val="28"/>
          <w:lang w:val="en-GB"/>
        </w:rPr>
        <w:t xml:space="preserve">could be said to have </w:t>
      </w:r>
      <w:r w:rsidR="00106C89">
        <w:rPr>
          <w:bCs/>
          <w:sz w:val="28"/>
          <w:lang w:val="en-GB"/>
        </w:rPr>
        <w:t xml:space="preserve">retained </w:t>
      </w:r>
      <w:r w:rsidR="00FA3129">
        <w:rPr>
          <w:bCs/>
          <w:sz w:val="28"/>
          <w:lang w:val="en-GB"/>
        </w:rPr>
        <w:t xml:space="preserve">any control of the relevant property so as to </w:t>
      </w:r>
      <w:r w:rsidR="00890EA1">
        <w:rPr>
          <w:bCs/>
          <w:sz w:val="28"/>
          <w:lang w:val="en-GB"/>
        </w:rPr>
        <w:t xml:space="preserve">impose an implied duty on her part </w:t>
      </w:r>
      <w:r w:rsidR="00DF00A5">
        <w:rPr>
          <w:bCs/>
          <w:sz w:val="28"/>
          <w:lang w:val="en-GB"/>
        </w:rPr>
        <w:t>to repair Room A.</w:t>
      </w:r>
      <w:r w:rsidR="002A07B5">
        <w:rPr>
          <w:bCs/>
          <w:sz w:val="28"/>
          <w:lang w:val="en-GB"/>
        </w:rPr>
        <w:t xml:space="preserve">  </w:t>
      </w:r>
      <w:r w:rsidR="00E74D9C" w:rsidRPr="002A07B5">
        <w:rPr>
          <w:bCs/>
          <w:sz w:val="28"/>
          <w:lang w:val="en-GB"/>
        </w:rPr>
        <w:t xml:space="preserve">Neither is </w:t>
      </w:r>
      <w:r w:rsidR="00E74D9C" w:rsidRPr="002A07B5">
        <w:rPr>
          <w:bCs/>
          <w:i/>
          <w:sz w:val="28"/>
          <w:lang w:val="en-GB"/>
        </w:rPr>
        <w:t xml:space="preserve">Chung Man </w:t>
      </w:r>
      <w:proofErr w:type="spellStart"/>
      <w:r w:rsidR="00E74D9C" w:rsidRPr="002A07B5">
        <w:rPr>
          <w:bCs/>
          <w:i/>
          <w:sz w:val="28"/>
          <w:lang w:val="en-GB"/>
        </w:rPr>
        <w:t>Yau</w:t>
      </w:r>
      <w:r w:rsidR="00E74D9C" w:rsidRPr="002A07B5">
        <w:rPr>
          <w:bCs/>
          <w:sz w:val="28"/>
          <w:lang w:val="en-GB"/>
        </w:rPr>
        <w:t>’s</w:t>
      </w:r>
      <w:proofErr w:type="spellEnd"/>
      <w:r w:rsidR="00E74D9C" w:rsidRPr="002A07B5">
        <w:rPr>
          <w:bCs/>
          <w:sz w:val="28"/>
          <w:lang w:val="en-GB"/>
        </w:rPr>
        <w:t xml:space="preserve"> case, cited by Mr </w:t>
      </w:r>
      <w:proofErr w:type="spellStart"/>
      <w:r w:rsidR="00E74D9C" w:rsidRPr="002A07B5">
        <w:rPr>
          <w:bCs/>
          <w:sz w:val="28"/>
          <w:lang w:val="en-GB"/>
        </w:rPr>
        <w:t>Poon</w:t>
      </w:r>
      <w:proofErr w:type="spellEnd"/>
      <w:r w:rsidR="00E74D9C" w:rsidRPr="002A07B5">
        <w:rPr>
          <w:bCs/>
          <w:sz w:val="28"/>
          <w:lang w:val="en-GB"/>
        </w:rPr>
        <w:t>, relevant, as it is not about liability as between a landlord and a tenant.</w:t>
      </w:r>
    </w:p>
    <w:p w:rsidR="008839DA" w:rsidRDefault="008839DA" w:rsidP="008839DA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F15E66" w:rsidRPr="005C2035" w:rsidRDefault="00E74D9C" w:rsidP="005C203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question here is, therefore, whether the tenancy agreement in question imposes a duty to </w:t>
      </w:r>
      <w:r w:rsidR="008839DA">
        <w:rPr>
          <w:bCs/>
          <w:sz w:val="28"/>
          <w:lang w:val="en-GB"/>
        </w:rPr>
        <w:t>repair on the defendant.</w:t>
      </w:r>
      <w:r w:rsidR="002A07B5">
        <w:rPr>
          <w:bCs/>
          <w:sz w:val="28"/>
          <w:lang w:val="en-GB"/>
        </w:rPr>
        <w:t xml:space="preserve">  </w:t>
      </w:r>
      <w:r w:rsidR="00930AC0" w:rsidRPr="002A07B5">
        <w:rPr>
          <w:bCs/>
          <w:sz w:val="28"/>
          <w:lang w:val="en-GB"/>
        </w:rPr>
        <w:t>It is the defendant’s case that the tenancy agreement does not impose on her a duty to repair.  Clause 10 merely impose</w:t>
      </w:r>
      <w:r w:rsidR="001B464C" w:rsidRPr="002A07B5">
        <w:rPr>
          <w:bCs/>
          <w:sz w:val="28"/>
          <w:lang w:val="en-GB"/>
        </w:rPr>
        <w:t>s</w:t>
      </w:r>
      <w:r w:rsidR="00930AC0" w:rsidRPr="002A07B5">
        <w:rPr>
          <w:bCs/>
          <w:sz w:val="28"/>
          <w:lang w:val="en-GB"/>
        </w:rPr>
        <w:t xml:space="preserve"> a duty to repair on the tenant’s part while clause 12, as submitted by </w:t>
      </w:r>
      <w:r w:rsidR="001B464C" w:rsidRPr="002A07B5">
        <w:rPr>
          <w:bCs/>
          <w:sz w:val="28"/>
          <w:lang w:val="en-GB"/>
        </w:rPr>
        <w:t xml:space="preserve">Miss Yu, would not </w:t>
      </w:r>
      <w:r w:rsidR="00373025" w:rsidRPr="002A07B5">
        <w:rPr>
          <w:bCs/>
          <w:sz w:val="28"/>
          <w:lang w:val="en-GB"/>
        </w:rPr>
        <w:t xml:space="preserve">imply a duty to </w:t>
      </w:r>
      <w:r w:rsidR="001920B2" w:rsidRPr="002A07B5">
        <w:rPr>
          <w:bCs/>
          <w:sz w:val="28"/>
          <w:lang w:val="en-GB"/>
        </w:rPr>
        <w:t>repair on the landlord’s part.</w:t>
      </w:r>
      <w:r w:rsidR="002A07B5">
        <w:rPr>
          <w:bCs/>
          <w:sz w:val="28"/>
          <w:lang w:val="en-GB"/>
        </w:rPr>
        <w:t xml:space="preserve">  </w:t>
      </w:r>
      <w:r w:rsidR="00FC79A3" w:rsidRPr="002A07B5">
        <w:rPr>
          <w:bCs/>
          <w:sz w:val="28"/>
          <w:lang w:val="en-GB"/>
        </w:rPr>
        <w:t xml:space="preserve">As to the plaintiff’s case, </w:t>
      </w:r>
      <w:proofErr w:type="gramStart"/>
      <w:r w:rsidR="00FC79A3" w:rsidRPr="002A07B5">
        <w:rPr>
          <w:bCs/>
          <w:sz w:val="28"/>
          <w:lang w:val="en-GB"/>
        </w:rPr>
        <w:t>all the</w:t>
      </w:r>
      <w:proofErr w:type="gramEnd"/>
      <w:r w:rsidR="00FC79A3" w:rsidRPr="002A07B5">
        <w:rPr>
          <w:bCs/>
          <w:sz w:val="28"/>
          <w:lang w:val="en-GB"/>
        </w:rPr>
        <w:t xml:space="preserve"> plaintiff </w:t>
      </w:r>
      <w:r w:rsidR="005E76FB" w:rsidRPr="002A07B5">
        <w:rPr>
          <w:bCs/>
          <w:sz w:val="28"/>
          <w:lang w:val="en-GB"/>
        </w:rPr>
        <w:t xml:space="preserve">can </w:t>
      </w:r>
      <w:r w:rsidR="002A07B5">
        <w:rPr>
          <w:bCs/>
          <w:sz w:val="28"/>
          <w:lang w:val="en-GB"/>
        </w:rPr>
        <w:t xml:space="preserve">point to </w:t>
      </w:r>
      <w:r w:rsidR="005E76FB" w:rsidRPr="002A07B5">
        <w:rPr>
          <w:bCs/>
          <w:sz w:val="28"/>
          <w:lang w:val="en-GB"/>
        </w:rPr>
        <w:t xml:space="preserve">so far is the alleged knowledge on the defendant’s part of the state of repair </w:t>
      </w:r>
      <w:r w:rsidR="00FB15CF" w:rsidRPr="002A07B5">
        <w:rPr>
          <w:bCs/>
          <w:sz w:val="28"/>
          <w:lang w:val="en-GB"/>
        </w:rPr>
        <w:t xml:space="preserve">of Room A </w:t>
      </w:r>
      <w:r w:rsidR="00F31CBE" w:rsidRPr="002A07B5">
        <w:rPr>
          <w:bCs/>
          <w:sz w:val="28"/>
          <w:lang w:val="en-GB"/>
        </w:rPr>
        <w:t xml:space="preserve">before the incident took place.  That in itself is insufficient when it comes to liability for </w:t>
      </w:r>
      <w:r w:rsidR="00F15E66" w:rsidRPr="002A07B5">
        <w:rPr>
          <w:bCs/>
          <w:sz w:val="28"/>
          <w:lang w:val="en-GB"/>
        </w:rPr>
        <w:t>repair as between a landlord and a tenant.</w:t>
      </w:r>
      <w:r w:rsidR="005C2035">
        <w:rPr>
          <w:bCs/>
          <w:sz w:val="28"/>
          <w:lang w:val="en-GB"/>
        </w:rPr>
        <w:t xml:space="preserve">  </w:t>
      </w:r>
      <w:r w:rsidR="00F15E66" w:rsidRPr="005C2035">
        <w:rPr>
          <w:bCs/>
          <w:sz w:val="28"/>
          <w:lang w:val="en-GB"/>
        </w:rPr>
        <w:t xml:space="preserve">In the circumstances, the defendant </w:t>
      </w:r>
      <w:r w:rsidR="00596D6A" w:rsidRPr="005C2035">
        <w:rPr>
          <w:bCs/>
          <w:sz w:val="28"/>
          <w:lang w:val="en-GB"/>
        </w:rPr>
        <w:t xml:space="preserve">does seem to </w:t>
      </w:r>
      <w:r w:rsidR="00714076" w:rsidRPr="005C2035">
        <w:rPr>
          <w:bCs/>
          <w:sz w:val="28"/>
          <w:lang w:val="en-GB"/>
        </w:rPr>
        <w:t xml:space="preserve">enjoy a real prospect of success in defending </w:t>
      </w:r>
      <w:r w:rsidR="00A03BE8" w:rsidRPr="005C2035">
        <w:rPr>
          <w:bCs/>
          <w:sz w:val="28"/>
          <w:lang w:val="en-GB"/>
        </w:rPr>
        <w:t>liability on this ground.</w:t>
      </w:r>
    </w:p>
    <w:p w:rsidR="009F2CD1" w:rsidRDefault="009F2CD1" w:rsidP="009F2CD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F31E33" w:rsidRPr="005C2035" w:rsidRDefault="00A03BE8" w:rsidP="005C203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As to the happening of the alleged incident,</w:t>
      </w:r>
      <w:r w:rsidR="000A5375">
        <w:rPr>
          <w:bCs/>
          <w:sz w:val="28"/>
          <w:lang w:val="en-GB"/>
        </w:rPr>
        <w:t xml:space="preserve"> while it may be </w:t>
      </w:r>
      <w:r w:rsidR="007F63B5">
        <w:rPr>
          <w:bCs/>
          <w:sz w:val="28"/>
          <w:lang w:val="en-GB"/>
        </w:rPr>
        <w:t xml:space="preserve">premature for Miss Yu to </w:t>
      </w:r>
      <w:r w:rsidR="009F2CD1">
        <w:rPr>
          <w:bCs/>
          <w:sz w:val="28"/>
          <w:lang w:val="en-GB"/>
        </w:rPr>
        <w:t xml:space="preserve">say there is a lack of evidence and whether or not </w:t>
      </w:r>
      <w:r w:rsidR="00DF3BE2">
        <w:rPr>
          <w:bCs/>
          <w:sz w:val="28"/>
          <w:lang w:val="en-GB"/>
        </w:rPr>
        <w:t xml:space="preserve">the plaintiff can ultimately prove the </w:t>
      </w:r>
      <w:r w:rsidR="0075694A">
        <w:rPr>
          <w:bCs/>
          <w:sz w:val="28"/>
          <w:lang w:val="en-GB"/>
        </w:rPr>
        <w:t xml:space="preserve">happening of the incident cannot </w:t>
      </w:r>
      <w:r w:rsidR="000E2C9D">
        <w:rPr>
          <w:bCs/>
          <w:sz w:val="28"/>
          <w:lang w:val="en-GB"/>
        </w:rPr>
        <w:t xml:space="preserve">be determined without </w:t>
      </w:r>
      <w:r w:rsidR="005C2035">
        <w:rPr>
          <w:bCs/>
          <w:sz w:val="28"/>
          <w:lang w:val="en-GB"/>
        </w:rPr>
        <w:t xml:space="preserve">a </w:t>
      </w:r>
      <w:r w:rsidR="00F31E33">
        <w:rPr>
          <w:bCs/>
          <w:sz w:val="28"/>
          <w:lang w:val="en-GB"/>
        </w:rPr>
        <w:t>trial</w:t>
      </w:r>
      <w:r w:rsidR="005C2035">
        <w:rPr>
          <w:bCs/>
          <w:sz w:val="28"/>
          <w:lang w:val="en-GB"/>
        </w:rPr>
        <w:t xml:space="preserve">, it </w:t>
      </w:r>
      <w:r w:rsidR="00F31E33" w:rsidRPr="005C2035">
        <w:rPr>
          <w:bCs/>
          <w:sz w:val="28"/>
          <w:lang w:val="en-GB"/>
        </w:rPr>
        <w:t xml:space="preserve">is in my view understandable for Miss Yu to have observed that there is </w:t>
      </w:r>
      <w:r w:rsidR="00E45D1B" w:rsidRPr="005C2035">
        <w:rPr>
          <w:bCs/>
          <w:sz w:val="28"/>
          <w:lang w:val="en-GB"/>
        </w:rPr>
        <w:t xml:space="preserve">a lack of evidence in the light of the </w:t>
      </w:r>
      <w:r w:rsidR="00BA2401" w:rsidRPr="005C2035">
        <w:rPr>
          <w:bCs/>
          <w:sz w:val="28"/>
          <w:lang w:val="en-GB"/>
        </w:rPr>
        <w:t xml:space="preserve">current state of pleadings and the </w:t>
      </w:r>
      <w:r w:rsidR="005E5055" w:rsidRPr="005C2035">
        <w:rPr>
          <w:bCs/>
          <w:sz w:val="28"/>
          <w:lang w:val="en-GB"/>
        </w:rPr>
        <w:t xml:space="preserve">lack of reference to the alleged incident </w:t>
      </w:r>
      <w:r w:rsidR="009D0ABD" w:rsidRPr="005C2035">
        <w:rPr>
          <w:bCs/>
          <w:sz w:val="28"/>
          <w:lang w:val="en-GB"/>
        </w:rPr>
        <w:t>in the medical reports attached to the pleadings.</w:t>
      </w:r>
      <w:r w:rsidR="005C2035">
        <w:rPr>
          <w:bCs/>
          <w:sz w:val="28"/>
          <w:lang w:val="en-GB"/>
        </w:rPr>
        <w:t xml:space="preserve">  </w:t>
      </w:r>
      <w:r w:rsidR="009D0ABD" w:rsidRPr="005C2035">
        <w:rPr>
          <w:bCs/>
          <w:sz w:val="28"/>
          <w:lang w:val="en-GB"/>
        </w:rPr>
        <w:t xml:space="preserve">In particular, the plaintiff’s failure to </w:t>
      </w:r>
      <w:r w:rsidR="00877076" w:rsidRPr="005C2035">
        <w:rPr>
          <w:bCs/>
          <w:sz w:val="28"/>
          <w:lang w:val="en-GB"/>
        </w:rPr>
        <w:t xml:space="preserve">report the incident to the defendant immediately afterwards </w:t>
      </w:r>
      <w:r w:rsidR="0042548D" w:rsidRPr="005C2035">
        <w:rPr>
          <w:bCs/>
          <w:sz w:val="28"/>
          <w:lang w:val="en-GB"/>
        </w:rPr>
        <w:t xml:space="preserve">is </w:t>
      </w:r>
      <w:r w:rsidR="0042548D" w:rsidRPr="005C2035">
        <w:rPr>
          <w:bCs/>
          <w:sz w:val="28"/>
          <w:lang w:val="en-GB"/>
        </w:rPr>
        <w:lastRenderedPageBreak/>
        <w:t xml:space="preserve">difficult to understand when the plaintiff was not </w:t>
      </w:r>
      <w:r w:rsidR="00AE2CCD" w:rsidRPr="005C2035">
        <w:rPr>
          <w:bCs/>
          <w:sz w:val="28"/>
          <w:lang w:val="en-GB"/>
        </w:rPr>
        <w:t xml:space="preserve">in a state of </w:t>
      </w:r>
      <w:r w:rsidR="00546347" w:rsidRPr="005C2035">
        <w:rPr>
          <w:bCs/>
          <w:sz w:val="28"/>
          <w:lang w:val="en-GB"/>
        </w:rPr>
        <w:t>coma after the accident.</w:t>
      </w:r>
    </w:p>
    <w:p w:rsidR="00546347" w:rsidRDefault="00546347" w:rsidP="00546347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546347" w:rsidRDefault="00546347" w:rsidP="00ED7710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As to the lack of reference in the medical reports attached to the pleadings, this suggests </w:t>
      </w:r>
      <w:r w:rsidR="00043D86">
        <w:rPr>
          <w:bCs/>
          <w:sz w:val="28"/>
          <w:lang w:val="en-GB"/>
        </w:rPr>
        <w:t xml:space="preserve">room for improvement on the plaintiff’s part in deciding </w:t>
      </w:r>
      <w:r w:rsidR="00FB3AC1">
        <w:rPr>
          <w:bCs/>
          <w:sz w:val="28"/>
          <w:lang w:val="en-GB"/>
        </w:rPr>
        <w:t>what to attach to the pleadings.</w:t>
      </w:r>
      <w:r w:rsidR="009F69C6">
        <w:rPr>
          <w:bCs/>
          <w:sz w:val="28"/>
          <w:lang w:val="en-GB"/>
        </w:rPr>
        <w:t xml:space="preserve">  What was chosen were reports </w:t>
      </w:r>
      <w:r w:rsidR="00D54B99">
        <w:rPr>
          <w:bCs/>
          <w:sz w:val="28"/>
          <w:lang w:val="en-GB"/>
        </w:rPr>
        <w:t xml:space="preserve">that do not </w:t>
      </w:r>
      <w:r w:rsidR="006E5E57">
        <w:rPr>
          <w:bCs/>
          <w:sz w:val="28"/>
          <w:lang w:val="en-GB"/>
        </w:rPr>
        <w:t xml:space="preserve">make any reference </w:t>
      </w:r>
      <w:r w:rsidR="002D1096">
        <w:rPr>
          <w:bCs/>
          <w:sz w:val="28"/>
          <w:lang w:val="en-GB"/>
        </w:rPr>
        <w:t xml:space="preserve">to the alleged incident </w:t>
      </w:r>
      <w:r w:rsidR="00C73FC3">
        <w:rPr>
          <w:bCs/>
          <w:sz w:val="28"/>
          <w:lang w:val="en-GB"/>
        </w:rPr>
        <w:t xml:space="preserve">or the plaintiff’s </w:t>
      </w:r>
      <w:r w:rsidR="001F1ACA">
        <w:rPr>
          <w:bCs/>
          <w:sz w:val="28"/>
          <w:lang w:val="en-GB"/>
        </w:rPr>
        <w:t xml:space="preserve">admission to the </w:t>
      </w:r>
      <w:proofErr w:type="gramStart"/>
      <w:r w:rsidR="001F1ACA">
        <w:rPr>
          <w:bCs/>
          <w:sz w:val="28"/>
          <w:lang w:val="en-GB"/>
        </w:rPr>
        <w:t>hospital.</w:t>
      </w:r>
      <w:proofErr w:type="gramEnd"/>
      <w:r w:rsidR="001F1ACA">
        <w:rPr>
          <w:bCs/>
          <w:sz w:val="28"/>
          <w:lang w:val="en-GB"/>
        </w:rPr>
        <w:t xml:space="preserve">  It was </w:t>
      </w:r>
      <w:r w:rsidR="00884281">
        <w:rPr>
          <w:bCs/>
          <w:sz w:val="28"/>
          <w:lang w:val="en-GB"/>
        </w:rPr>
        <w:t xml:space="preserve">only when the plaintiff filed his belated affirmation, exhibiting the records </w:t>
      </w:r>
      <w:r w:rsidR="00987A26">
        <w:rPr>
          <w:bCs/>
          <w:sz w:val="28"/>
          <w:lang w:val="en-GB"/>
        </w:rPr>
        <w:t xml:space="preserve">of the ambulance men and the discharge </w:t>
      </w:r>
      <w:r w:rsidR="00E30C26">
        <w:rPr>
          <w:bCs/>
          <w:sz w:val="28"/>
          <w:lang w:val="en-GB"/>
        </w:rPr>
        <w:t xml:space="preserve">summary mentioned above did the picture become </w:t>
      </w:r>
      <w:r w:rsidR="00CC39BD">
        <w:rPr>
          <w:bCs/>
          <w:sz w:val="28"/>
          <w:lang w:val="en-GB"/>
        </w:rPr>
        <w:t>clearer.</w:t>
      </w:r>
    </w:p>
    <w:p w:rsidR="002630FD" w:rsidRDefault="002630FD" w:rsidP="002630FD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CC39BD" w:rsidRDefault="00CC39BD" w:rsidP="00ED7710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defendant cannot </w:t>
      </w:r>
      <w:r w:rsidR="002630FD">
        <w:rPr>
          <w:bCs/>
          <w:sz w:val="28"/>
          <w:lang w:val="en-GB"/>
        </w:rPr>
        <w:t xml:space="preserve">be criticised in the circumstances for not having realised that the medical records pertaining </w:t>
      </w:r>
      <w:r w:rsidR="00B93EBD">
        <w:rPr>
          <w:bCs/>
          <w:sz w:val="28"/>
          <w:lang w:val="en-GB"/>
        </w:rPr>
        <w:t xml:space="preserve">to the alleged incident have </w:t>
      </w:r>
      <w:r w:rsidR="00DD21D2">
        <w:rPr>
          <w:bCs/>
          <w:sz w:val="28"/>
          <w:lang w:val="en-GB"/>
        </w:rPr>
        <w:t xml:space="preserve">actually been covered by the plaintiff’s list of documents served along with the pleadings and not having </w:t>
      </w:r>
      <w:r w:rsidR="005B2499">
        <w:rPr>
          <w:bCs/>
          <w:sz w:val="28"/>
          <w:lang w:val="en-GB"/>
        </w:rPr>
        <w:t xml:space="preserve">requested copies of the listed documents </w:t>
      </w:r>
      <w:r w:rsidR="00842EA8">
        <w:rPr>
          <w:bCs/>
          <w:sz w:val="28"/>
          <w:lang w:val="en-GB"/>
        </w:rPr>
        <w:t xml:space="preserve">when the defendant </w:t>
      </w:r>
      <w:r w:rsidR="005C2035">
        <w:rPr>
          <w:bCs/>
          <w:sz w:val="28"/>
          <w:lang w:val="en-GB"/>
        </w:rPr>
        <w:t>h</w:t>
      </w:r>
      <w:r w:rsidR="00AF052E">
        <w:rPr>
          <w:bCs/>
          <w:sz w:val="28"/>
          <w:lang w:val="en-GB"/>
        </w:rPr>
        <w:t>as yet to obtain leave to defend</w:t>
      </w:r>
      <w:r w:rsidR="001F66D3">
        <w:rPr>
          <w:rFonts w:hint="eastAsia"/>
          <w:bCs/>
          <w:sz w:val="28"/>
          <w:lang w:val="en-GB"/>
        </w:rPr>
        <w:t>.</w:t>
      </w:r>
    </w:p>
    <w:p w:rsidR="00C05B10" w:rsidRDefault="00C05B10" w:rsidP="00C05B10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1F646B" w:rsidRPr="005C2035" w:rsidRDefault="00AF052E" w:rsidP="005C203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In a case where personal injury is alleged to have </w:t>
      </w:r>
      <w:r w:rsidR="005C2035">
        <w:rPr>
          <w:bCs/>
          <w:sz w:val="28"/>
          <w:lang w:val="en-GB"/>
        </w:rPr>
        <w:t xml:space="preserve">been </w:t>
      </w:r>
      <w:r w:rsidR="0073043E">
        <w:rPr>
          <w:bCs/>
          <w:sz w:val="28"/>
          <w:lang w:val="en-GB"/>
        </w:rPr>
        <w:t xml:space="preserve">occasioned to </w:t>
      </w:r>
      <w:r w:rsidR="00307428">
        <w:rPr>
          <w:bCs/>
          <w:sz w:val="28"/>
          <w:lang w:val="en-GB"/>
        </w:rPr>
        <w:t xml:space="preserve">a person </w:t>
      </w:r>
      <w:r w:rsidR="00C05B10">
        <w:rPr>
          <w:bCs/>
          <w:sz w:val="28"/>
          <w:lang w:val="en-GB"/>
        </w:rPr>
        <w:t xml:space="preserve">without any eyewitness, </w:t>
      </w:r>
      <w:r w:rsidR="00625EE0">
        <w:rPr>
          <w:bCs/>
          <w:sz w:val="28"/>
          <w:lang w:val="en-GB"/>
        </w:rPr>
        <w:t xml:space="preserve">the ultimate outcome would depend on </w:t>
      </w:r>
      <w:r w:rsidR="00252D43">
        <w:rPr>
          <w:bCs/>
          <w:sz w:val="28"/>
          <w:lang w:val="en-GB"/>
        </w:rPr>
        <w:t xml:space="preserve">what evidence is to be believed and there can be no </w:t>
      </w:r>
      <w:r w:rsidR="00B33932">
        <w:rPr>
          <w:bCs/>
          <w:sz w:val="28"/>
          <w:lang w:val="en-GB"/>
        </w:rPr>
        <w:t xml:space="preserve">provisional view of </w:t>
      </w:r>
      <w:r w:rsidR="0026167E">
        <w:rPr>
          <w:bCs/>
          <w:sz w:val="28"/>
          <w:lang w:val="en-GB"/>
        </w:rPr>
        <w:t xml:space="preserve">the probable outcome of the action without </w:t>
      </w:r>
      <w:r w:rsidR="00E040D1">
        <w:rPr>
          <w:bCs/>
          <w:sz w:val="28"/>
          <w:lang w:val="en-GB"/>
        </w:rPr>
        <w:t xml:space="preserve">a trial.  In such </w:t>
      </w:r>
      <w:r w:rsidR="005C2035">
        <w:rPr>
          <w:bCs/>
          <w:sz w:val="28"/>
          <w:lang w:val="en-GB"/>
        </w:rPr>
        <w:t xml:space="preserve">a </w:t>
      </w:r>
      <w:r w:rsidR="00E040D1">
        <w:rPr>
          <w:bCs/>
          <w:sz w:val="28"/>
          <w:lang w:val="en-GB"/>
        </w:rPr>
        <w:t xml:space="preserve">case, the appropriate </w:t>
      </w:r>
      <w:r w:rsidR="006D0D30">
        <w:rPr>
          <w:bCs/>
          <w:sz w:val="28"/>
          <w:lang w:val="en-GB"/>
        </w:rPr>
        <w:t xml:space="preserve">test to determine whether the defendant </w:t>
      </w:r>
      <w:r w:rsidR="002F1DA6">
        <w:rPr>
          <w:bCs/>
          <w:sz w:val="28"/>
          <w:lang w:val="en-GB"/>
        </w:rPr>
        <w:t xml:space="preserve">has a real prospect of success </w:t>
      </w:r>
      <w:r w:rsidR="00741347">
        <w:rPr>
          <w:bCs/>
          <w:sz w:val="28"/>
          <w:lang w:val="en-GB"/>
        </w:rPr>
        <w:t xml:space="preserve">is therefore whether the defence </w:t>
      </w:r>
      <w:r w:rsidR="00535E7E">
        <w:rPr>
          <w:bCs/>
          <w:sz w:val="28"/>
          <w:lang w:val="en-GB"/>
        </w:rPr>
        <w:t xml:space="preserve">could well be </w:t>
      </w:r>
      <w:r w:rsidR="001F646B">
        <w:rPr>
          <w:bCs/>
          <w:sz w:val="28"/>
          <w:lang w:val="en-GB"/>
        </w:rPr>
        <w:t>established at trial.</w:t>
      </w:r>
      <w:r w:rsidR="005C2035">
        <w:rPr>
          <w:bCs/>
          <w:sz w:val="28"/>
          <w:lang w:val="en-GB"/>
        </w:rPr>
        <w:t xml:space="preserve">  </w:t>
      </w:r>
      <w:r w:rsidR="001F646B" w:rsidRPr="005C2035">
        <w:rPr>
          <w:bCs/>
          <w:sz w:val="28"/>
          <w:lang w:val="en-GB"/>
        </w:rPr>
        <w:t xml:space="preserve">Applying the test to </w:t>
      </w:r>
      <w:r w:rsidR="00744742" w:rsidRPr="005C2035">
        <w:rPr>
          <w:bCs/>
          <w:sz w:val="28"/>
          <w:lang w:val="en-GB"/>
        </w:rPr>
        <w:t xml:space="preserve">the present case, I am inclined to take the view that the defendant should be allowed the opportunity </w:t>
      </w:r>
      <w:r w:rsidR="005E1EFD" w:rsidRPr="005C2035">
        <w:rPr>
          <w:bCs/>
          <w:sz w:val="28"/>
          <w:lang w:val="en-GB"/>
        </w:rPr>
        <w:t xml:space="preserve">of putting </w:t>
      </w:r>
      <w:r w:rsidR="00CF6C65" w:rsidRPr="005C2035">
        <w:rPr>
          <w:bCs/>
          <w:sz w:val="28"/>
          <w:lang w:val="en-GB"/>
        </w:rPr>
        <w:t xml:space="preserve">the plaintiff to </w:t>
      </w:r>
      <w:r w:rsidR="0056412C" w:rsidRPr="005C2035">
        <w:rPr>
          <w:bCs/>
          <w:sz w:val="28"/>
          <w:lang w:val="en-GB"/>
        </w:rPr>
        <w:t xml:space="preserve">strict proof as to what happened </w:t>
      </w:r>
      <w:r w:rsidR="00E324A6" w:rsidRPr="005C2035">
        <w:rPr>
          <w:bCs/>
          <w:sz w:val="28"/>
          <w:lang w:val="en-GB"/>
        </w:rPr>
        <w:t xml:space="preserve">inside Room A as well as challenging </w:t>
      </w:r>
      <w:r w:rsidR="008648C2" w:rsidRPr="005C2035">
        <w:rPr>
          <w:bCs/>
          <w:sz w:val="28"/>
          <w:lang w:val="en-GB"/>
        </w:rPr>
        <w:t>the plaintiff’s evidence on how the alleged injury was occasioned.  That can only be done in a trial.</w:t>
      </w:r>
    </w:p>
    <w:p w:rsidR="00EB55D0" w:rsidRDefault="00EB55D0" w:rsidP="00EB55D0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7A0614" w:rsidRPr="005C2035" w:rsidRDefault="00DE33A4" w:rsidP="005C203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lastRenderedPageBreak/>
        <w:t xml:space="preserve">It is true that the defendant has not said anything about the pre-action </w:t>
      </w:r>
      <w:r w:rsidR="00EB55D0">
        <w:rPr>
          <w:bCs/>
          <w:sz w:val="28"/>
          <w:lang w:val="en-GB"/>
        </w:rPr>
        <w:t xml:space="preserve">letters sent to the second address and it is hard to understand </w:t>
      </w:r>
      <w:r w:rsidR="00F3095A">
        <w:rPr>
          <w:bCs/>
          <w:sz w:val="28"/>
          <w:lang w:val="en-GB"/>
        </w:rPr>
        <w:t xml:space="preserve">why such letters would not </w:t>
      </w:r>
      <w:r w:rsidR="00825B7D">
        <w:rPr>
          <w:bCs/>
          <w:sz w:val="28"/>
          <w:lang w:val="en-GB"/>
        </w:rPr>
        <w:t xml:space="preserve">have come to </w:t>
      </w:r>
      <w:r w:rsidR="00863218">
        <w:rPr>
          <w:bCs/>
          <w:sz w:val="28"/>
          <w:lang w:val="en-GB"/>
        </w:rPr>
        <w:t xml:space="preserve">her attention if </w:t>
      </w:r>
      <w:r w:rsidR="004C2263">
        <w:rPr>
          <w:bCs/>
          <w:sz w:val="28"/>
          <w:lang w:val="en-GB"/>
        </w:rPr>
        <w:t xml:space="preserve">they </w:t>
      </w:r>
      <w:r w:rsidR="007A0614">
        <w:rPr>
          <w:bCs/>
          <w:sz w:val="28"/>
          <w:lang w:val="en-GB"/>
        </w:rPr>
        <w:t>did reach the second address.</w:t>
      </w:r>
      <w:r w:rsidR="005C2035">
        <w:rPr>
          <w:bCs/>
          <w:sz w:val="28"/>
          <w:lang w:val="en-GB"/>
        </w:rPr>
        <w:t xml:space="preserve">  </w:t>
      </w:r>
      <w:r w:rsidR="007A0614" w:rsidRPr="005C2035">
        <w:rPr>
          <w:bCs/>
          <w:sz w:val="28"/>
          <w:lang w:val="en-GB"/>
        </w:rPr>
        <w:t xml:space="preserve">For the present purpose, however, the focus is on what happened </w:t>
      </w:r>
      <w:r w:rsidR="009E0D09" w:rsidRPr="005C2035">
        <w:rPr>
          <w:bCs/>
          <w:sz w:val="28"/>
          <w:lang w:val="en-GB"/>
        </w:rPr>
        <w:t xml:space="preserve">after service of writ.  While it is also hard to understand why the defendant’s tenant would </w:t>
      </w:r>
      <w:r w:rsidR="003D4E4D" w:rsidRPr="005C2035">
        <w:rPr>
          <w:bCs/>
          <w:sz w:val="28"/>
          <w:lang w:val="en-GB"/>
        </w:rPr>
        <w:t xml:space="preserve">leave the letterbox </w:t>
      </w:r>
      <w:r w:rsidR="000C7204" w:rsidRPr="005C2035">
        <w:rPr>
          <w:bCs/>
          <w:sz w:val="28"/>
          <w:lang w:val="en-GB"/>
        </w:rPr>
        <w:t xml:space="preserve">unlocked and let mails addressed to </w:t>
      </w:r>
      <w:r w:rsidR="00E67353" w:rsidRPr="005C2035">
        <w:rPr>
          <w:bCs/>
          <w:sz w:val="28"/>
          <w:lang w:val="en-GB"/>
        </w:rPr>
        <w:t xml:space="preserve">the defendant stay inside it without either </w:t>
      </w:r>
      <w:r w:rsidR="00E743BD" w:rsidRPr="005C2035">
        <w:rPr>
          <w:bCs/>
          <w:sz w:val="28"/>
          <w:lang w:val="en-GB"/>
        </w:rPr>
        <w:t xml:space="preserve">retrieving the same </w:t>
      </w:r>
      <w:r w:rsidR="00A52A75" w:rsidRPr="005C2035">
        <w:rPr>
          <w:bCs/>
          <w:sz w:val="28"/>
          <w:lang w:val="en-GB"/>
        </w:rPr>
        <w:t>or notifying the defendant</w:t>
      </w:r>
      <w:r w:rsidR="00661E51" w:rsidRPr="005C2035">
        <w:rPr>
          <w:bCs/>
          <w:sz w:val="28"/>
          <w:lang w:val="en-GB"/>
        </w:rPr>
        <w:t xml:space="preserve"> or the husband to collect </w:t>
      </w:r>
      <w:r w:rsidR="00562E69" w:rsidRPr="005C2035">
        <w:rPr>
          <w:bCs/>
          <w:sz w:val="28"/>
          <w:lang w:val="en-GB"/>
        </w:rPr>
        <w:t xml:space="preserve">such mails.  There is, however, </w:t>
      </w:r>
      <w:r w:rsidR="00F944A9" w:rsidRPr="005C2035">
        <w:rPr>
          <w:bCs/>
          <w:sz w:val="28"/>
          <w:lang w:val="en-GB"/>
        </w:rPr>
        <w:t xml:space="preserve">no evidence </w:t>
      </w:r>
      <w:r w:rsidR="00C35DD8" w:rsidRPr="005C2035">
        <w:rPr>
          <w:bCs/>
          <w:sz w:val="28"/>
          <w:lang w:val="en-GB"/>
        </w:rPr>
        <w:t xml:space="preserve">to contradict </w:t>
      </w:r>
      <w:r w:rsidR="007753CD" w:rsidRPr="005C2035">
        <w:rPr>
          <w:bCs/>
          <w:sz w:val="28"/>
          <w:lang w:val="en-GB"/>
        </w:rPr>
        <w:t xml:space="preserve">the defendant’s evidence that she did not </w:t>
      </w:r>
      <w:r w:rsidR="00661A13" w:rsidRPr="005C2035">
        <w:rPr>
          <w:bCs/>
          <w:sz w:val="28"/>
          <w:lang w:val="en-GB"/>
        </w:rPr>
        <w:t xml:space="preserve">come to receive the court documents </w:t>
      </w:r>
      <w:r w:rsidR="0086558E" w:rsidRPr="005C2035">
        <w:rPr>
          <w:bCs/>
          <w:sz w:val="28"/>
          <w:lang w:val="en-GB"/>
        </w:rPr>
        <w:t>until 26 September 2013.</w:t>
      </w:r>
    </w:p>
    <w:p w:rsidR="006A2D41" w:rsidRDefault="006A2D41" w:rsidP="006A2D4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B41960" w:rsidRPr="005C2035" w:rsidRDefault="0086558E" w:rsidP="005C203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 accept that the defendant </w:t>
      </w:r>
      <w:r w:rsidR="008A6A5B">
        <w:rPr>
          <w:bCs/>
          <w:sz w:val="28"/>
          <w:lang w:val="en-GB"/>
        </w:rPr>
        <w:t>ha</w:t>
      </w:r>
      <w:r w:rsidR="005C2035">
        <w:rPr>
          <w:bCs/>
          <w:sz w:val="28"/>
          <w:lang w:val="en-GB"/>
        </w:rPr>
        <w:t>s</w:t>
      </w:r>
      <w:r w:rsidR="008A6A5B">
        <w:rPr>
          <w:bCs/>
          <w:sz w:val="28"/>
          <w:lang w:val="en-GB"/>
        </w:rPr>
        <w:t xml:space="preserve"> acted </w:t>
      </w:r>
      <w:r w:rsidR="006A2D41">
        <w:rPr>
          <w:bCs/>
          <w:sz w:val="28"/>
          <w:lang w:val="en-GB"/>
        </w:rPr>
        <w:t xml:space="preserve">promptly in coming to the court to seek </w:t>
      </w:r>
      <w:r w:rsidR="00281B0A">
        <w:rPr>
          <w:bCs/>
          <w:sz w:val="28"/>
          <w:lang w:val="en-GB"/>
        </w:rPr>
        <w:t>indulgence</w:t>
      </w:r>
      <w:r w:rsidR="00F415E4">
        <w:rPr>
          <w:bCs/>
          <w:sz w:val="28"/>
          <w:lang w:val="en-GB"/>
        </w:rPr>
        <w:t xml:space="preserve"> and there are </w:t>
      </w:r>
      <w:r w:rsidR="00C818D5">
        <w:rPr>
          <w:bCs/>
          <w:sz w:val="28"/>
          <w:lang w:val="en-GB"/>
        </w:rPr>
        <w:t xml:space="preserve">no other </w:t>
      </w:r>
      <w:r w:rsidR="00FD030C">
        <w:rPr>
          <w:bCs/>
          <w:sz w:val="28"/>
          <w:lang w:val="en-GB"/>
        </w:rPr>
        <w:t xml:space="preserve">special factors militating </w:t>
      </w:r>
      <w:r w:rsidR="007C0841">
        <w:rPr>
          <w:bCs/>
          <w:sz w:val="28"/>
          <w:lang w:val="en-GB"/>
        </w:rPr>
        <w:t xml:space="preserve">against the defendant’s application here, </w:t>
      </w:r>
      <w:r w:rsidR="00B41960">
        <w:rPr>
          <w:bCs/>
          <w:sz w:val="28"/>
          <w:lang w:val="en-GB"/>
        </w:rPr>
        <w:t>such as delay in taking out application.</w:t>
      </w:r>
      <w:r w:rsidR="005C2035">
        <w:rPr>
          <w:bCs/>
          <w:sz w:val="28"/>
          <w:lang w:val="en-GB"/>
        </w:rPr>
        <w:t xml:space="preserve">  </w:t>
      </w:r>
      <w:r w:rsidR="00B41960" w:rsidRPr="005C2035">
        <w:rPr>
          <w:bCs/>
          <w:sz w:val="28"/>
          <w:lang w:val="en-GB"/>
        </w:rPr>
        <w:t>I am, therefore satisfied that it is a suitable case for setting aside the default judgment and allow the defendant to defend</w:t>
      </w:r>
      <w:r w:rsidR="00E63E32" w:rsidRPr="005C2035">
        <w:rPr>
          <w:bCs/>
          <w:sz w:val="28"/>
          <w:lang w:val="en-GB"/>
        </w:rPr>
        <w:t xml:space="preserve"> t</w:t>
      </w:r>
      <w:r w:rsidR="007768D5" w:rsidRPr="005C2035">
        <w:rPr>
          <w:bCs/>
          <w:sz w:val="28"/>
          <w:lang w:val="en-GB"/>
        </w:rPr>
        <w:t>he plaintiff’s case</w:t>
      </w:r>
      <w:r w:rsidR="00E63E32" w:rsidRPr="005C2035">
        <w:rPr>
          <w:bCs/>
          <w:sz w:val="28"/>
          <w:lang w:val="en-GB"/>
        </w:rPr>
        <w:t>.</w:t>
      </w:r>
    </w:p>
    <w:p w:rsidR="00536A99" w:rsidRDefault="00536A99" w:rsidP="00536A99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7768D5" w:rsidRPr="005C2035" w:rsidRDefault="007768D5" w:rsidP="00536A99">
      <w:pPr>
        <w:tabs>
          <w:tab w:val="left" w:pos="1418"/>
        </w:tabs>
        <w:spacing w:line="360" w:lineRule="auto"/>
        <w:jc w:val="both"/>
        <w:rPr>
          <w:bCs/>
          <w:i/>
          <w:sz w:val="28"/>
          <w:lang w:val="en-GB"/>
        </w:rPr>
      </w:pPr>
      <w:r w:rsidRPr="005C2035">
        <w:rPr>
          <w:bCs/>
          <w:i/>
          <w:sz w:val="28"/>
          <w:lang w:val="en-GB"/>
        </w:rPr>
        <w:t>Costs</w:t>
      </w:r>
    </w:p>
    <w:p w:rsidR="00536A99" w:rsidRDefault="00536A99" w:rsidP="00536A99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C0CA3" w:rsidRDefault="00536A99" w:rsidP="00EC0CA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(Discussion)</w:t>
      </w:r>
    </w:p>
    <w:p w:rsidR="00EC0CA3" w:rsidRDefault="00EC0CA3" w:rsidP="00EC0CA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536A99" w:rsidRDefault="00EC0CA3" w:rsidP="00ED7710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This is my ruling on costs.</w:t>
      </w:r>
    </w:p>
    <w:p w:rsidR="002421EE" w:rsidRDefault="002421EE" w:rsidP="002421EE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570F0C" w:rsidRPr="005C2035" w:rsidRDefault="00EC0CA3" w:rsidP="005C203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Miss Yu relie</w:t>
      </w:r>
      <w:r w:rsidR="005C2035">
        <w:rPr>
          <w:bCs/>
          <w:sz w:val="28"/>
          <w:lang w:val="en-GB"/>
        </w:rPr>
        <w:t>d</w:t>
      </w:r>
      <w:r>
        <w:rPr>
          <w:bCs/>
          <w:sz w:val="28"/>
          <w:lang w:val="en-GB"/>
        </w:rPr>
        <w:t xml:space="preserve"> on </w:t>
      </w:r>
      <w:proofErr w:type="spellStart"/>
      <w:r w:rsidRPr="002421EE">
        <w:rPr>
          <w:bCs/>
          <w:i/>
          <w:sz w:val="28"/>
          <w:lang w:val="en-GB"/>
        </w:rPr>
        <w:t>Welson</w:t>
      </w:r>
      <w:proofErr w:type="spellEnd"/>
      <w:r w:rsidRPr="002421EE">
        <w:rPr>
          <w:bCs/>
          <w:i/>
          <w:sz w:val="28"/>
          <w:lang w:val="en-GB"/>
        </w:rPr>
        <w:t xml:space="preserve"> International Limited v </w:t>
      </w:r>
      <w:proofErr w:type="spellStart"/>
      <w:r w:rsidRPr="002421EE">
        <w:rPr>
          <w:bCs/>
          <w:i/>
          <w:sz w:val="28"/>
          <w:lang w:val="en-GB"/>
        </w:rPr>
        <w:t>Je</w:t>
      </w:r>
      <w:r w:rsidR="00570F0C">
        <w:rPr>
          <w:bCs/>
          <w:i/>
          <w:sz w:val="28"/>
          <w:lang w:val="en-GB"/>
        </w:rPr>
        <w:t>bson</w:t>
      </w:r>
      <w:proofErr w:type="spellEnd"/>
      <w:r w:rsidRPr="002421EE">
        <w:rPr>
          <w:bCs/>
          <w:i/>
          <w:sz w:val="28"/>
          <w:lang w:val="en-GB"/>
        </w:rPr>
        <w:t xml:space="preserve"> Investment Limited</w:t>
      </w:r>
      <w:r w:rsidR="005C2035">
        <w:rPr>
          <w:bCs/>
          <w:i/>
          <w:sz w:val="28"/>
          <w:lang w:val="en-GB"/>
        </w:rPr>
        <w:t xml:space="preserve"> </w:t>
      </w:r>
      <w:r w:rsidR="005C2035" w:rsidRPr="005C2035">
        <w:rPr>
          <w:bCs/>
          <w:sz w:val="28"/>
          <w:lang w:val="en-GB"/>
        </w:rPr>
        <w:t>(</w:t>
      </w:r>
      <w:r>
        <w:rPr>
          <w:bCs/>
          <w:sz w:val="28"/>
          <w:lang w:val="en-GB"/>
        </w:rPr>
        <w:t xml:space="preserve">HCA </w:t>
      </w:r>
      <w:r w:rsidR="00E962BD">
        <w:rPr>
          <w:bCs/>
          <w:sz w:val="28"/>
          <w:lang w:val="en-GB"/>
        </w:rPr>
        <w:t>2620/</w:t>
      </w:r>
      <w:r w:rsidR="00BF7744">
        <w:rPr>
          <w:bCs/>
          <w:sz w:val="28"/>
          <w:lang w:val="en-GB"/>
        </w:rPr>
        <w:t>2008</w:t>
      </w:r>
      <w:r w:rsidR="005C2035">
        <w:rPr>
          <w:bCs/>
          <w:sz w:val="28"/>
          <w:lang w:val="en-GB"/>
        </w:rPr>
        <w:t>) unreported 29 June 2010</w:t>
      </w:r>
      <w:r w:rsidR="00BF7744">
        <w:rPr>
          <w:bCs/>
          <w:sz w:val="28"/>
          <w:lang w:val="en-GB"/>
        </w:rPr>
        <w:t xml:space="preserve">, </w:t>
      </w:r>
      <w:r w:rsidR="006D0F95">
        <w:rPr>
          <w:bCs/>
          <w:sz w:val="28"/>
          <w:lang w:val="en-GB"/>
        </w:rPr>
        <w:t xml:space="preserve">where </w:t>
      </w:r>
      <w:r w:rsidR="005C2035">
        <w:rPr>
          <w:bCs/>
          <w:sz w:val="28"/>
          <w:lang w:val="en-GB"/>
        </w:rPr>
        <w:t xml:space="preserve">Chung J </w:t>
      </w:r>
      <w:r w:rsidR="00003A03">
        <w:rPr>
          <w:bCs/>
          <w:sz w:val="28"/>
          <w:lang w:val="en-GB"/>
        </w:rPr>
        <w:t>refer</w:t>
      </w:r>
      <w:r w:rsidR="005C2035">
        <w:rPr>
          <w:bCs/>
          <w:sz w:val="28"/>
          <w:lang w:val="en-GB"/>
        </w:rPr>
        <w:t>red</w:t>
      </w:r>
      <w:r w:rsidR="00003A03">
        <w:rPr>
          <w:bCs/>
          <w:sz w:val="28"/>
          <w:lang w:val="en-GB"/>
        </w:rPr>
        <w:t xml:space="preserve"> to the usual </w:t>
      </w:r>
      <w:r w:rsidR="00774B79">
        <w:rPr>
          <w:bCs/>
          <w:sz w:val="28"/>
          <w:lang w:val="en-GB"/>
        </w:rPr>
        <w:t xml:space="preserve">practice </w:t>
      </w:r>
      <w:r w:rsidR="00674492">
        <w:rPr>
          <w:bCs/>
          <w:sz w:val="28"/>
          <w:lang w:val="en-GB"/>
        </w:rPr>
        <w:t xml:space="preserve">in relation to </w:t>
      </w:r>
      <w:r w:rsidR="00F4675F">
        <w:rPr>
          <w:bCs/>
          <w:sz w:val="28"/>
          <w:lang w:val="en-GB"/>
        </w:rPr>
        <w:t xml:space="preserve">costs where a default judgment </w:t>
      </w:r>
      <w:r w:rsidR="003F5C35">
        <w:rPr>
          <w:bCs/>
          <w:sz w:val="28"/>
          <w:lang w:val="en-GB"/>
        </w:rPr>
        <w:t xml:space="preserve">is set aside on </w:t>
      </w:r>
      <w:r w:rsidR="00FA5469">
        <w:rPr>
          <w:bCs/>
          <w:sz w:val="28"/>
          <w:lang w:val="en-GB"/>
        </w:rPr>
        <w:t xml:space="preserve">grounds of </w:t>
      </w:r>
      <w:r w:rsidR="0082720C">
        <w:rPr>
          <w:bCs/>
          <w:sz w:val="28"/>
          <w:lang w:val="en-GB"/>
        </w:rPr>
        <w:t xml:space="preserve">a meritorious defence.  </w:t>
      </w:r>
      <w:r w:rsidR="0082720C" w:rsidRPr="005C2035">
        <w:rPr>
          <w:bCs/>
          <w:sz w:val="28"/>
          <w:lang w:val="en-GB"/>
        </w:rPr>
        <w:t xml:space="preserve">In paragraph </w:t>
      </w:r>
      <w:r w:rsidR="00672043" w:rsidRPr="005C2035">
        <w:rPr>
          <w:bCs/>
          <w:sz w:val="28"/>
          <w:lang w:val="en-GB"/>
        </w:rPr>
        <w:t xml:space="preserve">14, </w:t>
      </w:r>
      <w:r w:rsidR="00672043" w:rsidRPr="005C2035">
        <w:rPr>
          <w:bCs/>
          <w:sz w:val="28"/>
          <w:lang w:val="en-GB"/>
        </w:rPr>
        <w:lastRenderedPageBreak/>
        <w:t xml:space="preserve">the learned judge cited </w:t>
      </w:r>
      <w:r w:rsidR="00A56C49">
        <w:rPr>
          <w:bCs/>
          <w:sz w:val="28"/>
          <w:lang w:val="en-GB"/>
        </w:rPr>
        <w:t>paragraph 13/9/16, Hong Kong Civil Procedure 2010, Vol. 1:</w:t>
      </w:r>
      <w:r w:rsidR="002421EE" w:rsidRPr="005C2035">
        <w:rPr>
          <w:bCs/>
          <w:sz w:val="28"/>
          <w:lang w:val="en-GB"/>
        </w:rPr>
        <w:t xml:space="preserve"> </w:t>
      </w:r>
    </w:p>
    <w:p w:rsidR="00570F0C" w:rsidRPr="00570F0C" w:rsidRDefault="00570F0C" w:rsidP="00570F0C">
      <w:pPr>
        <w:tabs>
          <w:tab w:val="left" w:pos="1418"/>
        </w:tabs>
        <w:jc w:val="both"/>
        <w:rPr>
          <w:bCs/>
          <w:lang w:val="en-GB"/>
        </w:rPr>
      </w:pPr>
    </w:p>
    <w:p w:rsidR="00EC0CA3" w:rsidRPr="00570F0C" w:rsidRDefault="00570F0C" w:rsidP="00570F0C">
      <w:pPr>
        <w:tabs>
          <w:tab w:val="left" w:pos="1418"/>
        </w:tabs>
        <w:ind w:left="1418"/>
        <w:jc w:val="both"/>
        <w:rPr>
          <w:bCs/>
          <w:lang w:val="en-GB"/>
        </w:rPr>
      </w:pPr>
      <w:r w:rsidRPr="00570F0C">
        <w:rPr>
          <w:bCs/>
          <w:lang w:val="en-GB"/>
        </w:rPr>
        <w:t>“W</w:t>
      </w:r>
      <w:r w:rsidR="00416B82" w:rsidRPr="00570F0C">
        <w:rPr>
          <w:bCs/>
          <w:lang w:val="en-GB"/>
        </w:rPr>
        <w:t xml:space="preserve">here the defendant has been at fault, </w:t>
      </w:r>
      <w:r w:rsidR="00535C66" w:rsidRPr="00570F0C">
        <w:rPr>
          <w:bCs/>
          <w:lang w:val="en-GB"/>
        </w:rPr>
        <w:t xml:space="preserve">the usual practice is for </w:t>
      </w:r>
      <w:r w:rsidR="00A02554" w:rsidRPr="00570F0C">
        <w:rPr>
          <w:bCs/>
          <w:lang w:val="en-GB"/>
        </w:rPr>
        <w:t xml:space="preserve">the plaintiff to </w:t>
      </w:r>
      <w:r w:rsidR="00114732" w:rsidRPr="00570F0C">
        <w:rPr>
          <w:bCs/>
          <w:lang w:val="en-GB"/>
        </w:rPr>
        <w:t>be awarded</w:t>
      </w:r>
      <w:r w:rsidRPr="00570F0C">
        <w:rPr>
          <w:bCs/>
          <w:lang w:val="en-GB"/>
        </w:rPr>
        <w:t xml:space="preserve"> his</w:t>
      </w:r>
      <w:r w:rsidR="00114732" w:rsidRPr="00570F0C">
        <w:rPr>
          <w:bCs/>
          <w:lang w:val="en-GB"/>
        </w:rPr>
        <w:t xml:space="preserve"> </w:t>
      </w:r>
      <w:r w:rsidR="009A2B3F" w:rsidRPr="00570F0C">
        <w:rPr>
          <w:bCs/>
          <w:lang w:val="en-GB"/>
        </w:rPr>
        <w:t>costs in any event</w:t>
      </w:r>
      <w:r w:rsidRPr="00570F0C">
        <w:rPr>
          <w:bCs/>
          <w:lang w:val="en-GB"/>
        </w:rPr>
        <w:t>;</w:t>
      </w:r>
      <w:r w:rsidR="009A2B3F" w:rsidRPr="00570F0C">
        <w:rPr>
          <w:bCs/>
          <w:lang w:val="en-GB"/>
        </w:rPr>
        <w:t xml:space="preserve"> </w:t>
      </w:r>
      <w:r w:rsidRPr="00570F0C">
        <w:rPr>
          <w:bCs/>
          <w:lang w:val="en-GB"/>
        </w:rPr>
        <w:t>s</w:t>
      </w:r>
      <w:r w:rsidR="009A2B3F" w:rsidRPr="00570F0C">
        <w:rPr>
          <w:bCs/>
          <w:lang w:val="en-GB"/>
        </w:rPr>
        <w:t xml:space="preserve">uch </w:t>
      </w:r>
      <w:r w:rsidRPr="00570F0C">
        <w:rPr>
          <w:bCs/>
          <w:lang w:val="en-GB"/>
        </w:rPr>
        <w:t>p</w:t>
      </w:r>
      <w:r w:rsidR="009A2B3F" w:rsidRPr="00570F0C">
        <w:rPr>
          <w:bCs/>
          <w:lang w:val="en-GB"/>
        </w:rPr>
        <w:t xml:space="preserve">ractice </w:t>
      </w:r>
      <w:r w:rsidR="004F3D34" w:rsidRPr="00570F0C">
        <w:rPr>
          <w:bCs/>
          <w:lang w:val="en-GB"/>
        </w:rPr>
        <w:t xml:space="preserve">is not appropriate, however, </w:t>
      </w:r>
      <w:r w:rsidR="004241EA" w:rsidRPr="00570F0C">
        <w:rPr>
          <w:bCs/>
          <w:lang w:val="en-GB"/>
        </w:rPr>
        <w:t xml:space="preserve">on setting aside </w:t>
      </w:r>
      <w:r w:rsidR="006C3F3C" w:rsidRPr="00570F0C">
        <w:rPr>
          <w:bCs/>
          <w:lang w:val="en-GB"/>
        </w:rPr>
        <w:t>a regular judgment where neither party has been at fault</w:t>
      </w:r>
      <w:r w:rsidR="002A097D">
        <w:rPr>
          <w:bCs/>
          <w:lang w:val="en-GB"/>
        </w:rPr>
        <w:t xml:space="preserve"> </w:t>
      </w:r>
      <w:r w:rsidR="002A097D" w:rsidRPr="002A097D">
        <w:rPr>
          <w:i/>
        </w:rPr>
        <w:t>(Cox (Peter) v</w:t>
      </w:r>
      <w:r w:rsidR="002A097D">
        <w:rPr>
          <w:i/>
        </w:rPr>
        <w:t>.</w:t>
      </w:r>
      <w:r w:rsidR="002A097D" w:rsidRPr="002A097D">
        <w:rPr>
          <w:i/>
        </w:rPr>
        <w:t xml:space="preserve"> </w:t>
      </w:r>
      <w:proofErr w:type="spellStart"/>
      <w:r w:rsidR="002A097D" w:rsidRPr="002A097D">
        <w:rPr>
          <w:i/>
        </w:rPr>
        <w:t>Thirwell</w:t>
      </w:r>
      <w:proofErr w:type="spellEnd"/>
      <w:r w:rsidR="002A097D" w:rsidRPr="002A097D">
        <w:rPr>
          <w:i/>
        </w:rPr>
        <w:t xml:space="preserve"> </w:t>
      </w:r>
      <w:r w:rsidR="002A097D" w:rsidRPr="002A097D">
        <w:t>(1981) 125 S.J. 481</w:t>
      </w:r>
      <w:r w:rsidR="002A097D">
        <w:t>)</w:t>
      </w:r>
      <w:r w:rsidRPr="002A097D">
        <w:rPr>
          <w:bCs/>
          <w:lang w:val="en-GB"/>
        </w:rPr>
        <w:t>”</w:t>
      </w:r>
      <w:r w:rsidR="006C3F3C" w:rsidRPr="002A097D">
        <w:rPr>
          <w:bCs/>
          <w:lang w:val="en-GB"/>
        </w:rPr>
        <w:t>.</w:t>
      </w:r>
    </w:p>
    <w:p w:rsidR="007B1C3C" w:rsidRDefault="007B1C3C" w:rsidP="007B1C3C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BC4A69" w:rsidRDefault="00A56C49" w:rsidP="001F01F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rFonts w:hint="eastAsia"/>
          <w:bCs/>
          <w:sz w:val="28"/>
          <w:lang w:val="en-GB"/>
        </w:rPr>
      </w:pPr>
      <w:r w:rsidRPr="00BC4A69">
        <w:rPr>
          <w:bCs/>
          <w:sz w:val="28"/>
          <w:lang w:val="en-GB"/>
        </w:rPr>
        <w:t xml:space="preserve">There </w:t>
      </w:r>
      <w:r w:rsidR="006C3F3C" w:rsidRPr="00BC4A69">
        <w:rPr>
          <w:bCs/>
          <w:sz w:val="28"/>
          <w:lang w:val="en-GB"/>
        </w:rPr>
        <w:t xml:space="preserve">the learned judge </w:t>
      </w:r>
      <w:r w:rsidR="006930D5" w:rsidRPr="00BC4A69">
        <w:rPr>
          <w:bCs/>
          <w:sz w:val="28"/>
          <w:lang w:val="en-GB"/>
        </w:rPr>
        <w:t>agree</w:t>
      </w:r>
      <w:r w:rsidR="002A097D" w:rsidRPr="00BC4A69">
        <w:rPr>
          <w:bCs/>
          <w:sz w:val="28"/>
          <w:lang w:val="en-GB"/>
        </w:rPr>
        <w:t>d</w:t>
      </w:r>
      <w:r w:rsidR="006930D5" w:rsidRPr="00BC4A69">
        <w:rPr>
          <w:bCs/>
          <w:sz w:val="28"/>
          <w:lang w:val="en-GB"/>
        </w:rPr>
        <w:t xml:space="preserve"> with </w:t>
      </w:r>
      <w:r w:rsidR="00FD796D" w:rsidRPr="00BC4A69">
        <w:rPr>
          <w:bCs/>
          <w:sz w:val="28"/>
          <w:lang w:val="en-GB"/>
        </w:rPr>
        <w:t xml:space="preserve">the defendant and adopted an approach similar to the court’s usual approach in </w:t>
      </w:r>
      <w:r w:rsidR="007B1C3C" w:rsidRPr="00BC4A69">
        <w:rPr>
          <w:bCs/>
          <w:sz w:val="28"/>
          <w:lang w:val="en-GB"/>
        </w:rPr>
        <w:t xml:space="preserve">contested applications for leave to amend </w:t>
      </w:r>
      <w:r w:rsidR="002E300C" w:rsidRPr="00BC4A69">
        <w:rPr>
          <w:bCs/>
          <w:sz w:val="28"/>
          <w:lang w:val="en-GB"/>
        </w:rPr>
        <w:t xml:space="preserve">pleadings, that is, to allow </w:t>
      </w:r>
      <w:r w:rsidR="007E1AEF" w:rsidRPr="00BC4A69">
        <w:rPr>
          <w:bCs/>
          <w:sz w:val="28"/>
          <w:lang w:val="en-GB"/>
        </w:rPr>
        <w:t>costs to follow the event.</w:t>
      </w:r>
      <w:r w:rsidR="00BC4A69">
        <w:rPr>
          <w:rFonts w:hint="eastAsia"/>
          <w:bCs/>
          <w:sz w:val="28"/>
          <w:lang w:val="en-GB"/>
        </w:rPr>
        <w:t xml:space="preserve">  T</w:t>
      </w:r>
      <w:r w:rsidR="00B911AF" w:rsidRPr="00BC4A69">
        <w:rPr>
          <w:bCs/>
          <w:sz w:val="28"/>
          <w:lang w:val="en-GB"/>
        </w:rPr>
        <w:t xml:space="preserve">he learned judge also explained why </w:t>
      </w:r>
      <w:r w:rsidR="00D17C03" w:rsidRPr="00BC4A69">
        <w:rPr>
          <w:bCs/>
          <w:sz w:val="28"/>
          <w:lang w:val="en-GB"/>
        </w:rPr>
        <w:t xml:space="preserve">he did not follow </w:t>
      </w:r>
      <w:r w:rsidR="00502FF7" w:rsidRPr="00BC4A69">
        <w:rPr>
          <w:bCs/>
          <w:sz w:val="28"/>
          <w:lang w:val="en-GB"/>
        </w:rPr>
        <w:t xml:space="preserve">the case of </w:t>
      </w:r>
      <w:r w:rsidR="005E308C" w:rsidRPr="00BC4A69">
        <w:rPr>
          <w:bCs/>
          <w:i/>
          <w:sz w:val="28"/>
          <w:lang w:val="en-GB"/>
        </w:rPr>
        <w:t xml:space="preserve">Cox (Peter) v </w:t>
      </w:r>
      <w:proofErr w:type="spellStart"/>
      <w:r w:rsidR="005E308C" w:rsidRPr="00BC4A69">
        <w:rPr>
          <w:bCs/>
          <w:i/>
          <w:sz w:val="28"/>
          <w:lang w:val="en-GB"/>
        </w:rPr>
        <w:t>Thirwell</w:t>
      </w:r>
      <w:proofErr w:type="spellEnd"/>
      <w:r w:rsidR="000E7A84" w:rsidRPr="00BC4A69">
        <w:rPr>
          <w:bCs/>
          <w:sz w:val="28"/>
          <w:lang w:val="en-GB"/>
        </w:rPr>
        <w:t>.</w:t>
      </w:r>
    </w:p>
    <w:p w:rsidR="00BC4A69" w:rsidRDefault="00BC4A69" w:rsidP="00BC4A69">
      <w:pPr>
        <w:tabs>
          <w:tab w:val="left" w:pos="1418"/>
        </w:tabs>
        <w:spacing w:line="360" w:lineRule="auto"/>
        <w:jc w:val="both"/>
        <w:rPr>
          <w:rFonts w:hint="eastAsia"/>
          <w:bCs/>
          <w:sz w:val="28"/>
          <w:lang w:val="en-GB"/>
        </w:rPr>
      </w:pPr>
    </w:p>
    <w:p w:rsidR="00A44EDD" w:rsidRPr="00BC4A69" w:rsidRDefault="002A097D" w:rsidP="001F01F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 w:rsidRPr="00BC4A69">
        <w:rPr>
          <w:bCs/>
          <w:sz w:val="28"/>
          <w:lang w:val="en-GB"/>
        </w:rPr>
        <w:t xml:space="preserve">  </w:t>
      </w:r>
      <w:r w:rsidR="00BC4A69">
        <w:rPr>
          <w:rFonts w:hint="eastAsia"/>
          <w:bCs/>
          <w:sz w:val="28"/>
          <w:lang w:val="en-GB"/>
        </w:rPr>
        <w:t>In the same judgment, the</w:t>
      </w:r>
      <w:r w:rsidR="000576AC" w:rsidRPr="00BC4A69">
        <w:rPr>
          <w:bCs/>
          <w:sz w:val="28"/>
          <w:lang w:val="en-GB"/>
        </w:rPr>
        <w:t xml:space="preserve"> learned judge refer</w:t>
      </w:r>
      <w:r w:rsidR="00AC2F79" w:rsidRPr="00BC4A69">
        <w:rPr>
          <w:bCs/>
          <w:sz w:val="28"/>
          <w:lang w:val="en-GB"/>
        </w:rPr>
        <w:t>red</w:t>
      </w:r>
      <w:r w:rsidR="000576AC" w:rsidRPr="00BC4A69">
        <w:rPr>
          <w:bCs/>
          <w:sz w:val="28"/>
          <w:lang w:val="en-GB"/>
        </w:rPr>
        <w:t xml:space="preserve"> to the </w:t>
      </w:r>
      <w:r w:rsidR="0073315A" w:rsidRPr="00BC4A69">
        <w:rPr>
          <w:bCs/>
          <w:sz w:val="28"/>
          <w:lang w:val="en-GB"/>
        </w:rPr>
        <w:t xml:space="preserve">plaintiff’s </w:t>
      </w:r>
      <w:r w:rsidR="00D52947" w:rsidRPr="00BC4A69">
        <w:rPr>
          <w:bCs/>
          <w:sz w:val="28"/>
          <w:lang w:val="en-GB"/>
        </w:rPr>
        <w:t xml:space="preserve">submission that </w:t>
      </w:r>
      <w:r w:rsidR="00570F0C" w:rsidRPr="00BC4A69">
        <w:rPr>
          <w:bCs/>
          <w:sz w:val="28"/>
          <w:lang w:val="en-GB"/>
        </w:rPr>
        <w:t>“</w:t>
      </w:r>
      <w:r w:rsidR="00EA660F" w:rsidRPr="00BC4A69">
        <w:rPr>
          <w:bCs/>
          <w:sz w:val="28"/>
          <w:lang w:val="en-GB"/>
        </w:rPr>
        <w:t xml:space="preserve">as long as </w:t>
      </w:r>
      <w:r w:rsidR="00827FFD" w:rsidRPr="00BC4A69">
        <w:rPr>
          <w:bCs/>
          <w:sz w:val="28"/>
          <w:lang w:val="en-GB"/>
        </w:rPr>
        <w:t xml:space="preserve">an opposing </w:t>
      </w:r>
      <w:r w:rsidR="00354211" w:rsidRPr="00BC4A69">
        <w:rPr>
          <w:bCs/>
          <w:sz w:val="28"/>
          <w:lang w:val="en-GB"/>
        </w:rPr>
        <w:t>party is made to a</w:t>
      </w:r>
      <w:r w:rsidR="00B73627" w:rsidRPr="00BC4A69">
        <w:rPr>
          <w:bCs/>
          <w:sz w:val="28"/>
          <w:lang w:val="en-GB"/>
        </w:rPr>
        <w:t>ttend a setting-</w:t>
      </w:r>
      <w:r w:rsidR="00354211" w:rsidRPr="00BC4A69">
        <w:rPr>
          <w:bCs/>
          <w:sz w:val="28"/>
          <w:lang w:val="en-GB"/>
        </w:rPr>
        <w:t>aside application</w:t>
      </w:r>
      <w:r w:rsidR="00570F0C" w:rsidRPr="00BC4A69">
        <w:rPr>
          <w:bCs/>
          <w:sz w:val="28"/>
          <w:lang w:val="en-GB"/>
        </w:rPr>
        <w:t>”</w:t>
      </w:r>
      <w:r w:rsidR="00AC2F79" w:rsidRPr="00BC4A69">
        <w:rPr>
          <w:bCs/>
          <w:sz w:val="28"/>
          <w:lang w:val="en-GB"/>
        </w:rPr>
        <w:t xml:space="preserve">, </w:t>
      </w:r>
      <w:r w:rsidR="00354211" w:rsidRPr="00BC4A69">
        <w:rPr>
          <w:bCs/>
          <w:sz w:val="28"/>
          <w:lang w:val="en-GB"/>
        </w:rPr>
        <w:t xml:space="preserve">that is, </w:t>
      </w:r>
      <w:r w:rsidR="00E62BF5" w:rsidRPr="00BC4A69">
        <w:rPr>
          <w:bCs/>
          <w:sz w:val="28"/>
          <w:lang w:val="en-GB"/>
        </w:rPr>
        <w:t xml:space="preserve">the plaintiff, </w:t>
      </w:r>
      <w:r w:rsidR="00570F0C" w:rsidRPr="00BC4A69">
        <w:rPr>
          <w:bCs/>
          <w:sz w:val="28"/>
          <w:lang w:val="en-GB"/>
        </w:rPr>
        <w:t>“</w:t>
      </w:r>
      <w:r w:rsidR="00E62BF5" w:rsidRPr="00BC4A69">
        <w:rPr>
          <w:bCs/>
          <w:sz w:val="28"/>
          <w:lang w:val="en-GB"/>
        </w:rPr>
        <w:t xml:space="preserve">that party </w:t>
      </w:r>
      <w:r w:rsidR="008D1A02" w:rsidRPr="00BC4A69">
        <w:rPr>
          <w:bCs/>
          <w:sz w:val="28"/>
          <w:lang w:val="en-GB"/>
        </w:rPr>
        <w:t xml:space="preserve">should be entitled to </w:t>
      </w:r>
      <w:r w:rsidR="00B60B7B" w:rsidRPr="00BC4A69">
        <w:rPr>
          <w:bCs/>
          <w:sz w:val="28"/>
          <w:lang w:val="en-GB"/>
        </w:rPr>
        <w:t>all the costs</w:t>
      </w:r>
      <w:r w:rsidR="00570F0C" w:rsidRPr="00BC4A69">
        <w:rPr>
          <w:bCs/>
          <w:sz w:val="28"/>
          <w:lang w:val="en-GB"/>
        </w:rPr>
        <w:t>”</w:t>
      </w:r>
      <w:r w:rsidR="00B60B7B" w:rsidRPr="00BC4A69">
        <w:rPr>
          <w:bCs/>
          <w:sz w:val="28"/>
          <w:lang w:val="en-GB"/>
        </w:rPr>
        <w:t xml:space="preserve">.  In response to that submission, the learned judge </w:t>
      </w:r>
      <w:r w:rsidR="006234FB" w:rsidRPr="00BC4A69">
        <w:rPr>
          <w:bCs/>
          <w:sz w:val="28"/>
          <w:lang w:val="en-GB"/>
        </w:rPr>
        <w:t xml:space="preserve">said he disagreed, because </w:t>
      </w:r>
      <w:r w:rsidR="001B14BD" w:rsidRPr="00BC4A69">
        <w:rPr>
          <w:bCs/>
          <w:sz w:val="28"/>
          <w:lang w:val="en-GB"/>
        </w:rPr>
        <w:t>“[</w:t>
      </w:r>
      <w:r w:rsidR="009450F4" w:rsidRPr="00BC4A69">
        <w:rPr>
          <w:bCs/>
          <w:sz w:val="28"/>
          <w:lang w:val="en-GB"/>
        </w:rPr>
        <w:t>t</w:t>
      </w:r>
      <w:r w:rsidR="001B14BD" w:rsidRPr="00BC4A69">
        <w:rPr>
          <w:bCs/>
          <w:sz w:val="28"/>
          <w:lang w:val="en-GB"/>
        </w:rPr>
        <w:t>]</w:t>
      </w:r>
      <w:r w:rsidR="009450F4" w:rsidRPr="00BC4A69">
        <w:rPr>
          <w:bCs/>
          <w:sz w:val="28"/>
          <w:lang w:val="en-GB"/>
        </w:rPr>
        <w:t xml:space="preserve">o do so would encourage </w:t>
      </w:r>
      <w:r w:rsidR="001303EB" w:rsidRPr="00BC4A69">
        <w:rPr>
          <w:bCs/>
          <w:sz w:val="28"/>
          <w:lang w:val="en-GB"/>
        </w:rPr>
        <w:t>setting</w:t>
      </w:r>
      <w:r w:rsidR="00B73627" w:rsidRPr="00BC4A69">
        <w:rPr>
          <w:bCs/>
          <w:sz w:val="28"/>
          <w:lang w:val="en-GB"/>
        </w:rPr>
        <w:t>-</w:t>
      </w:r>
      <w:r w:rsidR="001303EB" w:rsidRPr="00BC4A69">
        <w:rPr>
          <w:bCs/>
          <w:sz w:val="28"/>
          <w:lang w:val="en-GB"/>
        </w:rPr>
        <w:t xml:space="preserve">aside applications </w:t>
      </w:r>
      <w:r w:rsidR="00646483" w:rsidRPr="00BC4A69">
        <w:rPr>
          <w:bCs/>
          <w:sz w:val="28"/>
          <w:lang w:val="en-GB"/>
        </w:rPr>
        <w:t xml:space="preserve">to be contested irrespective of </w:t>
      </w:r>
      <w:r w:rsidR="00A44EDD" w:rsidRPr="00BC4A69">
        <w:rPr>
          <w:bCs/>
          <w:sz w:val="28"/>
          <w:lang w:val="en-GB"/>
        </w:rPr>
        <w:t>whether there is substance in the opposition</w:t>
      </w:r>
      <w:r w:rsidR="001B14BD" w:rsidRPr="00BC4A69">
        <w:rPr>
          <w:bCs/>
          <w:sz w:val="28"/>
          <w:lang w:val="en-GB"/>
        </w:rPr>
        <w:t>”</w:t>
      </w:r>
      <w:r w:rsidR="00A44EDD" w:rsidRPr="00BC4A69">
        <w:rPr>
          <w:bCs/>
          <w:sz w:val="28"/>
          <w:lang w:val="en-GB"/>
        </w:rPr>
        <w:t>.</w:t>
      </w:r>
      <w:r w:rsidR="001F01F5" w:rsidRPr="00BC4A69">
        <w:rPr>
          <w:bCs/>
          <w:sz w:val="28"/>
          <w:lang w:val="en-GB"/>
        </w:rPr>
        <w:t xml:space="preserve">  </w:t>
      </w:r>
      <w:r w:rsidR="00AC2F79" w:rsidRPr="00BC4A69">
        <w:rPr>
          <w:bCs/>
          <w:sz w:val="28"/>
          <w:lang w:val="en-GB"/>
        </w:rPr>
        <w:t>T</w:t>
      </w:r>
      <w:r w:rsidR="00B73627" w:rsidRPr="00BC4A69">
        <w:rPr>
          <w:bCs/>
          <w:sz w:val="28"/>
          <w:lang w:val="en-GB"/>
        </w:rPr>
        <w:t xml:space="preserve">he learned </w:t>
      </w:r>
      <w:proofErr w:type="gramStart"/>
      <w:r w:rsidR="00B73627" w:rsidRPr="00BC4A69">
        <w:rPr>
          <w:bCs/>
          <w:sz w:val="28"/>
          <w:lang w:val="en-GB"/>
        </w:rPr>
        <w:t>judge</w:t>
      </w:r>
      <w:r w:rsidR="007932AC" w:rsidRPr="00BC4A69">
        <w:rPr>
          <w:bCs/>
          <w:sz w:val="28"/>
          <w:lang w:val="en-GB"/>
        </w:rPr>
        <w:t>,</w:t>
      </w:r>
      <w:proofErr w:type="gramEnd"/>
      <w:r w:rsidR="007932AC" w:rsidRPr="00BC4A69">
        <w:rPr>
          <w:bCs/>
          <w:sz w:val="28"/>
          <w:lang w:val="en-GB"/>
        </w:rPr>
        <w:t xml:space="preserve"> therefore awarded costs to the defendant</w:t>
      </w:r>
      <w:r w:rsidR="000F386E" w:rsidRPr="00BC4A69">
        <w:rPr>
          <w:bCs/>
          <w:sz w:val="28"/>
          <w:lang w:val="en-GB"/>
        </w:rPr>
        <w:t xml:space="preserve">, who was, of course, </w:t>
      </w:r>
      <w:r w:rsidR="00EC5D28" w:rsidRPr="00BC4A69">
        <w:rPr>
          <w:bCs/>
          <w:sz w:val="28"/>
          <w:lang w:val="en-GB"/>
        </w:rPr>
        <w:t xml:space="preserve">seeking indulgence from the court </w:t>
      </w:r>
      <w:r w:rsidR="00233ADB" w:rsidRPr="00BC4A69">
        <w:rPr>
          <w:bCs/>
          <w:sz w:val="28"/>
          <w:lang w:val="en-GB"/>
        </w:rPr>
        <w:t xml:space="preserve">by way of an application for </w:t>
      </w:r>
      <w:r w:rsidR="001F01F5" w:rsidRPr="00BC4A69">
        <w:rPr>
          <w:bCs/>
          <w:sz w:val="28"/>
          <w:lang w:val="en-GB"/>
        </w:rPr>
        <w:t>setting aside a default judgment.</w:t>
      </w:r>
    </w:p>
    <w:p w:rsidR="00071A27" w:rsidRDefault="00071A27" w:rsidP="00071A27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C34700" w:rsidRPr="00AC2F79" w:rsidRDefault="001F01F5" w:rsidP="00AC2F79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When it comes to costs, </w:t>
      </w:r>
      <w:r w:rsidR="0025631A">
        <w:rPr>
          <w:bCs/>
          <w:sz w:val="28"/>
          <w:lang w:val="en-GB"/>
        </w:rPr>
        <w:t xml:space="preserve">it is always a matter of discretion </w:t>
      </w:r>
      <w:r w:rsidR="00F2102A">
        <w:rPr>
          <w:bCs/>
          <w:sz w:val="28"/>
          <w:lang w:val="en-GB"/>
        </w:rPr>
        <w:t xml:space="preserve">of the court and, of course, the </w:t>
      </w:r>
      <w:r w:rsidR="003359CF">
        <w:rPr>
          <w:bCs/>
          <w:sz w:val="28"/>
          <w:lang w:val="en-GB"/>
        </w:rPr>
        <w:t xml:space="preserve">discretion </w:t>
      </w:r>
      <w:r w:rsidR="009D1453">
        <w:rPr>
          <w:bCs/>
          <w:sz w:val="28"/>
          <w:lang w:val="en-GB"/>
        </w:rPr>
        <w:t xml:space="preserve">has to be exercised </w:t>
      </w:r>
      <w:r w:rsidR="00BA4190">
        <w:rPr>
          <w:bCs/>
          <w:sz w:val="28"/>
          <w:lang w:val="en-GB"/>
        </w:rPr>
        <w:t xml:space="preserve">judicially, depending on the circumstances </w:t>
      </w:r>
      <w:r w:rsidR="00172F1F">
        <w:rPr>
          <w:bCs/>
          <w:sz w:val="28"/>
          <w:lang w:val="en-GB"/>
        </w:rPr>
        <w:t>of each case.</w:t>
      </w:r>
      <w:r w:rsidR="00AC2F79">
        <w:rPr>
          <w:bCs/>
          <w:sz w:val="28"/>
          <w:lang w:val="en-GB"/>
        </w:rPr>
        <w:t xml:space="preserve">  </w:t>
      </w:r>
      <w:r w:rsidR="009E4BC0" w:rsidRPr="00AC2F79">
        <w:rPr>
          <w:bCs/>
          <w:sz w:val="28"/>
          <w:lang w:val="en-GB"/>
        </w:rPr>
        <w:t xml:space="preserve">An application for setting aside </w:t>
      </w:r>
      <w:r w:rsidR="0078025A" w:rsidRPr="00AC2F79">
        <w:rPr>
          <w:bCs/>
          <w:sz w:val="28"/>
          <w:lang w:val="en-GB"/>
        </w:rPr>
        <w:t xml:space="preserve">a regular </w:t>
      </w:r>
      <w:r w:rsidR="0065319F" w:rsidRPr="00AC2F79">
        <w:rPr>
          <w:bCs/>
          <w:sz w:val="28"/>
          <w:lang w:val="en-GB"/>
        </w:rPr>
        <w:t xml:space="preserve">judgment is clearly </w:t>
      </w:r>
      <w:r w:rsidR="00C31386" w:rsidRPr="00AC2F79">
        <w:rPr>
          <w:bCs/>
          <w:sz w:val="28"/>
          <w:lang w:val="en-GB"/>
        </w:rPr>
        <w:t>an application for indulgence</w:t>
      </w:r>
      <w:r w:rsidR="00434C6C" w:rsidRPr="00AC2F79">
        <w:rPr>
          <w:bCs/>
          <w:sz w:val="28"/>
          <w:lang w:val="en-GB"/>
        </w:rPr>
        <w:t xml:space="preserve"> of the court.  </w:t>
      </w:r>
    </w:p>
    <w:p w:rsidR="00C34700" w:rsidRDefault="00C34700" w:rsidP="00C34700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9E4BC0" w:rsidRDefault="00434C6C" w:rsidP="00E62BF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lastRenderedPageBreak/>
        <w:t xml:space="preserve">In the present case, </w:t>
      </w:r>
      <w:r w:rsidR="00B45597">
        <w:rPr>
          <w:bCs/>
          <w:sz w:val="28"/>
          <w:lang w:val="en-GB"/>
        </w:rPr>
        <w:t xml:space="preserve">I share </w:t>
      </w:r>
      <w:r w:rsidR="00C07266">
        <w:rPr>
          <w:bCs/>
          <w:sz w:val="28"/>
          <w:lang w:val="en-GB"/>
        </w:rPr>
        <w:t xml:space="preserve">with Mr </w:t>
      </w:r>
      <w:proofErr w:type="spellStart"/>
      <w:r w:rsidR="00C07266">
        <w:rPr>
          <w:bCs/>
          <w:sz w:val="28"/>
          <w:lang w:val="en-GB"/>
        </w:rPr>
        <w:t>Poon’s</w:t>
      </w:r>
      <w:proofErr w:type="spellEnd"/>
      <w:r w:rsidR="00C07266">
        <w:rPr>
          <w:bCs/>
          <w:sz w:val="28"/>
          <w:lang w:val="en-GB"/>
        </w:rPr>
        <w:t xml:space="preserve"> </w:t>
      </w:r>
      <w:r w:rsidR="004A408C">
        <w:rPr>
          <w:bCs/>
          <w:sz w:val="28"/>
          <w:lang w:val="en-GB"/>
        </w:rPr>
        <w:t xml:space="preserve">observation that </w:t>
      </w:r>
      <w:r w:rsidR="00096E7D">
        <w:rPr>
          <w:bCs/>
          <w:sz w:val="28"/>
          <w:lang w:val="en-GB"/>
        </w:rPr>
        <w:t xml:space="preserve">the </w:t>
      </w:r>
      <w:proofErr w:type="gramStart"/>
      <w:r w:rsidR="00096E7D">
        <w:rPr>
          <w:bCs/>
          <w:sz w:val="28"/>
          <w:lang w:val="en-GB"/>
        </w:rPr>
        <w:t>circumstances</w:t>
      </w:r>
      <w:proofErr w:type="gramEnd"/>
      <w:r w:rsidR="00096E7D">
        <w:rPr>
          <w:bCs/>
          <w:sz w:val="28"/>
          <w:lang w:val="en-GB"/>
        </w:rPr>
        <w:t xml:space="preserve"> in which </w:t>
      </w:r>
      <w:r w:rsidR="00595ECC">
        <w:rPr>
          <w:bCs/>
          <w:sz w:val="28"/>
          <w:lang w:val="en-GB"/>
        </w:rPr>
        <w:t xml:space="preserve">the writ and pleadings </w:t>
      </w:r>
      <w:r w:rsidR="00825712">
        <w:rPr>
          <w:bCs/>
          <w:sz w:val="28"/>
          <w:lang w:val="en-GB"/>
        </w:rPr>
        <w:t xml:space="preserve">came to escape </w:t>
      </w:r>
      <w:r w:rsidR="00713346">
        <w:rPr>
          <w:bCs/>
          <w:sz w:val="28"/>
          <w:lang w:val="en-GB"/>
        </w:rPr>
        <w:t xml:space="preserve">the defendant’s attention by reason of </w:t>
      </w:r>
      <w:r w:rsidR="00B21BFC">
        <w:rPr>
          <w:bCs/>
          <w:sz w:val="28"/>
          <w:lang w:val="en-GB"/>
        </w:rPr>
        <w:t xml:space="preserve">the defendant’s use of an address </w:t>
      </w:r>
      <w:r w:rsidR="005E098F">
        <w:rPr>
          <w:bCs/>
          <w:sz w:val="28"/>
          <w:lang w:val="en-GB"/>
        </w:rPr>
        <w:t xml:space="preserve">which was clearly </w:t>
      </w:r>
      <w:r w:rsidR="004F6460">
        <w:rPr>
          <w:bCs/>
          <w:sz w:val="28"/>
          <w:lang w:val="en-GB"/>
        </w:rPr>
        <w:t xml:space="preserve">not her own address or at least was not an address convenient </w:t>
      </w:r>
      <w:r w:rsidR="001E0F69">
        <w:rPr>
          <w:bCs/>
          <w:sz w:val="28"/>
          <w:lang w:val="en-GB"/>
        </w:rPr>
        <w:t xml:space="preserve">for the purpose of </w:t>
      </w:r>
      <w:r w:rsidR="00B03C1F">
        <w:rPr>
          <w:bCs/>
          <w:sz w:val="28"/>
          <w:lang w:val="en-GB"/>
        </w:rPr>
        <w:t xml:space="preserve">receiving correspondence.  That she had chosen to </w:t>
      </w:r>
      <w:r w:rsidR="007060F4">
        <w:rPr>
          <w:bCs/>
          <w:sz w:val="28"/>
          <w:lang w:val="en-GB"/>
        </w:rPr>
        <w:t xml:space="preserve">use such an </w:t>
      </w:r>
      <w:r w:rsidR="007D2330">
        <w:rPr>
          <w:bCs/>
          <w:sz w:val="28"/>
          <w:lang w:val="en-GB"/>
        </w:rPr>
        <w:t xml:space="preserve">address would oblige her to regularly </w:t>
      </w:r>
      <w:r w:rsidR="00F15F4F">
        <w:rPr>
          <w:bCs/>
          <w:sz w:val="28"/>
          <w:lang w:val="en-GB"/>
        </w:rPr>
        <w:t xml:space="preserve">check </w:t>
      </w:r>
      <w:r w:rsidR="00BF054C">
        <w:rPr>
          <w:bCs/>
          <w:sz w:val="28"/>
          <w:lang w:val="en-GB"/>
        </w:rPr>
        <w:t xml:space="preserve">mails sent to that address in order to </w:t>
      </w:r>
      <w:r w:rsidR="00C35EF1">
        <w:rPr>
          <w:bCs/>
          <w:sz w:val="28"/>
          <w:lang w:val="en-GB"/>
        </w:rPr>
        <w:t xml:space="preserve">avoid problems </w:t>
      </w:r>
      <w:r w:rsidR="00C358BE">
        <w:rPr>
          <w:bCs/>
          <w:sz w:val="28"/>
          <w:lang w:val="en-GB"/>
        </w:rPr>
        <w:t xml:space="preserve">like the </w:t>
      </w:r>
      <w:r w:rsidR="00475B9F">
        <w:rPr>
          <w:bCs/>
          <w:sz w:val="28"/>
          <w:lang w:val="en-GB"/>
        </w:rPr>
        <w:t xml:space="preserve">one she is now facing, that is, </w:t>
      </w:r>
      <w:r w:rsidR="000B6BFA">
        <w:rPr>
          <w:bCs/>
          <w:sz w:val="28"/>
          <w:lang w:val="en-GB"/>
        </w:rPr>
        <w:t xml:space="preserve">service of court documents </w:t>
      </w:r>
      <w:r w:rsidR="002A3617">
        <w:rPr>
          <w:bCs/>
          <w:sz w:val="28"/>
          <w:lang w:val="en-GB"/>
        </w:rPr>
        <w:t xml:space="preserve">escaping her attention.  The court is entitled to take this </w:t>
      </w:r>
      <w:r w:rsidR="00B43C35">
        <w:rPr>
          <w:bCs/>
          <w:sz w:val="28"/>
          <w:lang w:val="en-GB"/>
        </w:rPr>
        <w:t xml:space="preserve">into account </w:t>
      </w:r>
      <w:r w:rsidR="00115FE1">
        <w:rPr>
          <w:bCs/>
          <w:sz w:val="28"/>
          <w:lang w:val="en-GB"/>
        </w:rPr>
        <w:t xml:space="preserve">in considering </w:t>
      </w:r>
      <w:r w:rsidR="00924B6D">
        <w:rPr>
          <w:bCs/>
          <w:sz w:val="28"/>
          <w:lang w:val="en-GB"/>
        </w:rPr>
        <w:t xml:space="preserve">an appropriate </w:t>
      </w:r>
      <w:r w:rsidR="008F277C">
        <w:rPr>
          <w:bCs/>
          <w:sz w:val="28"/>
          <w:lang w:val="en-GB"/>
        </w:rPr>
        <w:t>costs order.</w:t>
      </w:r>
    </w:p>
    <w:p w:rsidR="00AA7C85" w:rsidRDefault="00AA7C85" w:rsidP="00AA7C85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9370D0" w:rsidRPr="00AC2F79" w:rsidRDefault="00036AA3" w:rsidP="00AC2F79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In </w:t>
      </w:r>
      <w:proofErr w:type="spellStart"/>
      <w:r w:rsidRPr="002A6AFA">
        <w:rPr>
          <w:bCs/>
          <w:i/>
          <w:sz w:val="28"/>
          <w:lang w:val="en-GB"/>
        </w:rPr>
        <w:t>Ko</w:t>
      </w:r>
      <w:proofErr w:type="spellEnd"/>
      <w:r w:rsidRPr="002A6AFA">
        <w:rPr>
          <w:bCs/>
          <w:i/>
          <w:sz w:val="28"/>
          <w:lang w:val="en-GB"/>
        </w:rPr>
        <w:t xml:space="preserve"> Sin </w:t>
      </w:r>
      <w:proofErr w:type="spellStart"/>
      <w:r w:rsidRPr="002A6AFA">
        <w:rPr>
          <w:bCs/>
          <w:i/>
          <w:sz w:val="28"/>
          <w:lang w:val="en-GB"/>
        </w:rPr>
        <w:t>Yun</w:t>
      </w:r>
      <w:proofErr w:type="spellEnd"/>
      <w:r w:rsidR="00AC2F79">
        <w:rPr>
          <w:bCs/>
          <w:i/>
          <w:sz w:val="28"/>
          <w:lang w:val="en-GB"/>
        </w:rPr>
        <w:t xml:space="preserve"> v Chan </w:t>
      </w:r>
      <w:proofErr w:type="spellStart"/>
      <w:r w:rsidR="00AC2F79">
        <w:rPr>
          <w:bCs/>
          <w:i/>
          <w:sz w:val="28"/>
          <w:lang w:val="en-GB"/>
        </w:rPr>
        <w:t>Chuen</w:t>
      </w:r>
      <w:proofErr w:type="spellEnd"/>
      <w:r w:rsidR="00AC2F79">
        <w:rPr>
          <w:bCs/>
          <w:sz w:val="28"/>
          <w:lang w:val="en-GB"/>
        </w:rPr>
        <w:t xml:space="preserve"> [2007] 1 HKLRD 324</w:t>
      </w:r>
      <w:r>
        <w:rPr>
          <w:bCs/>
          <w:sz w:val="28"/>
          <w:lang w:val="en-GB"/>
        </w:rPr>
        <w:t xml:space="preserve">, the Court of Appeal </w:t>
      </w:r>
      <w:r w:rsidR="00B50EA4">
        <w:rPr>
          <w:bCs/>
          <w:sz w:val="28"/>
          <w:lang w:val="en-GB"/>
        </w:rPr>
        <w:t xml:space="preserve">referred first to the </w:t>
      </w:r>
      <w:r w:rsidR="00D6628D">
        <w:rPr>
          <w:bCs/>
          <w:sz w:val="28"/>
          <w:lang w:val="en-GB"/>
        </w:rPr>
        <w:t xml:space="preserve">general rule for costs </w:t>
      </w:r>
      <w:r w:rsidR="00501583">
        <w:rPr>
          <w:bCs/>
          <w:sz w:val="28"/>
          <w:lang w:val="en-GB"/>
        </w:rPr>
        <w:t xml:space="preserve">to be awarded to the plaintiff </w:t>
      </w:r>
      <w:r w:rsidR="00DC77E4">
        <w:rPr>
          <w:bCs/>
          <w:sz w:val="28"/>
          <w:lang w:val="en-GB"/>
        </w:rPr>
        <w:t xml:space="preserve">in such circumstances and the alternative </w:t>
      </w:r>
      <w:r w:rsidR="005D4CA0">
        <w:rPr>
          <w:bCs/>
          <w:sz w:val="28"/>
          <w:lang w:val="en-GB"/>
        </w:rPr>
        <w:t xml:space="preserve">option of ordering costs of </w:t>
      </w:r>
      <w:r w:rsidR="00AA7C85">
        <w:rPr>
          <w:bCs/>
          <w:sz w:val="28"/>
          <w:lang w:val="en-GB"/>
        </w:rPr>
        <w:t xml:space="preserve">the application to be </w:t>
      </w:r>
      <w:r w:rsidR="002A6AFA">
        <w:rPr>
          <w:bCs/>
          <w:sz w:val="28"/>
          <w:lang w:val="en-GB"/>
        </w:rPr>
        <w:t>in the cause.</w:t>
      </w:r>
      <w:r w:rsidR="003271E4">
        <w:rPr>
          <w:bCs/>
          <w:sz w:val="28"/>
          <w:lang w:val="en-GB"/>
        </w:rPr>
        <w:t xml:space="preserve">  </w:t>
      </w:r>
      <w:r w:rsidR="002A6AFA">
        <w:rPr>
          <w:bCs/>
          <w:sz w:val="28"/>
          <w:lang w:val="en-GB"/>
        </w:rPr>
        <w:t xml:space="preserve">Of course, the Court of Appeal </w:t>
      </w:r>
      <w:r w:rsidR="009B6833">
        <w:rPr>
          <w:bCs/>
          <w:sz w:val="28"/>
          <w:lang w:val="en-GB"/>
        </w:rPr>
        <w:t xml:space="preserve">did not </w:t>
      </w:r>
      <w:r w:rsidR="00BE6A90">
        <w:rPr>
          <w:bCs/>
          <w:sz w:val="28"/>
          <w:lang w:val="en-GB"/>
        </w:rPr>
        <w:t xml:space="preserve">elaborate on the circumstances </w:t>
      </w:r>
      <w:r w:rsidR="003271E4">
        <w:rPr>
          <w:bCs/>
          <w:sz w:val="28"/>
          <w:lang w:val="en-GB"/>
        </w:rPr>
        <w:t>where an order for costs to be in the cause would be appropriate.</w:t>
      </w:r>
      <w:r w:rsidR="00AC2F79">
        <w:rPr>
          <w:bCs/>
          <w:sz w:val="28"/>
          <w:lang w:val="en-GB"/>
        </w:rPr>
        <w:t xml:space="preserve">  </w:t>
      </w:r>
      <w:r w:rsidR="00741C5C" w:rsidRPr="00AC2F79">
        <w:rPr>
          <w:bCs/>
          <w:sz w:val="28"/>
          <w:lang w:val="en-GB"/>
        </w:rPr>
        <w:t xml:space="preserve">So, the position is at large and I think </w:t>
      </w:r>
      <w:r w:rsidR="00A82D87" w:rsidRPr="00AC2F79">
        <w:rPr>
          <w:bCs/>
          <w:sz w:val="28"/>
          <w:lang w:val="en-GB"/>
        </w:rPr>
        <w:t xml:space="preserve">I am entitled to take into account </w:t>
      </w:r>
      <w:r w:rsidR="006F75E5" w:rsidRPr="00AC2F79">
        <w:rPr>
          <w:bCs/>
          <w:sz w:val="28"/>
          <w:lang w:val="en-GB"/>
        </w:rPr>
        <w:t xml:space="preserve">also the fact </w:t>
      </w:r>
      <w:r w:rsidR="003836BC" w:rsidRPr="00AC2F79">
        <w:rPr>
          <w:bCs/>
          <w:sz w:val="28"/>
          <w:lang w:val="en-GB"/>
        </w:rPr>
        <w:t xml:space="preserve">that the plaintiff </w:t>
      </w:r>
      <w:r w:rsidR="00E453B6" w:rsidRPr="00AC2F79">
        <w:rPr>
          <w:bCs/>
          <w:sz w:val="28"/>
          <w:lang w:val="en-GB"/>
        </w:rPr>
        <w:t xml:space="preserve">has opposed the application </w:t>
      </w:r>
      <w:r w:rsidR="00853536" w:rsidRPr="00AC2F79">
        <w:rPr>
          <w:bCs/>
          <w:sz w:val="28"/>
          <w:lang w:val="en-GB"/>
        </w:rPr>
        <w:t>when</w:t>
      </w:r>
      <w:r w:rsidR="00AC2F79">
        <w:rPr>
          <w:bCs/>
          <w:sz w:val="28"/>
          <w:lang w:val="en-GB"/>
        </w:rPr>
        <w:t xml:space="preserve"> </w:t>
      </w:r>
      <w:r w:rsidR="00853536" w:rsidRPr="00AC2F79">
        <w:rPr>
          <w:bCs/>
          <w:sz w:val="28"/>
          <w:lang w:val="en-GB"/>
        </w:rPr>
        <w:t xml:space="preserve">the defendant </w:t>
      </w:r>
      <w:r w:rsidR="00C43C28" w:rsidRPr="00AC2F79">
        <w:rPr>
          <w:bCs/>
          <w:sz w:val="28"/>
          <w:lang w:val="en-GB"/>
        </w:rPr>
        <w:t xml:space="preserve">clearly has a meritorious defence on liability </w:t>
      </w:r>
      <w:r w:rsidR="00AC2F79">
        <w:rPr>
          <w:bCs/>
          <w:sz w:val="28"/>
          <w:lang w:val="en-GB"/>
        </w:rPr>
        <w:t xml:space="preserve">in law </w:t>
      </w:r>
      <w:r w:rsidR="00432200" w:rsidRPr="00AC2F79">
        <w:rPr>
          <w:bCs/>
          <w:sz w:val="28"/>
          <w:lang w:val="en-GB"/>
        </w:rPr>
        <w:t xml:space="preserve">as well as on the factual allegations </w:t>
      </w:r>
      <w:r w:rsidR="002742E5" w:rsidRPr="00AC2F79">
        <w:rPr>
          <w:bCs/>
          <w:sz w:val="28"/>
          <w:lang w:val="en-GB"/>
        </w:rPr>
        <w:t xml:space="preserve">of an injury having been caused to the plaintiff when he was </w:t>
      </w:r>
      <w:r w:rsidR="009370D0" w:rsidRPr="00AC2F79">
        <w:rPr>
          <w:bCs/>
          <w:sz w:val="28"/>
          <w:lang w:val="en-GB"/>
        </w:rPr>
        <w:t>all alone in his room.</w:t>
      </w:r>
      <w:r w:rsidR="00AC2F79">
        <w:rPr>
          <w:bCs/>
          <w:sz w:val="28"/>
          <w:lang w:val="en-GB"/>
        </w:rPr>
        <w:t xml:space="preserve">  </w:t>
      </w:r>
      <w:r w:rsidR="009370D0" w:rsidRPr="00AC2F79">
        <w:rPr>
          <w:bCs/>
          <w:sz w:val="28"/>
          <w:lang w:val="en-GB"/>
        </w:rPr>
        <w:t xml:space="preserve">In my view, </w:t>
      </w:r>
      <w:r w:rsidR="000D302D" w:rsidRPr="00AC2F79">
        <w:rPr>
          <w:bCs/>
          <w:sz w:val="28"/>
          <w:lang w:val="en-GB"/>
        </w:rPr>
        <w:t xml:space="preserve">the plaintiff should have </w:t>
      </w:r>
      <w:r w:rsidR="00806D03" w:rsidRPr="00AC2F79">
        <w:rPr>
          <w:bCs/>
          <w:sz w:val="28"/>
          <w:lang w:val="en-GB"/>
        </w:rPr>
        <w:t>agreed to the defendant’</w:t>
      </w:r>
      <w:r w:rsidR="006574B6" w:rsidRPr="00AC2F79">
        <w:rPr>
          <w:bCs/>
          <w:sz w:val="28"/>
          <w:lang w:val="en-GB"/>
        </w:rPr>
        <w:t xml:space="preserve">s proposal to deal with the </w:t>
      </w:r>
      <w:r w:rsidR="00577459" w:rsidRPr="00AC2F79">
        <w:rPr>
          <w:bCs/>
          <w:sz w:val="28"/>
          <w:lang w:val="en-GB"/>
        </w:rPr>
        <w:t>application by consent to save costs.</w:t>
      </w:r>
    </w:p>
    <w:p w:rsidR="004923C3" w:rsidRDefault="004923C3" w:rsidP="004923C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577459" w:rsidRDefault="00577459" w:rsidP="00E62BF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In the circumstances and balancing </w:t>
      </w:r>
      <w:r w:rsidR="00AC2F79">
        <w:rPr>
          <w:bCs/>
          <w:sz w:val="28"/>
          <w:lang w:val="en-GB"/>
        </w:rPr>
        <w:t xml:space="preserve">the above against </w:t>
      </w:r>
      <w:r w:rsidR="004923C3">
        <w:rPr>
          <w:bCs/>
          <w:sz w:val="28"/>
          <w:lang w:val="en-GB"/>
        </w:rPr>
        <w:t xml:space="preserve">the default on the defendant’s part, I take the view that </w:t>
      </w:r>
      <w:r w:rsidR="0000647F">
        <w:rPr>
          <w:bCs/>
          <w:sz w:val="28"/>
          <w:lang w:val="en-GB"/>
        </w:rPr>
        <w:t xml:space="preserve">a proper costs order </w:t>
      </w:r>
      <w:r w:rsidR="00572E10">
        <w:rPr>
          <w:bCs/>
          <w:sz w:val="28"/>
          <w:lang w:val="en-GB"/>
        </w:rPr>
        <w:t xml:space="preserve">in the circumstances would be </w:t>
      </w:r>
      <w:r w:rsidR="00C44ECD">
        <w:rPr>
          <w:bCs/>
          <w:sz w:val="28"/>
          <w:lang w:val="en-GB"/>
        </w:rPr>
        <w:t xml:space="preserve">for </w:t>
      </w:r>
      <w:r w:rsidR="001204D2">
        <w:rPr>
          <w:bCs/>
          <w:sz w:val="28"/>
          <w:lang w:val="en-GB"/>
        </w:rPr>
        <w:t xml:space="preserve">the costs of the application </w:t>
      </w:r>
      <w:r w:rsidR="00352509">
        <w:rPr>
          <w:bCs/>
          <w:sz w:val="28"/>
          <w:lang w:val="en-GB"/>
        </w:rPr>
        <w:t>to be in the cause.</w:t>
      </w:r>
    </w:p>
    <w:p w:rsidR="00D03BAF" w:rsidRDefault="00D03BAF" w:rsidP="00D03BAF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D03BAF" w:rsidRDefault="00D03BAF" w:rsidP="00D03BAF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(Further discussion)</w:t>
      </w:r>
    </w:p>
    <w:p w:rsidR="00D03BAF" w:rsidRDefault="00D03BAF" w:rsidP="00D03BAF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AC2F79" w:rsidRDefault="00AC2F79" w:rsidP="00D03BAF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D03BAF" w:rsidRDefault="004014C2" w:rsidP="00E62BF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So, my order would be:</w:t>
      </w:r>
    </w:p>
    <w:p w:rsidR="00B11544" w:rsidRDefault="00B11544" w:rsidP="00B11544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4014C2" w:rsidRDefault="004014C2" w:rsidP="0032146A">
      <w:pPr>
        <w:numPr>
          <w:ilvl w:val="0"/>
          <w:numId w:val="3"/>
        </w:num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default judgment of </w:t>
      </w:r>
      <w:r w:rsidR="008C497B">
        <w:rPr>
          <w:bCs/>
          <w:sz w:val="28"/>
          <w:lang w:val="en-GB"/>
        </w:rPr>
        <w:t>21 September</w:t>
      </w:r>
      <w:r w:rsidR="00B11544">
        <w:rPr>
          <w:bCs/>
          <w:sz w:val="28"/>
          <w:lang w:val="en-GB"/>
        </w:rPr>
        <w:t xml:space="preserve"> 2013 be set aside;</w:t>
      </w:r>
    </w:p>
    <w:p w:rsidR="00167163" w:rsidRDefault="00167163" w:rsidP="001671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8C497B" w:rsidRDefault="008C497B" w:rsidP="0032146A">
      <w:pPr>
        <w:numPr>
          <w:ilvl w:val="0"/>
          <w:numId w:val="3"/>
        </w:num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defendant </w:t>
      </w:r>
      <w:r w:rsidR="0093238D">
        <w:rPr>
          <w:bCs/>
          <w:sz w:val="28"/>
          <w:lang w:val="en-GB"/>
        </w:rPr>
        <w:t>do have leave to file and serve a defence and counterclaim</w:t>
      </w:r>
      <w:r w:rsidR="0044189B">
        <w:rPr>
          <w:bCs/>
          <w:sz w:val="28"/>
          <w:lang w:val="en-GB"/>
        </w:rPr>
        <w:t xml:space="preserve">, if any, on or before </w:t>
      </w:r>
      <w:r w:rsidR="001029FF">
        <w:rPr>
          <w:bCs/>
          <w:sz w:val="28"/>
          <w:lang w:val="en-GB"/>
        </w:rPr>
        <w:t xml:space="preserve">21 January </w:t>
      </w:r>
      <w:r w:rsidR="00B11544">
        <w:rPr>
          <w:bCs/>
          <w:sz w:val="28"/>
          <w:lang w:val="en-GB"/>
        </w:rPr>
        <w:t>2014;</w:t>
      </w:r>
    </w:p>
    <w:p w:rsidR="00167163" w:rsidRDefault="00167163" w:rsidP="001671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071A27" w:rsidRDefault="001029FF" w:rsidP="0032146A">
      <w:pPr>
        <w:numPr>
          <w:ilvl w:val="0"/>
          <w:numId w:val="3"/>
        </w:num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plaintiff </w:t>
      </w:r>
      <w:r w:rsidR="00B11544">
        <w:rPr>
          <w:bCs/>
          <w:sz w:val="28"/>
          <w:lang w:val="en-GB"/>
        </w:rPr>
        <w:t xml:space="preserve">do have leave to file and serve a reply and defence to counterclaim, if any, on or before 18 </w:t>
      </w:r>
      <w:r w:rsidR="001D3CBB">
        <w:rPr>
          <w:bCs/>
          <w:sz w:val="28"/>
          <w:lang w:val="en-GB"/>
        </w:rPr>
        <w:t xml:space="preserve">February </w:t>
      </w:r>
      <w:r w:rsidR="0032146A">
        <w:rPr>
          <w:bCs/>
          <w:sz w:val="28"/>
          <w:lang w:val="en-GB"/>
        </w:rPr>
        <w:t>2014;</w:t>
      </w:r>
    </w:p>
    <w:p w:rsidR="00167163" w:rsidRDefault="00167163" w:rsidP="001671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692A77" w:rsidRDefault="00061F9A" w:rsidP="0032146A">
      <w:pPr>
        <w:numPr>
          <w:ilvl w:val="0"/>
          <w:numId w:val="3"/>
        </w:num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parties do write to </w:t>
      </w:r>
      <w:r w:rsidR="00167163">
        <w:rPr>
          <w:bCs/>
          <w:sz w:val="28"/>
          <w:lang w:val="en-GB"/>
        </w:rPr>
        <w:t xml:space="preserve">the PI master to apply for a </w:t>
      </w:r>
      <w:r w:rsidR="00BC65BF">
        <w:rPr>
          <w:bCs/>
          <w:sz w:val="28"/>
          <w:lang w:val="en-GB"/>
        </w:rPr>
        <w:t xml:space="preserve">fresh </w:t>
      </w:r>
      <w:r w:rsidR="00190F11">
        <w:rPr>
          <w:bCs/>
          <w:sz w:val="28"/>
          <w:lang w:val="en-GB"/>
        </w:rPr>
        <w:t xml:space="preserve">checklist </w:t>
      </w:r>
      <w:r w:rsidR="00D87FAB">
        <w:rPr>
          <w:bCs/>
          <w:sz w:val="28"/>
          <w:lang w:val="en-GB"/>
        </w:rPr>
        <w:t>review hearing date</w:t>
      </w:r>
      <w:r w:rsidR="00105714">
        <w:rPr>
          <w:bCs/>
          <w:sz w:val="28"/>
          <w:lang w:val="en-GB"/>
        </w:rPr>
        <w:t xml:space="preserve"> for further directions on this matter</w:t>
      </w:r>
      <w:r w:rsidR="0032146A">
        <w:rPr>
          <w:bCs/>
          <w:sz w:val="28"/>
          <w:lang w:val="en-GB"/>
        </w:rPr>
        <w:t>;</w:t>
      </w:r>
    </w:p>
    <w:p w:rsidR="0032146A" w:rsidRDefault="0032146A" w:rsidP="0032146A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105714" w:rsidRDefault="00105714" w:rsidP="0032146A">
      <w:pPr>
        <w:numPr>
          <w:ilvl w:val="0"/>
          <w:numId w:val="3"/>
        </w:num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proofErr w:type="gramStart"/>
      <w:r>
        <w:rPr>
          <w:bCs/>
          <w:sz w:val="28"/>
          <w:lang w:val="en-GB"/>
        </w:rPr>
        <w:t>costs</w:t>
      </w:r>
      <w:proofErr w:type="gramEnd"/>
      <w:r>
        <w:rPr>
          <w:bCs/>
          <w:sz w:val="28"/>
          <w:lang w:val="en-GB"/>
        </w:rPr>
        <w:t xml:space="preserve"> of this application be </w:t>
      </w:r>
      <w:r w:rsidR="0032146A">
        <w:rPr>
          <w:bCs/>
          <w:sz w:val="28"/>
          <w:lang w:val="en-GB"/>
        </w:rPr>
        <w:t>in the cause, with a certificate for counsel.</w:t>
      </w:r>
    </w:p>
    <w:p w:rsidR="00105714" w:rsidRDefault="00105714" w:rsidP="0032146A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E0238" w:rsidRDefault="00EE0238" w:rsidP="00EE0238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02016" w:rsidRDefault="00E02016">
      <w:pPr>
        <w:rPr>
          <w:lang w:val="en-GB"/>
        </w:rPr>
      </w:pPr>
    </w:p>
    <w:p w:rsidR="00E02016" w:rsidRPr="00AC2F79" w:rsidRDefault="00AC2F79" w:rsidP="00AC2F79">
      <w:pPr>
        <w:tabs>
          <w:tab w:val="center" w:pos="6480"/>
        </w:tabs>
        <w:rPr>
          <w:sz w:val="28"/>
          <w:szCs w:val="28"/>
          <w:lang w:val="en-GB"/>
        </w:rPr>
      </w:pPr>
      <w:r>
        <w:rPr>
          <w:lang w:val="en-GB"/>
        </w:rPr>
        <w:tab/>
      </w:r>
      <w:proofErr w:type="gramStart"/>
      <w:r w:rsidRPr="00AC2F79">
        <w:rPr>
          <w:sz w:val="28"/>
          <w:szCs w:val="28"/>
          <w:lang w:val="en-GB"/>
        </w:rPr>
        <w:t>( D</w:t>
      </w:r>
      <w:proofErr w:type="gramEnd"/>
      <w:r w:rsidRPr="00AC2F79">
        <w:rPr>
          <w:sz w:val="28"/>
          <w:szCs w:val="28"/>
          <w:lang w:val="en-GB"/>
        </w:rPr>
        <w:t xml:space="preserve"> Ho )</w:t>
      </w:r>
    </w:p>
    <w:p w:rsidR="00A42D9F" w:rsidRDefault="00E02016" w:rsidP="00AC2F79">
      <w:pPr>
        <w:pStyle w:val="Heading1"/>
        <w:keepNext w:val="0"/>
        <w:tabs>
          <w:tab w:val="center" w:pos="6480"/>
        </w:tabs>
        <w:ind w:left="0" w:firstLine="0"/>
        <w:jc w:val="left"/>
      </w:pPr>
      <w:r w:rsidRPr="00AC2F79">
        <w:rPr>
          <w:szCs w:val="28"/>
        </w:rPr>
        <w:tab/>
      </w:r>
      <w:r w:rsidR="00A42D9F" w:rsidRPr="00AC2F79">
        <w:rPr>
          <w:szCs w:val="28"/>
        </w:rPr>
        <w:t>Deputy District Judge</w:t>
      </w:r>
    </w:p>
    <w:p w:rsidR="003C4449" w:rsidRDefault="003C4449" w:rsidP="00A42D9F">
      <w:pPr>
        <w:rPr>
          <w:rFonts w:hint="eastAsia"/>
          <w:lang w:val="en-GB"/>
        </w:rPr>
      </w:pPr>
    </w:p>
    <w:p w:rsidR="00BC4A69" w:rsidRDefault="00BC4A69" w:rsidP="00A42D9F">
      <w:pPr>
        <w:rPr>
          <w:rFonts w:hint="eastAsia"/>
          <w:lang w:val="en-GB"/>
        </w:rPr>
      </w:pPr>
    </w:p>
    <w:p w:rsidR="00BC4A69" w:rsidRPr="00A42D9F" w:rsidRDefault="00BC4A69" w:rsidP="00A42D9F">
      <w:pPr>
        <w:rPr>
          <w:rFonts w:hint="eastAsia"/>
          <w:lang w:val="en-GB"/>
        </w:rPr>
      </w:pPr>
    </w:p>
    <w:p w:rsidR="00E02016" w:rsidRDefault="00D33A2F">
      <w:pPr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Mr </w:t>
      </w:r>
      <w:r w:rsidR="003C23F2">
        <w:rPr>
          <w:bCs/>
          <w:sz w:val="28"/>
          <w:lang w:val="en-GB"/>
        </w:rPr>
        <w:t xml:space="preserve">Jackson </w:t>
      </w:r>
      <w:proofErr w:type="spellStart"/>
      <w:r w:rsidR="003C23F2">
        <w:rPr>
          <w:bCs/>
          <w:sz w:val="28"/>
          <w:lang w:val="en-GB"/>
        </w:rPr>
        <w:t>Poon</w:t>
      </w:r>
      <w:proofErr w:type="spellEnd"/>
      <w:r>
        <w:rPr>
          <w:bCs/>
          <w:sz w:val="28"/>
          <w:lang w:val="en-GB"/>
        </w:rPr>
        <w:t>,</w:t>
      </w:r>
      <w:r w:rsidR="003C23F2">
        <w:rPr>
          <w:bCs/>
          <w:sz w:val="28"/>
          <w:lang w:val="en-GB"/>
        </w:rPr>
        <w:t xml:space="preserve"> instructed by K Y Lo &amp; Co</w:t>
      </w:r>
      <w:r>
        <w:rPr>
          <w:bCs/>
          <w:sz w:val="28"/>
          <w:lang w:val="en-GB"/>
        </w:rPr>
        <w:t xml:space="preserve">, </w:t>
      </w:r>
      <w:r w:rsidR="00473E86">
        <w:rPr>
          <w:bCs/>
          <w:sz w:val="28"/>
          <w:lang w:val="en-GB"/>
        </w:rPr>
        <w:t xml:space="preserve">Solicitors, </w:t>
      </w:r>
      <w:r w:rsidR="00630369">
        <w:rPr>
          <w:bCs/>
          <w:sz w:val="28"/>
          <w:lang w:val="en-GB"/>
        </w:rPr>
        <w:t>for the p</w:t>
      </w:r>
      <w:r w:rsidR="00E02016">
        <w:rPr>
          <w:bCs/>
          <w:sz w:val="28"/>
          <w:lang w:val="en-GB"/>
        </w:rPr>
        <w:t xml:space="preserve">laintiff </w:t>
      </w:r>
    </w:p>
    <w:p w:rsidR="00E02016" w:rsidRDefault="003C23F2">
      <w:pPr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Miss Emily Yu, instructed by Ho </w:t>
      </w:r>
      <w:proofErr w:type="spellStart"/>
      <w:r>
        <w:rPr>
          <w:bCs/>
          <w:sz w:val="28"/>
          <w:lang w:val="en-GB"/>
        </w:rPr>
        <w:t>Tse</w:t>
      </w:r>
      <w:proofErr w:type="spellEnd"/>
      <w:r>
        <w:rPr>
          <w:bCs/>
          <w:sz w:val="28"/>
          <w:lang w:val="en-GB"/>
        </w:rPr>
        <w:t xml:space="preserve"> </w:t>
      </w:r>
      <w:proofErr w:type="spellStart"/>
      <w:r>
        <w:rPr>
          <w:bCs/>
          <w:sz w:val="28"/>
          <w:lang w:val="en-GB"/>
        </w:rPr>
        <w:t>Wai</w:t>
      </w:r>
      <w:proofErr w:type="spellEnd"/>
      <w:r>
        <w:rPr>
          <w:bCs/>
          <w:sz w:val="28"/>
          <w:lang w:val="en-GB"/>
        </w:rPr>
        <w:t xml:space="preserve">, Philip Li &amp; Partners, </w:t>
      </w:r>
      <w:r w:rsidR="00473E86">
        <w:rPr>
          <w:bCs/>
          <w:sz w:val="28"/>
          <w:lang w:val="en-GB"/>
        </w:rPr>
        <w:t xml:space="preserve">Solicitors, </w:t>
      </w:r>
      <w:r>
        <w:rPr>
          <w:bCs/>
          <w:sz w:val="28"/>
          <w:lang w:val="en-GB"/>
        </w:rPr>
        <w:t>for the defendant</w:t>
      </w:r>
      <w:r w:rsidR="00630369">
        <w:rPr>
          <w:bCs/>
          <w:sz w:val="28"/>
          <w:lang w:val="en-GB"/>
        </w:rPr>
        <w:t xml:space="preserve"> </w:t>
      </w:r>
    </w:p>
    <w:p w:rsidR="009464F4" w:rsidRDefault="009464F4">
      <w:pPr>
        <w:rPr>
          <w:bCs/>
          <w:sz w:val="28"/>
          <w:lang w:val="en-GB"/>
        </w:rPr>
      </w:pPr>
    </w:p>
    <w:sectPr w:rsidR="009464F4" w:rsidSect="002F7BB3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418" w:right="1701" w:bottom="1418" w:left="1701" w:header="737" w:footer="73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FEA" w:rsidRDefault="00264FEA">
      <w:r>
        <w:separator/>
      </w:r>
    </w:p>
  </w:endnote>
  <w:endnote w:type="continuationSeparator" w:id="0">
    <w:p w:rsidR="00264FEA" w:rsidRDefault="00264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97B" w:rsidRDefault="008C497B">
    <w:pPr>
      <w:pStyle w:val="Footer"/>
      <w:tabs>
        <w:tab w:val="clear" w:pos="4320"/>
        <w:tab w:val="clear" w:pos="8640"/>
        <w:tab w:val="center" w:pos="4678"/>
        <w:tab w:val="right" w:pos="8460"/>
      </w:tabs>
      <w:rPr>
        <w:rFonts w:ascii="Times New Roman" w:hAnsi="Times New Roman"/>
        <w:b w:val="0"/>
        <w:bCs/>
        <w:sz w:val="20"/>
      </w:rPr>
    </w:pPr>
    <w:r>
      <w:rPr>
        <w:rFonts w:ascii="Times New Roman" w:hAnsi="Times New Roman"/>
        <w:b w:val="0"/>
        <w:bCs/>
        <w:sz w:val="20"/>
      </w:rPr>
      <w:t>CRT13/7.1.2014/ML</w:t>
    </w:r>
    <w:r>
      <w:rPr>
        <w:rFonts w:ascii="Times New Roman" w:hAnsi="Times New Roman"/>
        <w:b w:val="0"/>
        <w:bCs/>
        <w:sz w:val="20"/>
      </w:rPr>
      <w:tab/>
    </w:r>
    <w:r>
      <w:rPr>
        <w:rStyle w:val="PageNumber"/>
        <w:rFonts w:ascii="Times New Roman" w:hAnsi="Times New Roman"/>
        <w:b w:val="0"/>
        <w:bCs/>
        <w:sz w:val="20"/>
      </w:rPr>
      <w:tab/>
      <w:t>DCPI 676/2013/Decision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FEA" w:rsidRDefault="00264FEA">
      <w:r>
        <w:separator/>
      </w:r>
    </w:p>
  </w:footnote>
  <w:footnote w:type="continuationSeparator" w:id="0">
    <w:p w:rsidR="00264FEA" w:rsidRDefault="00264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97B" w:rsidRDefault="002F7B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C49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497B" w:rsidRDefault="008C49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97B" w:rsidRDefault="008C497B">
    <w:pPr>
      <w:pStyle w:val="Header"/>
      <w:framePr w:wrap="around" w:vAnchor="text" w:hAnchor="margin" w:xAlign="center" w:y="1"/>
      <w:rPr>
        <w:rStyle w:val="PageNumber"/>
        <w:rFonts w:ascii="Times New Roman" w:hAnsi="Times New Roman"/>
        <w:b w:val="0"/>
        <w:bCs/>
        <w:sz w:val="20"/>
        <w:lang w:eastAsia="zh-CN"/>
      </w:rPr>
    </w:pPr>
    <w:r>
      <w:rPr>
        <w:rStyle w:val="PageNumber"/>
        <w:rFonts w:ascii="Times New Roman" w:hAnsi="Times New Roman" w:hint="eastAsia"/>
        <w:b w:val="0"/>
        <w:bCs/>
        <w:sz w:val="20"/>
        <w:lang w:eastAsia="zh-CN"/>
      </w:rPr>
      <w:t xml:space="preserve">- </w:t>
    </w:r>
    <w:r w:rsidR="002F7BB3">
      <w:rPr>
        <w:rStyle w:val="PageNumber"/>
        <w:rFonts w:ascii="Times New Roman" w:hAnsi="Times New Roman"/>
        <w:b w:val="0"/>
        <w:bCs/>
        <w:sz w:val="20"/>
      </w:rPr>
      <w:fldChar w:fldCharType="begin"/>
    </w:r>
    <w:r>
      <w:rPr>
        <w:rStyle w:val="PageNumber"/>
        <w:rFonts w:ascii="Times New Roman" w:hAnsi="Times New Roman"/>
        <w:b w:val="0"/>
        <w:bCs/>
        <w:sz w:val="20"/>
      </w:rPr>
      <w:instrText xml:space="preserve">PAGE  </w:instrText>
    </w:r>
    <w:r w:rsidR="002F7BB3">
      <w:rPr>
        <w:rStyle w:val="PageNumber"/>
        <w:rFonts w:ascii="Times New Roman" w:hAnsi="Times New Roman"/>
        <w:b w:val="0"/>
        <w:bCs/>
        <w:sz w:val="20"/>
      </w:rPr>
      <w:fldChar w:fldCharType="separate"/>
    </w:r>
    <w:r w:rsidR="003D743E">
      <w:rPr>
        <w:rStyle w:val="PageNumber"/>
        <w:rFonts w:ascii="Times New Roman" w:hAnsi="Times New Roman"/>
        <w:b w:val="0"/>
        <w:bCs/>
        <w:noProof/>
        <w:sz w:val="20"/>
      </w:rPr>
      <w:t>15</w:t>
    </w:r>
    <w:r w:rsidR="002F7BB3">
      <w:rPr>
        <w:rStyle w:val="PageNumber"/>
        <w:rFonts w:ascii="Times New Roman" w:hAnsi="Times New Roman"/>
        <w:b w:val="0"/>
        <w:bCs/>
        <w:sz w:val="20"/>
      </w:rPr>
      <w:fldChar w:fldCharType="end"/>
    </w:r>
    <w:r>
      <w:rPr>
        <w:rStyle w:val="PageNumber"/>
        <w:rFonts w:ascii="Times New Roman" w:hAnsi="Times New Roman" w:hint="eastAsia"/>
        <w:b w:val="0"/>
        <w:bCs/>
        <w:sz w:val="20"/>
        <w:lang w:eastAsia="zh-CN"/>
      </w:rPr>
      <w:t xml:space="preserve"> -</w:t>
    </w:r>
  </w:p>
  <w:p w:rsidR="008C497B" w:rsidRDefault="002F7BB3">
    <w:pPr>
      <w:pStyle w:val="Header"/>
      <w:rPr>
        <w:lang w:eastAsia="zh-CN"/>
      </w:rPr>
    </w:pPr>
    <w:r w:rsidRPr="002F7BB3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63.05pt;margin-top:-.65pt;width:28.8pt;height:799.2pt;z-index:251659264" stroked="f">
          <v:textbox style="mso-next-textbox:#_x0000_s2052">
            <w:txbxContent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A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B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C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D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E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F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G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H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I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J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K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L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M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N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O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P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Q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R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S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T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U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 w:rsidRPr="002F7BB3">
      <w:rPr>
        <w:noProof/>
      </w:rPr>
      <w:pict>
        <v:shape id="_x0000_s2049" type="#_x0000_t202" style="position:absolute;margin-left:458.95pt;margin-top:-.65pt;width:28.8pt;height:799.2pt;z-index:251656192" stroked="f">
          <v:textbox style="mso-next-textbox:#_x0000_s2049">
            <w:txbxContent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A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B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C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D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E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F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G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H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I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J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K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L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M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N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O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P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Q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R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S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T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U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97B" w:rsidRDefault="002F7BB3">
    <w:pPr>
      <w:pStyle w:val="Header"/>
    </w:pPr>
    <w:r w:rsidRPr="002F7BB3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54.05pt;margin-top:-.65pt;width:28.8pt;height:799.2pt;z-index:251658240" stroked="f">
          <v:textbox style="mso-next-textbox:#_x0000_s2051">
            <w:txbxContent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A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B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C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D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E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F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G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H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I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J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K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L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M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N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O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P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Q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R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S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T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U</w:t>
                </w:r>
              </w:p>
              <w:p w:rsidR="008C497B" w:rsidRDefault="008C497B">
                <w:pPr>
                  <w:spacing w:line="720" w:lineRule="exact"/>
                  <w:rPr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 w:rsidRPr="002F7BB3">
      <w:rPr>
        <w:noProof/>
        <w:sz w:val="20"/>
        <w:lang w:val="en-US"/>
      </w:rPr>
      <w:pict>
        <v:shape id="_x0000_s2050" type="#_x0000_t202" style="position:absolute;margin-left:458.95pt;margin-top:-.65pt;width:28.8pt;height:799.2pt;z-index:251657216" stroked="f">
          <v:textbox style="mso-next-textbox:#_x0000_s2050">
            <w:txbxContent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A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B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C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D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E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F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G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H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I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J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K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L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M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N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O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P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Q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R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S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T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U</w:t>
                </w:r>
              </w:p>
              <w:p w:rsidR="008C497B" w:rsidRPr="00DA1360" w:rsidRDefault="008C497B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DA1360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2445"/>
    <w:multiLevelType w:val="hybridMultilevel"/>
    <w:tmpl w:val="2D625574"/>
    <w:lvl w:ilvl="0" w:tplc="6E4CC32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F51024"/>
    <w:multiLevelType w:val="hybridMultilevel"/>
    <w:tmpl w:val="C1487030"/>
    <w:lvl w:ilvl="0" w:tplc="60087EC0">
      <w:start w:val="1"/>
      <w:numFmt w:val="decimal"/>
      <w:lvlText w:val="(%1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EF3B2F"/>
    <w:multiLevelType w:val="hybridMultilevel"/>
    <w:tmpl w:val="8F46EE54"/>
    <w:lvl w:ilvl="0" w:tplc="60087EC0">
      <w:start w:val="1"/>
      <w:numFmt w:val="decimal"/>
      <w:lvlText w:val="(%1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AB3A7C"/>
    <w:multiLevelType w:val="singleLevel"/>
    <w:tmpl w:val="8272C4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3770B"/>
    <w:rsid w:val="00001883"/>
    <w:rsid w:val="000019B4"/>
    <w:rsid w:val="00003A03"/>
    <w:rsid w:val="0000647F"/>
    <w:rsid w:val="000105B6"/>
    <w:rsid w:val="000124F0"/>
    <w:rsid w:val="000356BE"/>
    <w:rsid w:val="00036AA3"/>
    <w:rsid w:val="00043D86"/>
    <w:rsid w:val="00043DCD"/>
    <w:rsid w:val="000456A5"/>
    <w:rsid w:val="000524AB"/>
    <w:rsid w:val="000576AC"/>
    <w:rsid w:val="00061F9A"/>
    <w:rsid w:val="00071A27"/>
    <w:rsid w:val="0008232F"/>
    <w:rsid w:val="00086B36"/>
    <w:rsid w:val="00096E7D"/>
    <w:rsid w:val="000A00E8"/>
    <w:rsid w:val="000A2B90"/>
    <w:rsid w:val="000A419A"/>
    <w:rsid w:val="000A5375"/>
    <w:rsid w:val="000A5660"/>
    <w:rsid w:val="000B6BFA"/>
    <w:rsid w:val="000C1185"/>
    <w:rsid w:val="000C7204"/>
    <w:rsid w:val="000D026D"/>
    <w:rsid w:val="000D302D"/>
    <w:rsid w:val="000E2C9D"/>
    <w:rsid w:val="000E7A84"/>
    <w:rsid w:val="000F386E"/>
    <w:rsid w:val="001029FF"/>
    <w:rsid w:val="00105714"/>
    <w:rsid w:val="00106C89"/>
    <w:rsid w:val="00114101"/>
    <w:rsid w:val="00114732"/>
    <w:rsid w:val="00115FE1"/>
    <w:rsid w:val="001204D2"/>
    <w:rsid w:val="001303EB"/>
    <w:rsid w:val="00145477"/>
    <w:rsid w:val="001461FD"/>
    <w:rsid w:val="00146D14"/>
    <w:rsid w:val="00150414"/>
    <w:rsid w:val="00150863"/>
    <w:rsid w:val="0015635C"/>
    <w:rsid w:val="00161114"/>
    <w:rsid w:val="00167163"/>
    <w:rsid w:val="00167EC4"/>
    <w:rsid w:val="00172F1F"/>
    <w:rsid w:val="00174749"/>
    <w:rsid w:val="00174893"/>
    <w:rsid w:val="001813E9"/>
    <w:rsid w:val="00184FC9"/>
    <w:rsid w:val="00190F11"/>
    <w:rsid w:val="001920B2"/>
    <w:rsid w:val="001A1EFA"/>
    <w:rsid w:val="001A2158"/>
    <w:rsid w:val="001A3017"/>
    <w:rsid w:val="001B0C4E"/>
    <w:rsid w:val="001B14BD"/>
    <w:rsid w:val="001B464C"/>
    <w:rsid w:val="001B4CA1"/>
    <w:rsid w:val="001C5329"/>
    <w:rsid w:val="001C5D69"/>
    <w:rsid w:val="001D3CBB"/>
    <w:rsid w:val="001E0F69"/>
    <w:rsid w:val="001E1CC1"/>
    <w:rsid w:val="001E274E"/>
    <w:rsid w:val="001F01F5"/>
    <w:rsid w:val="001F1ACA"/>
    <w:rsid w:val="001F646B"/>
    <w:rsid w:val="001F66D3"/>
    <w:rsid w:val="001F7629"/>
    <w:rsid w:val="0020382C"/>
    <w:rsid w:val="0020404A"/>
    <w:rsid w:val="00205BD1"/>
    <w:rsid w:val="002170D9"/>
    <w:rsid w:val="0022754A"/>
    <w:rsid w:val="00233ADB"/>
    <w:rsid w:val="00234385"/>
    <w:rsid w:val="00235381"/>
    <w:rsid w:val="00237DE4"/>
    <w:rsid w:val="002421EE"/>
    <w:rsid w:val="00242903"/>
    <w:rsid w:val="00252D43"/>
    <w:rsid w:val="00254561"/>
    <w:rsid w:val="00255E12"/>
    <w:rsid w:val="0025631A"/>
    <w:rsid w:val="0025753A"/>
    <w:rsid w:val="0026167E"/>
    <w:rsid w:val="002630FD"/>
    <w:rsid w:val="00264B3A"/>
    <w:rsid w:val="00264FEA"/>
    <w:rsid w:val="002742E5"/>
    <w:rsid w:val="00280BE1"/>
    <w:rsid w:val="00281B0A"/>
    <w:rsid w:val="002843F0"/>
    <w:rsid w:val="00286445"/>
    <w:rsid w:val="002901EF"/>
    <w:rsid w:val="002A07B5"/>
    <w:rsid w:val="002A097D"/>
    <w:rsid w:val="002A3617"/>
    <w:rsid w:val="002A6AFA"/>
    <w:rsid w:val="002B1E30"/>
    <w:rsid w:val="002B4F3C"/>
    <w:rsid w:val="002C580F"/>
    <w:rsid w:val="002D1096"/>
    <w:rsid w:val="002D4B0B"/>
    <w:rsid w:val="002E300C"/>
    <w:rsid w:val="002F1436"/>
    <w:rsid w:val="002F1DA6"/>
    <w:rsid w:val="002F7BB3"/>
    <w:rsid w:val="003067D1"/>
    <w:rsid w:val="00307428"/>
    <w:rsid w:val="003129D2"/>
    <w:rsid w:val="0032146A"/>
    <w:rsid w:val="003271E4"/>
    <w:rsid w:val="00332026"/>
    <w:rsid w:val="003359CF"/>
    <w:rsid w:val="00336406"/>
    <w:rsid w:val="00352509"/>
    <w:rsid w:val="00354211"/>
    <w:rsid w:val="0035588B"/>
    <w:rsid w:val="003578DC"/>
    <w:rsid w:val="00357AA2"/>
    <w:rsid w:val="00363012"/>
    <w:rsid w:val="003633FF"/>
    <w:rsid w:val="00367A5E"/>
    <w:rsid w:val="00372D65"/>
    <w:rsid w:val="00373025"/>
    <w:rsid w:val="00374CC2"/>
    <w:rsid w:val="003836BC"/>
    <w:rsid w:val="003978B0"/>
    <w:rsid w:val="003B3A1A"/>
    <w:rsid w:val="003B7529"/>
    <w:rsid w:val="003C23F2"/>
    <w:rsid w:val="003C4449"/>
    <w:rsid w:val="003C7A5A"/>
    <w:rsid w:val="003D4E4D"/>
    <w:rsid w:val="003D743E"/>
    <w:rsid w:val="003F0DDD"/>
    <w:rsid w:val="003F2154"/>
    <w:rsid w:val="003F5C35"/>
    <w:rsid w:val="004014C2"/>
    <w:rsid w:val="00404F59"/>
    <w:rsid w:val="00414A8E"/>
    <w:rsid w:val="00416B82"/>
    <w:rsid w:val="004241EA"/>
    <w:rsid w:val="0042548D"/>
    <w:rsid w:val="00425B20"/>
    <w:rsid w:val="0043004A"/>
    <w:rsid w:val="00432200"/>
    <w:rsid w:val="00434C6C"/>
    <w:rsid w:val="00441760"/>
    <w:rsid w:val="0044189B"/>
    <w:rsid w:val="004422AC"/>
    <w:rsid w:val="00453A4B"/>
    <w:rsid w:val="0045618B"/>
    <w:rsid w:val="00473E86"/>
    <w:rsid w:val="00475B9F"/>
    <w:rsid w:val="004769DE"/>
    <w:rsid w:val="004832B6"/>
    <w:rsid w:val="0049099A"/>
    <w:rsid w:val="00491008"/>
    <w:rsid w:val="004923C3"/>
    <w:rsid w:val="00497090"/>
    <w:rsid w:val="004A408C"/>
    <w:rsid w:val="004A44F9"/>
    <w:rsid w:val="004B4879"/>
    <w:rsid w:val="004C2263"/>
    <w:rsid w:val="004D76F2"/>
    <w:rsid w:val="004E53C4"/>
    <w:rsid w:val="004F3D34"/>
    <w:rsid w:val="004F4A9F"/>
    <w:rsid w:val="004F6460"/>
    <w:rsid w:val="004F6DF3"/>
    <w:rsid w:val="00501583"/>
    <w:rsid w:val="00502DDB"/>
    <w:rsid w:val="00502FF7"/>
    <w:rsid w:val="005060D3"/>
    <w:rsid w:val="00506C43"/>
    <w:rsid w:val="00511703"/>
    <w:rsid w:val="005256AD"/>
    <w:rsid w:val="005335AA"/>
    <w:rsid w:val="00535C66"/>
    <w:rsid w:val="00535E7E"/>
    <w:rsid w:val="00536A99"/>
    <w:rsid w:val="00546347"/>
    <w:rsid w:val="00562E69"/>
    <w:rsid w:val="005638A0"/>
    <w:rsid w:val="0056412C"/>
    <w:rsid w:val="0057028D"/>
    <w:rsid w:val="00570F0C"/>
    <w:rsid w:val="005712BF"/>
    <w:rsid w:val="00572E10"/>
    <w:rsid w:val="00577459"/>
    <w:rsid w:val="00586882"/>
    <w:rsid w:val="005872AC"/>
    <w:rsid w:val="00592331"/>
    <w:rsid w:val="005935FA"/>
    <w:rsid w:val="00595ECC"/>
    <w:rsid w:val="00596D6A"/>
    <w:rsid w:val="005A59F7"/>
    <w:rsid w:val="005A7B47"/>
    <w:rsid w:val="005B2499"/>
    <w:rsid w:val="005C2035"/>
    <w:rsid w:val="005D3A98"/>
    <w:rsid w:val="005D4CA0"/>
    <w:rsid w:val="005E098F"/>
    <w:rsid w:val="005E1405"/>
    <w:rsid w:val="005E1EFD"/>
    <w:rsid w:val="005E308C"/>
    <w:rsid w:val="005E5055"/>
    <w:rsid w:val="005E76FB"/>
    <w:rsid w:val="006000E4"/>
    <w:rsid w:val="0060248B"/>
    <w:rsid w:val="00602A5F"/>
    <w:rsid w:val="006123B8"/>
    <w:rsid w:val="0062204B"/>
    <w:rsid w:val="006234FB"/>
    <w:rsid w:val="00625E3B"/>
    <w:rsid w:val="00625EE0"/>
    <w:rsid w:val="00630369"/>
    <w:rsid w:val="00640B6D"/>
    <w:rsid w:val="00643301"/>
    <w:rsid w:val="00646483"/>
    <w:rsid w:val="0065319F"/>
    <w:rsid w:val="006574B6"/>
    <w:rsid w:val="00661707"/>
    <w:rsid w:val="00661A13"/>
    <w:rsid w:val="00661E51"/>
    <w:rsid w:val="00672043"/>
    <w:rsid w:val="00672545"/>
    <w:rsid w:val="00674492"/>
    <w:rsid w:val="00674494"/>
    <w:rsid w:val="00692A77"/>
    <w:rsid w:val="006930D5"/>
    <w:rsid w:val="006A1B08"/>
    <w:rsid w:val="006A2D41"/>
    <w:rsid w:val="006A45A4"/>
    <w:rsid w:val="006B09BA"/>
    <w:rsid w:val="006C00F8"/>
    <w:rsid w:val="006C3F3C"/>
    <w:rsid w:val="006C64FE"/>
    <w:rsid w:val="006C7503"/>
    <w:rsid w:val="006D0D30"/>
    <w:rsid w:val="006D0F95"/>
    <w:rsid w:val="006E5E57"/>
    <w:rsid w:val="006F046A"/>
    <w:rsid w:val="006F75E5"/>
    <w:rsid w:val="007060F4"/>
    <w:rsid w:val="00707F28"/>
    <w:rsid w:val="0071231E"/>
    <w:rsid w:val="00713346"/>
    <w:rsid w:val="00714076"/>
    <w:rsid w:val="00725CD5"/>
    <w:rsid w:val="0073043E"/>
    <w:rsid w:val="0073315A"/>
    <w:rsid w:val="00741347"/>
    <w:rsid w:val="00741C5C"/>
    <w:rsid w:val="00742CCD"/>
    <w:rsid w:val="00744742"/>
    <w:rsid w:val="00746C3F"/>
    <w:rsid w:val="0075694A"/>
    <w:rsid w:val="00762D7F"/>
    <w:rsid w:val="00773BF9"/>
    <w:rsid w:val="00773D8A"/>
    <w:rsid w:val="00774B79"/>
    <w:rsid w:val="007753CD"/>
    <w:rsid w:val="007768D5"/>
    <w:rsid w:val="0078025A"/>
    <w:rsid w:val="00792D59"/>
    <w:rsid w:val="007932AC"/>
    <w:rsid w:val="007A0614"/>
    <w:rsid w:val="007A70FE"/>
    <w:rsid w:val="007B1C3C"/>
    <w:rsid w:val="007B2D63"/>
    <w:rsid w:val="007C0841"/>
    <w:rsid w:val="007C1E63"/>
    <w:rsid w:val="007C3A0E"/>
    <w:rsid w:val="007D2330"/>
    <w:rsid w:val="007E1AEF"/>
    <w:rsid w:val="007E46A3"/>
    <w:rsid w:val="007F261F"/>
    <w:rsid w:val="007F63B5"/>
    <w:rsid w:val="0080519D"/>
    <w:rsid w:val="0080572A"/>
    <w:rsid w:val="00806D03"/>
    <w:rsid w:val="00811056"/>
    <w:rsid w:val="008150CE"/>
    <w:rsid w:val="00825712"/>
    <w:rsid w:val="00825B7D"/>
    <w:rsid w:val="0082720C"/>
    <w:rsid w:val="00827FFD"/>
    <w:rsid w:val="00832CDB"/>
    <w:rsid w:val="00842EA8"/>
    <w:rsid w:val="00851E72"/>
    <w:rsid w:val="00852790"/>
    <w:rsid w:val="008531F2"/>
    <w:rsid w:val="00853536"/>
    <w:rsid w:val="00863218"/>
    <w:rsid w:val="008648C2"/>
    <w:rsid w:val="0086558E"/>
    <w:rsid w:val="00865B56"/>
    <w:rsid w:val="0087122C"/>
    <w:rsid w:val="00877076"/>
    <w:rsid w:val="008839DA"/>
    <w:rsid w:val="00884281"/>
    <w:rsid w:val="00890EA1"/>
    <w:rsid w:val="0089211E"/>
    <w:rsid w:val="0089776A"/>
    <w:rsid w:val="008A3488"/>
    <w:rsid w:val="008A6A5B"/>
    <w:rsid w:val="008B23B4"/>
    <w:rsid w:val="008C497B"/>
    <w:rsid w:val="008C5265"/>
    <w:rsid w:val="008C66F2"/>
    <w:rsid w:val="008D048D"/>
    <w:rsid w:val="008D1A02"/>
    <w:rsid w:val="008D2393"/>
    <w:rsid w:val="008D2721"/>
    <w:rsid w:val="008E7D14"/>
    <w:rsid w:val="008F277C"/>
    <w:rsid w:val="008F7C65"/>
    <w:rsid w:val="00904267"/>
    <w:rsid w:val="009054F7"/>
    <w:rsid w:val="00913C7C"/>
    <w:rsid w:val="00923B59"/>
    <w:rsid w:val="00924B6D"/>
    <w:rsid w:val="00930AC0"/>
    <w:rsid w:val="0093238D"/>
    <w:rsid w:val="009370D0"/>
    <w:rsid w:val="009450F4"/>
    <w:rsid w:val="009464F4"/>
    <w:rsid w:val="009671DF"/>
    <w:rsid w:val="00980568"/>
    <w:rsid w:val="00984698"/>
    <w:rsid w:val="00987A26"/>
    <w:rsid w:val="009A1828"/>
    <w:rsid w:val="009A2B3F"/>
    <w:rsid w:val="009A3BFE"/>
    <w:rsid w:val="009A632A"/>
    <w:rsid w:val="009B47EA"/>
    <w:rsid w:val="009B6833"/>
    <w:rsid w:val="009C4567"/>
    <w:rsid w:val="009C4DD2"/>
    <w:rsid w:val="009C7BFF"/>
    <w:rsid w:val="009D0ABD"/>
    <w:rsid w:val="009D1453"/>
    <w:rsid w:val="009E0D09"/>
    <w:rsid w:val="009E4BC0"/>
    <w:rsid w:val="009E56BA"/>
    <w:rsid w:val="009F2CD1"/>
    <w:rsid w:val="009F69C6"/>
    <w:rsid w:val="009F6DC6"/>
    <w:rsid w:val="00A00B34"/>
    <w:rsid w:val="00A02554"/>
    <w:rsid w:val="00A03BE8"/>
    <w:rsid w:val="00A17D9E"/>
    <w:rsid w:val="00A262FB"/>
    <w:rsid w:val="00A427E1"/>
    <w:rsid w:val="00A42D9F"/>
    <w:rsid w:val="00A4326F"/>
    <w:rsid w:val="00A44EDD"/>
    <w:rsid w:val="00A4541F"/>
    <w:rsid w:val="00A459EB"/>
    <w:rsid w:val="00A46C8C"/>
    <w:rsid w:val="00A52A75"/>
    <w:rsid w:val="00A56C49"/>
    <w:rsid w:val="00A61264"/>
    <w:rsid w:val="00A75F34"/>
    <w:rsid w:val="00A80564"/>
    <w:rsid w:val="00A82D87"/>
    <w:rsid w:val="00A93AC0"/>
    <w:rsid w:val="00AA36E5"/>
    <w:rsid w:val="00AA7C85"/>
    <w:rsid w:val="00AC1013"/>
    <w:rsid w:val="00AC2F79"/>
    <w:rsid w:val="00AC72B9"/>
    <w:rsid w:val="00AD0910"/>
    <w:rsid w:val="00AE2CCD"/>
    <w:rsid w:val="00AF052E"/>
    <w:rsid w:val="00B01CBC"/>
    <w:rsid w:val="00B03C1F"/>
    <w:rsid w:val="00B11544"/>
    <w:rsid w:val="00B12574"/>
    <w:rsid w:val="00B147CB"/>
    <w:rsid w:val="00B14F2E"/>
    <w:rsid w:val="00B17211"/>
    <w:rsid w:val="00B20A3A"/>
    <w:rsid w:val="00B21BFC"/>
    <w:rsid w:val="00B222D1"/>
    <w:rsid w:val="00B22D41"/>
    <w:rsid w:val="00B24349"/>
    <w:rsid w:val="00B303BF"/>
    <w:rsid w:val="00B30494"/>
    <w:rsid w:val="00B31EF9"/>
    <w:rsid w:val="00B33932"/>
    <w:rsid w:val="00B34E86"/>
    <w:rsid w:val="00B3770B"/>
    <w:rsid w:val="00B406BA"/>
    <w:rsid w:val="00B41960"/>
    <w:rsid w:val="00B43C35"/>
    <w:rsid w:val="00B445F2"/>
    <w:rsid w:val="00B45597"/>
    <w:rsid w:val="00B479C6"/>
    <w:rsid w:val="00B50EA4"/>
    <w:rsid w:val="00B5376E"/>
    <w:rsid w:val="00B60B7B"/>
    <w:rsid w:val="00B63234"/>
    <w:rsid w:val="00B73627"/>
    <w:rsid w:val="00B75C36"/>
    <w:rsid w:val="00B80F10"/>
    <w:rsid w:val="00B85166"/>
    <w:rsid w:val="00B86E3D"/>
    <w:rsid w:val="00B90BAC"/>
    <w:rsid w:val="00B911AF"/>
    <w:rsid w:val="00B9233E"/>
    <w:rsid w:val="00B93EBD"/>
    <w:rsid w:val="00BA19BA"/>
    <w:rsid w:val="00BA2401"/>
    <w:rsid w:val="00BA4190"/>
    <w:rsid w:val="00BB04E0"/>
    <w:rsid w:val="00BB1C84"/>
    <w:rsid w:val="00BB41DD"/>
    <w:rsid w:val="00BC4A69"/>
    <w:rsid w:val="00BC65BF"/>
    <w:rsid w:val="00BD18D9"/>
    <w:rsid w:val="00BD3C50"/>
    <w:rsid w:val="00BE5C96"/>
    <w:rsid w:val="00BE6A90"/>
    <w:rsid w:val="00BF054C"/>
    <w:rsid w:val="00BF73AF"/>
    <w:rsid w:val="00BF7744"/>
    <w:rsid w:val="00C05B10"/>
    <w:rsid w:val="00C07266"/>
    <w:rsid w:val="00C17856"/>
    <w:rsid w:val="00C22BC7"/>
    <w:rsid w:val="00C27881"/>
    <w:rsid w:val="00C31386"/>
    <w:rsid w:val="00C315E0"/>
    <w:rsid w:val="00C317C5"/>
    <w:rsid w:val="00C321A3"/>
    <w:rsid w:val="00C34700"/>
    <w:rsid w:val="00C358BE"/>
    <w:rsid w:val="00C35DD8"/>
    <w:rsid w:val="00C35EF1"/>
    <w:rsid w:val="00C40FA8"/>
    <w:rsid w:val="00C43C28"/>
    <w:rsid w:val="00C44ECD"/>
    <w:rsid w:val="00C64C9A"/>
    <w:rsid w:val="00C708BF"/>
    <w:rsid w:val="00C73FC3"/>
    <w:rsid w:val="00C80E25"/>
    <w:rsid w:val="00C818D5"/>
    <w:rsid w:val="00C96B96"/>
    <w:rsid w:val="00CA30E8"/>
    <w:rsid w:val="00CA3273"/>
    <w:rsid w:val="00CB060D"/>
    <w:rsid w:val="00CB61AC"/>
    <w:rsid w:val="00CB62D7"/>
    <w:rsid w:val="00CB6B8D"/>
    <w:rsid w:val="00CC39BD"/>
    <w:rsid w:val="00CF6C65"/>
    <w:rsid w:val="00D03BAF"/>
    <w:rsid w:val="00D06529"/>
    <w:rsid w:val="00D1362D"/>
    <w:rsid w:val="00D17C03"/>
    <w:rsid w:val="00D2245B"/>
    <w:rsid w:val="00D33A2F"/>
    <w:rsid w:val="00D34F53"/>
    <w:rsid w:val="00D40D82"/>
    <w:rsid w:val="00D4245E"/>
    <w:rsid w:val="00D52947"/>
    <w:rsid w:val="00D54B99"/>
    <w:rsid w:val="00D6628D"/>
    <w:rsid w:val="00D82BD0"/>
    <w:rsid w:val="00D84334"/>
    <w:rsid w:val="00D87DA1"/>
    <w:rsid w:val="00D87FAB"/>
    <w:rsid w:val="00D93CB7"/>
    <w:rsid w:val="00D950CA"/>
    <w:rsid w:val="00DA1360"/>
    <w:rsid w:val="00DA787E"/>
    <w:rsid w:val="00DC77E4"/>
    <w:rsid w:val="00DD025D"/>
    <w:rsid w:val="00DD21D2"/>
    <w:rsid w:val="00DE33A4"/>
    <w:rsid w:val="00DE3442"/>
    <w:rsid w:val="00DE64CD"/>
    <w:rsid w:val="00DF00A5"/>
    <w:rsid w:val="00DF3BE2"/>
    <w:rsid w:val="00E02016"/>
    <w:rsid w:val="00E040D1"/>
    <w:rsid w:val="00E12FB0"/>
    <w:rsid w:val="00E30C26"/>
    <w:rsid w:val="00E324A6"/>
    <w:rsid w:val="00E453B6"/>
    <w:rsid w:val="00E45D1B"/>
    <w:rsid w:val="00E558F7"/>
    <w:rsid w:val="00E56C9C"/>
    <w:rsid w:val="00E5703F"/>
    <w:rsid w:val="00E62BF5"/>
    <w:rsid w:val="00E63E32"/>
    <w:rsid w:val="00E67353"/>
    <w:rsid w:val="00E72D5A"/>
    <w:rsid w:val="00E743BD"/>
    <w:rsid w:val="00E74D9C"/>
    <w:rsid w:val="00E962BD"/>
    <w:rsid w:val="00EA5A35"/>
    <w:rsid w:val="00EA660F"/>
    <w:rsid w:val="00EB55D0"/>
    <w:rsid w:val="00EC0CA3"/>
    <w:rsid w:val="00EC448D"/>
    <w:rsid w:val="00EC5D28"/>
    <w:rsid w:val="00ED05E3"/>
    <w:rsid w:val="00ED3866"/>
    <w:rsid w:val="00ED3B66"/>
    <w:rsid w:val="00ED7710"/>
    <w:rsid w:val="00EE0238"/>
    <w:rsid w:val="00EE18D5"/>
    <w:rsid w:val="00EE5081"/>
    <w:rsid w:val="00EF1B69"/>
    <w:rsid w:val="00EF58FE"/>
    <w:rsid w:val="00EF6FC1"/>
    <w:rsid w:val="00EF71C5"/>
    <w:rsid w:val="00EF7839"/>
    <w:rsid w:val="00F15E66"/>
    <w:rsid w:val="00F15F4F"/>
    <w:rsid w:val="00F2102A"/>
    <w:rsid w:val="00F23448"/>
    <w:rsid w:val="00F3095A"/>
    <w:rsid w:val="00F31CBE"/>
    <w:rsid w:val="00F31E33"/>
    <w:rsid w:val="00F3666E"/>
    <w:rsid w:val="00F40765"/>
    <w:rsid w:val="00F415E4"/>
    <w:rsid w:val="00F4675F"/>
    <w:rsid w:val="00F634F8"/>
    <w:rsid w:val="00F6753C"/>
    <w:rsid w:val="00F7077E"/>
    <w:rsid w:val="00F872DC"/>
    <w:rsid w:val="00F90853"/>
    <w:rsid w:val="00F944A9"/>
    <w:rsid w:val="00F945F1"/>
    <w:rsid w:val="00F94A69"/>
    <w:rsid w:val="00FA0A29"/>
    <w:rsid w:val="00FA1F62"/>
    <w:rsid w:val="00FA3129"/>
    <w:rsid w:val="00FA5469"/>
    <w:rsid w:val="00FA6BA3"/>
    <w:rsid w:val="00FB0322"/>
    <w:rsid w:val="00FB15CF"/>
    <w:rsid w:val="00FB3AC1"/>
    <w:rsid w:val="00FB4BBA"/>
    <w:rsid w:val="00FC79A3"/>
    <w:rsid w:val="00FD030C"/>
    <w:rsid w:val="00FD2CDF"/>
    <w:rsid w:val="00FD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7BB3"/>
    <w:rPr>
      <w:sz w:val="24"/>
      <w:szCs w:val="24"/>
    </w:rPr>
  </w:style>
  <w:style w:type="paragraph" w:styleId="Heading1">
    <w:name w:val="heading 1"/>
    <w:basedOn w:val="Normal"/>
    <w:next w:val="Normal"/>
    <w:qFormat/>
    <w:rsid w:val="002F7BB3"/>
    <w:pPr>
      <w:keepNext/>
      <w:ind w:left="5130" w:hanging="450"/>
      <w:jc w:val="center"/>
      <w:outlineLvl w:val="0"/>
    </w:pPr>
    <w:rPr>
      <w:bCs/>
      <w:sz w:val="28"/>
      <w:szCs w:val="20"/>
      <w:lang w:val="en-GB" w:eastAsia="en-US"/>
    </w:rPr>
  </w:style>
  <w:style w:type="paragraph" w:styleId="Heading2">
    <w:name w:val="heading 2"/>
    <w:basedOn w:val="Normal"/>
    <w:next w:val="Normal"/>
    <w:qFormat/>
    <w:rsid w:val="002F7BB3"/>
    <w:pPr>
      <w:keepNext/>
      <w:jc w:val="center"/>
      <w:outlineLvl w:val="1"/>
    </w:pPr>
    <w:rPr>
      <w:bCs/>
      <w:sz w:val="28"/>
      <w:szCs w:val="20"/>
      <w:lang w:val="en-GB" w:eastAsia="en-US"/>
    </w:rPr>
  </w:style>
  <w:style w:type="paragraph" w:styleId="Heading3">
    <w:name w:val="heading 3"/>
    <w:basedOn w:val="Normal"/>
    <w:next w:val="Normal"/>
    <w:qFormat/>
    <w:rsid w:val="002F7BB3"/>
    <w:pPr>
      <w:keepNext/>
      <w:jc w:val="center"/>
      <w:outlineLvl w:val="2"/>
    </w:pPr>
    <w:rPr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qFormat/>
    <w:rsid w:val="002F7BB3"/>
    <w:pPr>
      <w:keepNext/>
      <w:jc w:val="right"/>
      <w:outlineLvl w:val="3"/>
    </w:pPr>
    <w:rPr>
      <w:bCs/>
      <w:sz w:val="28"/>
      <w:szCs w:val="20"/>
      <w:lang w:val="en-GB" w:eastAsia="en-US"/>
    </w:rPr>
  </w:style>
  <w:style w:type="paragraph" w:styleId="Heading5">
    <w:name w:val="heading 5"/>
    <w:basedOn w:val="Normal"/>
    <w:next w:val="Normal"/>
    <w:qFormat/>
    <w:rsid w:val="002F7BB3"/>
    <w:pPr>
      <w:keepNext/>
      <w:spacing w:line="360" w:lineRule="auto"/>
      <w:jc w:val="both"/>
      <w:outlineLvl w:val="4"/>
    </w:pPr>
    <w:rPr>
      <w:bCs/>
      <w:sz w:val="2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2F7BB3"/>
    <w:pPr>
      <w:keepNext/>
      <w:tabs>
        <w:tab w:val="left" w:pos="1418"/>
      </w:tabs>
      <w:spacing w:line="360" w:lineRule="auto"/>
      <w:jc w:val="both"/>
      <w:outlineLvl w:val="6"/>
    </w:pPr>
    <w:rPr>
      <w:bCs/>
      <w:i/>
      <w:iCs/>
      <w:sz w:val="28"/>
      <w:lang w:val="en-GB"/>
    </w:rPr>
  </w:style>
  <w:style w:type="paragraph" w:styleId="Heading8">
    <w:name w:val="heading 8"/>
    <w:basedOn w:val="Normal"/>
    <w:next w:val="Normal"/>
    <w:qFormat/>
    <w:rsid w:val="002F7BB3"/>
    <w:pPr>
      <w:keepNext/>
      <w:tabs>
        <w:tab w:val="left" w:pos="2268"/>
        <w:tab w:val="right" w:pos="9299"/>
      </w:tabs>
      <w:spacing w:line="360" w:lineRule="auto"/>
      <w:ind w:left="1440"/>
      <w:outlineLvl w:val="7"/>
    </w:pPr>
    <w:rPr>
      <w:bCs/>
      <w:i/>
      <w:i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7BB3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paragraph" w:styleId="Footer">
    <w:name w:val="footer"/>
    <w:basedOn w:val="Normal"/>
    <w:rsid w:val="002F7BB3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character" w:styleId="PageNumber">
    <w:name w:val="page number"/>
    <w:basedOn w:val="DefaultParagraphFont"/>
    <w:rsid w:val="002F7BB3"/>
  </w:style>
  <w:style w:type="paragraph" w:styleId="BodyText">
    <w:name w:val="Body Text"/>
    <w:basedOn w:val="Normal"/>
    <w:rsid w:val="002F7BB3"/>
    <w:rPr>
      <w:bCs/>
      <w:sz w:val="28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9C456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4028</Words>
  <Characters>19069</Characters>
  <Application>Microsoft Office Word</Application>
  <DocSecurity>0</DocSecurity>
  <Lines>158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DCCJ643/2003</vt:lpstr>
    </vt:vector>
  </TitlesOfParts>
  <Company>Judiciary Hong Kong SAR</Company>
  <LinksUpToDate>false</LinksUpToDate>
  <CharactersWithSpaces>23051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DCCJ643/2003</dc:title>
  <dc:creator>setup</dc:creator>
  <cp:lastModifiedBy>Judiciary</cp:lastModifiedBy>
  <cp:revision>4</cp:revision>
  <cp:lastPrinted>2014-01-24T02:42:00Z</cp:lastPrinted>
  <dcterms:created xsi:type="dcterms:W3CDTF">2014-01-27T06:43:00Z</dcterms:created>
  <dcterms:modified xsi:type="dcterms:W3CDTF">2014-01-27T07:27:00Z</dcterms:modified>
</cp:coreProperties>
</file>