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695BA8" w:rsidRDefault="00695BA8" w:rsidP="006B7718">
      <w:pPr>
        <w:pStyle w:val="Heading2"/>
        <w:tabs>
          <w:tab w:val="clear" w:pos="4320"/>
          <w:tab w:val="clear" w:pos="9072"/>
        </w:tabs>
        <w:snapToGrid w:val="0"/>
        <w:spacing w:line="360" w:lineRule="auto"/>
        <w:jc w:val="right"/>
        <w:rPr>
          <w:rFonts w:eastAsia="PMingLiU"/>
          <w:b w:val="0"/>
          <w:sz w:val="28"/>
          <w:szCs w:val="28"/>
        </w:rPr>
      </w:pPr>
      <w:r w:rsidRPr="00695BA8">
        <w:rPr>
          <w:b w:val="0"/>
          <w:sz w:val="28"/>
          <w:szCs w:val="28"/>
        </w:rPr>
        <w:t>DCPI 801/</w:t>
      </w:r>
      <w:r w:rsidRPr="00695BA8">
        <w:rPr>
          <w:rFonts w:hint="eastAsia"/>
          <w:b w:val="0"/>
          <w:sz w:val="28"/>
          <w:szCs w:val="28"/>
        </w:rPr>
        <w:t>201</w:t>
      </w:r>
      <w:r w:rsidRPr="00695BA8">
        <w:rPr>
          <w:b w:val="0"/>
          <w:sz w:val="28"/>
          <w:szCs w:val="28"/>
        </w:rPr>
        <w:t>6</w:t>
      </w:r>
    </w:p>
    <w:p w:rsidR="00481CCA" w:rsidRPr="006B7718" w:rsidRDefault="00481CCA" w:rsidP="006B7718">
      <w:pPr>
        <w:spacing w:line="360" w:lineRule="auto"/>
        <w:rPr>
          <w:rFonts w:eastAsia="PMingLiU"/>
          <w:szCs w:val="28"/>
        </w:rPr>
      </w:pPr>
    </w:p>
    <w:p w:rsidR="00E71E46" w:rsidRPr="006B7718" w:rsidRDefault="00E71E46" w:rsidP="006B7718">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95BA8" w:rsidRPr="00695BA8" w:rsidRDefault="00695BA8" w:rsidP="00695BA8">
      <w:pPr>
        <w:tabs>
          <w:tab w:val="clear" w:pos="1440"/>
          <w:tab w:val="clear" w:pos="4320"/>
          <w:tab w:val="clear" w:pos="9072"/>
        </w:tabs>
        <w:snapToGrid/>
        <w:spacing w:line="360" w:lineRule="auto"/>
        <w:jc w:val="center"/>
        <w:rPr>
          <w:bCs/>
          <w:szCs w:val="24"/>
          <w:lang w:val="en-GB"/>
        </w:rPr>
      </w:pPr>
    </w:p>
    <w:p w:rsidR="00695BA8" w:rsidRPr="00695BA8" w:rsidRDefault="00695BA8" w:rsidP="00695BA8">
      <w:pPr>
        <w:keepNext/>
        <w:tabs>
          <w:tab w:val="clear" w:pos="1440"/>
          <w:tab w:val="clear" w:pos="4320"/>
          <w:tab w:val="clear" w:pos="9072"/>
        </w:tabs>
        <w:snapToGrid/>
        <w:spacing w:line="360" w:lineRule="auto"/>
        <w:jc w:val="center"/>
        <w:outlineLvl w:val="2"/>
        <w:rPr>
          <w:b/>
          <w:szCs w:val="24"/>
          <w:lang w:val="en-GB"/>
        </w:rPr>
      </w:pPr>
      <w:r w:rsidRPr="00695BA8">
        <w:rPr>
          <w:b/>
          <w:szCs w:val="24"/>
          <w:lang w:val="en-GB"/>
        </w:rPr>
        <w:t>IN THE DISTRICT COURT OF THE</w:t>
      </w:r>
    </w:p>
    <w:p w:rsidR="00695BA8" w:rsidRPr="00695BA8" w:rsidRDefault="00695BA8" w:rsidP="00695BA8">
      <w:pPr>
        <w:keepNext/>
        <w:tabs>
          <w:tab w:val="clear" w:pos="1440"/>
          <w:tab w:val="clear" w:pos="4320"/>
          <w:tab w:val="clear" w:pos="9072"/>
        </w:tabs>
        <w:snapToGrid/>
        <w:spacing w:line="360" w:lineRule="auto"/>
        <w:jc w:val="center"/>
        <w:outlineLvl w:val="2"/>
        <w:rPr>
          <w:b/>
          <w:lang w:val="en-GB" w:eastAsia="en-US"/>
        </w:rPr>
      </w:pPr>
      <w:r w:rsidRPr="00695BA8">
        <w:rPr>
          <w:b/>
          <w:lang w:val="en-GB" w:eastAsia="en-US"/>
        </w:rPr>
        <w:t>HONG KONG SPECIAL ADMINISTRATIVE REGION</w:t>
      </w:r>
    </w:p>
    <w:p w:rsidR="00695BA8" w:rsidRPr="00695BA8" w:rsidRDefault="00695BA8" w:rsidP="00695BA8">
      <w:pPr>
        <w:keepNext/>
        <w:tabs>
          <w:tab w:val="clear" w:pos="1440"/>
          <w:tab w:val="clear" w:pos="4320"/>
          <w:tab w:val="clear" w:pos="9072"/>
        </w:tabs>
        <w:snapToGrid/>
        <w:spacing w:line="360" w:lineRule="auto"/>
        <w:jc w:val="center"/>
        <w:outlineLvl w:val="1"/>
        <w:rPr>
          <w:bCs/>
          <w:szCs w:val="24"/>
          <w:lang w:val="en-GB"/>
        </w:rPr>
      </w:pPr>
      <w:r w:rsidRPr="00695BA8">
        <w:rPr>
          <w:rFonts w:hint="eastAsia"/>
          <w:bCs/>
          <w:szCs w:val="24"/>
          <w:lang w:val="en-GB"/>
        </w:rPr>
        <w:t xml:space="preserve">PERSONAL INJURIES ACTION NO </w:t>
      </w:r>
      <w:r w:rsidRPr="00695BA8">
        <w:rPr>
          <w:bCs/>
          <w:szCs w:val="24"/>
          <w:lang w:val="en-GB"/>
        </w:rPr>
        <w:t>801</w:t>
      </w:r>
      <w:r w:rsidRPr="00695BA8">
        <w:rPr>
          <w:rFonts w:hint="eastAsia"/>
          <w:bCs/>
          <w:szCs w:val="24"/>
          <w:lang w:val="en-GB"/>
        </w:rPr>
        <w:t xml:space="preserve"> OF 201</w:t>
      </w:r>
      <w:r w:rsidRPr="00695BA8">
        <w:rPr>
          <w:bCs/>
          <w:szCs w:val="24"/>
          <w:lang w:val="en-GB"/>
        </w:rPr>
        <w:t>6</w:t>
      </w:r>
    </w:p>
    <w:p w:rsidR="00695BA8" w:rsidRPr="00695BA8" w:rsidRDefault="00695BA8" w:rsidP="00695BA8">
      <w:pPr>
        <w:tabs>
          <w:tab w:val="clear" w:pos="1440"/>
          <w:tab w:val="clear" w:pos="4320"/>
          <w:tab w:val="clear" w:pos="9072"/>
        </w:tabs>
        <w:snapToGrid/>
        <w:spacing w:line="360" w:lineRule="auto"/>
        <w:rPr>
          <w:szCs w:val="28"/>
          <w:lang w:val="en-GB"/>
        </w:rPr>
      </w:pPr>
    </w:p>
    <w:p w:rsidR="00695BA8" w:rsidRPr="00695BA8" w:rsidRDefault="00695BA8" w:rsidP="00695BA8">
      <w:pPr>
        <w:tabs>
          <w:tab w:val="clear" w:pos="1440"/>
          <w:tab w:val="clear" w:pos="4320"/>
          <w:tab w:val="clear" w:pos="9072"/>
        </w:tabs>
        <w:snapToGrid/>
        <w:spacing w:line="360" w:lineRule="auto"/>
        <w:jc w:val="center"/>
        <w:rPr>
          <w:bCs/>
          <w:szCs w:val="24"/>
          <w:lang w:val="en-GB"/>
        </w:rPr>
      </w:pPr>
      <w:r w:rsidRPr="00695BA8">
        <w:rPr>
          <w:rFonts w:hint="eastAsia"/>
          <w:bCs/>
          <w:szCs w:val="24"/>
          <w:lang w:val="en-GB"/>
        </w:rPr>
        <w:t>--------------------------</w:t>
      </w:r>
    </w:p>
    <w:p w:rsidR="00695BA8" w:rsidRPr="00695BA8" w:rsidRDefault="00695BA8" w:rsidP="00695BA8">
      <w:pPr>
        <w:tabs>
          <w:tab w:val="clear" w:pos="1440"/>
          <w:tab w:val="clear" w:pos="4320"/>
          <w:tab w:val="clear" w:pos="9072"/>
        </w:tabs>
        <w:snapToGrid/>
        <w:spacing w:line="360" w:lineRule="auto"/>
        <w:rPr>
          <w:bCs/>
          <w:szCs w:val="24"/>
          <w:lang w:val="en-GB"/>
        </w:rPr>
      </w:pPr>
      <w:r w:rsidRPr="00695BA8">
        <w:rPr>
          <w:bCs/>
          <w:szCs w:val="24"/>
          <w:lang w:val="en-GB"/>
        </w:rPr>
        <w:t>BETWEEN</w:t>
      </w:r>
    </w:p>
    <w:p w:rsidR="00695BA8" w:rsidRPr="00695BA8" w:rsidRDefault="00695BA8" w:rsidP="0056739F">
      <w:pPr>
        <w:tabs>
          <w:tab w:val="clear" w:pos="1440"/>
          <w:tab w:val="clear" w:pos="9072"/>
          <w:tab w:val="right" w:pos="8280"/>
        </w:tabs>
        <w:snapToGrid/>
        <w:spacing w:line="360" w:lineRule="auto"/>
        <w:jc w:val="center"/>
        <w:rPr>
          <w:bCs/>
          <w:szCs w:val="24"/>
          <w:lang w:val="en-GB"/>
        </w:rPr>
      </w:pPr>
      <w:r w:rsidRPr="00695BA8">
        <w:rPr>
          <w:bCs/>
          <w:szCs w:val="24"/>
          <w:lang w:val="en-GB"/>
        </w:rPr>
        <w:tab/>
        <w:t>LAI CHU YIU</w:t>
      </w:r>
      <w:r w:rsidRPr="00695BA8">
        <w:rPr>
          <w:rFonts w:hint="eastAsia"/>
          <w:bCs/>
          <w:szCs w:val="24"/>
          <w:lang w:val="en-GB"/>
        </w:rPr>
        <w:tab/>
        <w:t>Plaintiff</w:t>
      </w:r>
    </w:p>
    <w:p w:rsidR="00695BA8" w:rsidRPr="00695BA8" w:rsidRDefault="00695BA8" w:rsidP="0056739F">
      <w:pPr>
        <w:tabs>
          <w:tab w:val="clear" w:pos="1440"/>
          <w:tab w:val="clear" w:pos="9072"/>
          <w:tab w:val="right" w:pos="8280"/>
          <w:tab w:val="right" w:pos="8505"/>
        </w:tabs>
        <w:snapToGrid/>
        <w:spacing w:line="360" w:lineRule="auto"/>
        <w:rPr>
          <w:bCs/>
          <w:szCs w:val="24"/>
          <w:lang w:val="en-GB"/>
        </w:rPr>
      </w:pPr>
      <w:r w:rsidRPr="00695BA8">
        <w:rPr>
          <w:bCs/>
          <w:szCs w:val="24"/>
          <w:lang w:val="en-GB"/>
        </w:rPr>
        <w:tab/>
      </w:r>
      <w:r w:rsidRPr="00695BA8">
        <w:rPr>
          <w:rFonts w:hint="eastAsia"/>
          <w:bCs/>
          <w:szCs w:val="24"/>
          <w:lang w:val="en-GB"/>
        </w:rPr>
        <w:t>a</w:t>
      </w:r>
      <w:r w:rsidRPr="00695BA8">
        <w:rPr>
          <w:bCs/>
          <w:szCs w:val="24"/>
          <w:lang w:val="en-GB"/>
        </w:rPr>
        <w:t>nd</w:t>
      </w:r>
    </w:p>
    <w:p w:rsidR="00695BA8" w:rsidRDefault="00695BA8" w:rsidP="0056739F">
      <w:pPr>
        <w:tabs>
          <w:tab w:val="clear" w:pos="1440"/>
          <w:tab w:val="clear" w:pos="9072"/>
          <w:tab w:val="right" w:pos="8280"/>
        </w:tabs>
        <w:snapToGrid/>
        <w:spacing w:line="360" w:lineRule="auto"/>
        <w:rPr>
          <w:bCs/>
          <w:szCs w:val="24"/>
          <w:lang w:val="en-GB"/>
        </w:rPr>
      </w:pPr>
      <w:r w:rsidRPr="00695BA8">
        <w:rPr>
          <w:rFonts w:hint="eastAsia"/>
          <w:bCs/>
          <w:szCs w:val="24"/>
          <w:lang w:val="en-GB"/>
        </w:rPr>
        <w:tab/>
      </w:r>
      <w:r w:rsidRPr="00695BA8">
        <w:rPr>
          <w:bCs/>
          <w:szCs w:val="24"/>
          <w:lang w:val="en-GB"/>
        </w:rPr>
        <w:t>LEE MEI PING</w:t>
      </w:r>
      <w:r w:rsidRPr="00695BA8">
        <w:rPr>
          <w:rFonts w:hint="eastAsia"/>
          <w:bCs/>
          <w:szCs w:val="24"/>
          <w:lang w:val="en-GB"/>
        </w:rPr>
        <w:tab/>
      </w:r>
      <w:r w:rsidRPr="00695BA8">
        <w:rPr>
          <w:bCs/>
          <w:szCs w:val="24"/>
          <w:lang w:val="en-GB"/>
        </w:rPr>
        <w:t>1</w:t>
      </w:r>
      <w:r w:rsidRPr="00695BA8">
        <w:rPr>
          <w:bCs/>
          <w:szCs w:val="24"/>
          <w:vertAlign w:val="superscript"/>
          <w:lang w:val="en-GB"/>
        </w:rPr>
        <w:t xml:space="preserve">st </w:t>
      </w:r>
      <w:r w:rsidRPr="00695BA8">
        <w:rPr>
          <w:rFonts w:hint="eastAsia"/>
          <w:bCs/>
          <w:szCs w:val="24"/>
          <w:lang w:val="en-GB"/>
        </w:rPr>
        <w:t>Defendant</w:t>
      </w:r>
    </w:p>
    <w:p w:rsidR="0056739F" w:rsidRPr="00695BA8" w:rsidRDefault="0056739F" w:rsidP="0056739F">
      <w:pPr>
        <w:tabs>
          <w:tab w:val="clear" w:pos="1440"/>
          <w:tab w:val="clear" w:pos="4320"/>
          <w:tab w:val="clear" w:pos="9072"/>
          <w:tab w:val="left" w:pos="1620"/>
          <w:tab w:val="right" w:pos="8280"/>
        </w:tabs>
        <w:snapToGrid/>
        <w:spacing w:line="360" w:lineRule="auto"/>
        <w:rPr>
          <w:bCs/>
          <w:szCs w:val="24"/>
          <w:lang w:val="en-GB"/>
        </w:rPr>
      </w:pPr>
      <w:r>
        <w:rPr>
          <w:bCs/>
          <w:szCs w:val="24"/>
          <w:lang w:val="en-GB"/>
        </w:rPr>
        <w:tab/>
        <w:t>ZURICH INSURANCE COMPANY LTD</w:t>
      </w:r>
      <w:r>
        <w:rPr>
          <w:bCs/>
          <w:szCs w:val="24"/>
          <w:lang w:val="en-GB"/>
        </w:rPr>
        <w:tab/>
        <w:t>2</w:t>
      </w:r>
      <w:r w:rsidRPr="0056739F">
        <w:rPr>
          <w:bCs/>
          <w:szCs w:val="24"/>
          <w:vertAlign w:val="superscript"/>
          <w:lang w:val="en-GB"/>
        </w:rPr>
        <w:t>nd</w:t>
      </w:r>
      <w:r>
        <w:rPr>
          <w:bCs/>
          <w:szCs w:val="24"/>
          <w:lang w:val="en-GB"/>
        </w:rPr>
        <w:t xml:space="preserve"> Defendant</w:t>
      </w:r>
    </w:p>
    <w:p w:rsidR="00695BA8" w:rsidRPr="00695BA8" w:rsidRDefault="00695BA8" w:rsidP="00695BA8">
      <w:pPr>
        <w:tabs>
          <w:tab w:val="clear" w:pos="1440"/>
          <w:tab w:val="clear" w:pos="4320"/>
          <w:tab w:val="clear" w:pos="9072"/>
        </w:tabs>
        <w:snapToGrid/>
        <w:spacing w:line="360" w:lineRule="auto"/>
        <w:jc w:val="center"/>
        <w:rPr>
          <w:bCs/>
          <w:szCs w:val="24"/>
          <w:lang w:val="en-GB"/>
        </w:rPr>
      </w:pPr>
      <w:r w:rsidRPr="00695BA8">
        <w:rPr>
          <w:rFonts w:hint="eastAsia"/>
          <w:bCs/>
          <w:szCs w:val="24"/>
          <w:lang w:val="en-GB"/>
        </w:rPr>
        <w:t>-------------------------</w:t>
      </w:r>
    </w:p>
    <w:p w:rsidR="00695BA8" w:rsidRPr="00695BA8" w:rsidRDefault="00695BA8" w:rsidP="00695BA8">
      <w:pPr>
        <w:tabs>
          <w:tab w:val="clear" w:pos="1440"/>
          <w:tab w:val="clear" w:pos="4320"/>
          <w:tab w:val="clear" w:pos="9072"/>
        </w:tabs>
        <w:snapToGrid/>
        <w:spacing w:line="360" w:lineRule="auto"/>
        <w:rPr>
          <w:szCs w:val="28"/>
          <w:lang w:val="en-GB"/>
        </w:rPr>
      </w:pPr>
    </w:p>
    <w:p w:rsidR="00695BA8" w:rsidRPr="00695BA8" w:rsidRDefault="00695BA8" w:rsidP="00695BA8">
      <w:pPr>
        <w:tabs>
          <w:tab w:val="clear" w:pos="1440"/>
          <w:tab w:val="clear" w:pos="4320"/>
          <w:tab w:val="clear" w:pos="9072"/>
        </w:tabs>
        <w:snapToGrid/>
        <w:spacing w:line="360" w:lineRule="auto"/>
        <w:rPr>
          <w:szCs w:val="28"/>
        </w:rPr>
      </w:pPr>
      <w:r w:rsidRPr="00695BA8">
        <w:rPr>
          <w:szCs w:val="28"/>
        </w:rPr>
        <w:t>Before:</w:t>
      </w:r>
      <w:r w:rsidRPr="00695BA8">
        <w:rPr>
          <w:rFonts w:hint="eastAsia"/>
          <w:szCs w:val="28"/>
        </w:rPr>
        <w:t xml:space="preserve"> </w:t>
      </w:r>
      <w:r w:rsidRPr="00695BA8">
        <w:rPr>
          <w:szCs w:val="28"/>
        </w:rPr>
        <w:t xml:space="preserve">Her </w:t>
      </w:r>
      <w:proofErr w:type="spellStart"/>
      <w:r w:rsidRPr="00695BA8">
        <w:rPr>
          <w:szCs w:val="28"/>
        </w:rPr>
        <w:t>Honour</w:t>
      </w:r>
      <w:proofErr w:type="spellEnd"/>
      <w:r w:rsidRPr="00695BA8">
        <w:rPr>
          <w:szCs w:val="28"/>
        </w:rPr>
        <w:t xml:space="preserve"> Judge </w:t>
      </w:r>
      <w:r w:rsidRPr="00695BA8">
        <w:rPr>
          <w:rFonts w:eastAsia="PMingLiU"/>
          <w:szCs w:val="28"/>
          <w:lang w:eastAsia="zh-TW"/>
        </w:rPr>
        <w:t xml:space="preserve">Winnie </w:t>
      </w:r>
      <w:proofErr w:type="spellStart"/>
      <w:r w:rsidRPr="00695BA8">
        <w:rPr>
          <w:rFonts w:eastAsia="PMingLiU"/>
          <w:szCs w:val="28"/>
          <w:lang w:eastAsia="zh-TW"/>
        </w:rPr>
        <w:t>Tsui</w:t>
      </w:r>
      <w:proofErr w:type="spellEnd"/>
      <w:r w:rsidRPr="00695BA8">
        <w:rPr>
          <w:rFonts w:eastAsia="PMingLiU"/>
          <w:szCs w:val="28"/>
          <w:lang w:eastAsia="zh-TW"/>
        </w:rPr>
        <w:t xml:space="preserve"> </w:t>
      </w:r>
      <w:r w:rsidRPr="00695BA8">
        <w:rPr>
          <w:szCs w:val="28"/>
        </w:rPr>
        <w:t>in Chambers (Open to Public)</w:t>
      </w:r>
    </w:p>
    <w:p w:rsidR="00695BA8" w:rsidRPr="00695BA8" w:rsidRDefault="00695BA8" w:rsidP="00695BA8">
      <w:pPr>
        <w:tabs>
          <w:tab w:val="clear" w:pos="1440"/>
          <w:tab w:val="clear" w:pos="4320"/>
          <w:tab w:val="clear" w:pos="9072"/>
        </w:tabs>
        <w:snapToGrid/>
        <w:spacing w:line="360" w:lineRule="auto"/>
        <w:rPr>
          <w:bCs/>
          <w:szCs w:val="24"/>
          <w:lang w:val="en-GB"/>
        </w:rPr>
      </w:pPr>
      <w:r w:rsidRPr="00695BA8">
        <w:rPr>
          <w:bCs/>
          <w:szCs w:val="24"/>
          <w:lang w:val="en-GB"/>
        </w:rPr>
        <w:t>Date</w:t>
      </w:r>
      <w:r w:rsidRPr="00695BA8">
        <w:rPr>
          <w:rFonts w:hint="eastAsia"/>
          <w:bCs/>
          <w:szCs w:val="24"/>
          <w:lang w:val="en-GB"/>
        </w:rPr>
        <w:t xml:space="preserve"> of Hearing</w:t>
      </w:r>
      <w:r w:rsidRPr="00695BA8">
        <w:rPr>
          <w:bCs/>
          <w:szCs w:val="24"/>
          <w:lang w:val="en-GB"/>
        </w:rPr>
        <w:t>:</w:t>
      </w:r>
      <w:r w:rsidRPr="00695BA8">
        <w:rPr>
          <w:rFonts w:hint="eastAsia"/>
          <w:bCs/>
          <w:szCs w:val="24"/>
          <w:lang w:val="en-GB"/>
        </w:rPr>
        <w:t xml:space="preserve"> </w:t>
      </w:r>
      <w:r w:rsidRPr="00695BA8">
        <w:rPr>
          <w:bCs/>
          <w:szCs w:val="24"/>
          <w:lang w:val="en-GB"/>
        </w:rPr>
        <w:t>11 July 2017</w:t>
      </w:r>
    </w:p>
    <w:p w:rsidR="00695BA8" w:rsidRPr="00695BA8" w:rsidRDefault="00695BA8" w:rsidP="00695BA8">
      <w:pPr>
        <w:tabs>
          <w:tab w:val="clear" w:pos="1440"/>
          <w:tab w:val="clear" w:pos="4320"/>
          <w:tab w:val="clear" w:pos="9072"/>
        </w:tabs>
        <w:snapToGrid/>
        <w:spacing w:line="360" w:lineRule="auto"/>
        <w:rPr>
          <w:bCs/>
          <w:szCs w:val="24"/>
          <w:lang w:val="en-GB"/>
        </w:rPr>
      </w:pPr>
      <w:r w:rsidRPr="00695BA8">
        <w:rPr>
          <w:bCs/>
          <w:szCs w:val="24"/>
          <w:lang w:val="en-GB"/>
        </w:rPr>
        <w:t>Date</w:t>
      </w:r>
      <w:r w:rsidRPr="00695BA8">
        <w:rPr>
          <w:rFonts w:hint="eastAsia"/>
          <w:bCs/>
          <w:szCs w:val="24"/>
          <w:lang w:val="en-GB"/>
        </w:rPr>
        <w:t xml:space="preserve"> of</w:t>
      </w:r>
      <w:r w:rsidRPr="00695BA8">
        <w:rPr>
          <w:bCs/>
          <w:szCs w:val="24"/>
          <w:lang w:val="en-GB"/>
        </w:rPr>
        <w:t xml:space="preserve"> Decision:</w:t>
      </w:r>
      <w:r w:rsidRPr="00695BA8">
        <w:rPr>
          <w:rFonts w:hint="eastAsia"/>
          <w:bCs/>
          <w:szCs w:val="24"/>
          <w:lang w:val="en-GB"/>
        </w:rPr>
        <w:t xml:space="preserve"> </w:t>
      </w:r>
      <w:r>
        <w:rPr>
          <w:bCs/>
          <w:szCs w:val="24"/>
          <w:lang w:val="en-GB"/>
        </w:rPr>
        <w:t>11</w:t>
      </w:r>
      <w:r w:rsidRPr="00695BA8">
        <w:rPr>
          <w:bCs/>
          <w:szCs w:val="24"/>
          <w:lang w:val="en-GB"/>
        </w:rPr>
        <w:t xml:space="preserve"> July 2017</w:t>
      </w:r>
    </w:p>
    <w:p w:rsidR="00695BA8" w:rsidRPr="00695BA8" w:rsidRDefault="00695BA8" w:rsidP="00695BA8">
      <w:pPr>
        <w:tabs>
          <w:tab w:val="clear" w:pos="1440"/>
          <w:tab w:val="clear" w:pos="4320"/>
          <w:tab w:val="clear" w:pos="9072"/>
        </w:tabs>
        <w:snapToGrid/>
        <w:spacing w:line="360" w:lineRule="auto"/>
        <w:rPr>
          <w:bCs/>
          <w:szCs w:val="24"/>
          <w:lang w:val="en-GB"/>
        </w:rPr>
      </w:pPr>
    </w:p>
    <w:p w:rsidR="00695BA8" w:rsidRPr="00695BA8" w:rsidRDefault="00695BA8" w:rsidP="00695BA8">
      <w:pPr>
        <w:tabs>
          <w:tab w:val="clear" w:pos="1440"/>
          <w:tab w:val="clear" w:pos="4320"/>
          <w:tab w:val="clear" w:pos="9072"/>
        </w:tabs>
        <w:snapToGrid/>
        <w:spacing w:line="360" w:lineRule="auto"/>
        <w:jc w:val="center"/>
        <w:rPr>
          <w:bCs/>
          <w:szCs w:val="24"/>
          <w:lang w:val="en-GB"/>
        </w:rPr>
      </w:pPr>
      <w:r w:rsidRPr="00695BA8">
        <w:rPr>
          <w:rFonts w:hint="eastAsia"/>
          <w:bCs/>
          <w:szCs w:val="24"/>
          <w:lang w:val="en-GB"/>
        </w:rPr>
        <w:t>----------------------------</w:t>
      </w:r>
    </w:p>
    <w:p w:rsidR="00695BA8" w:rsidRPr="00695BA8" w:rsidRDefault="00695BA8" w:rsidP="00695BA8">
      <w:pPr>
        <w:keepNext/>
        <w:tabs>
          <w:tab w:val="clear" w:pos="1440"/>
          <w:tab w:val="clear" w:pos="4320"/>
          <w:tab w:val="clear" w:pos="9072"/>
        </w:tabs>
        <w:snapToGrid/>
        <w:spacing w:line="360" w:lineRule="auto"/>
        <w:jc w:val="center"/>
        <w:outlineLvl w:val="1"/>
        <w:rPr>
          <w:bCs/>
          <w:lang w:val="en-GB"/>
        </w:rPr>
      </w:pPr>
      <w:r>
        <w:rPr>
          <w:bCs/>
          <w:lang w:val="en-GB"/>
        </w:rPr>
        <w:t>1</w:t>
      </w:r>
      <w:r>
        <w:rPr>
          <w:bCs/>
          <w:vertAlign w:val="superscript"/>
          <w:lang w:val="en-GB"/>
        </w:rPr>
        <w:t xml:space="preserve">ST </w:t>
      </w:r>
      <w:r w:rsidRPr="00695BA8">
        <w:rPr>
          <w:bCs/>
          <w:lang w:val="en-GB"/>
        </w:rPr>
        <w:t>DECISION</w:t>
      </w:r>
    </w:p>
    <w:p w:rsidR="00695BA8" w:rsidRPr="00695BA8" w:rsidRDefault="00695BA8" w:rsidP="00695BA8">
      <w:pPr>
        <w:tabs>
          <w:tab w:val="clear" w:pos="1440"/>
          <w:tab w:val="clear" w:pos="4320"/>
          <w:tab w:val="clear" w:pos="9072"/>
        </w:tabs>
        <w:snapToGrid/>
        <w:spacing w:line="360" w:lineRule="auto"/>
        <w:jc w:val="center"/>
        <w:rPr>
          <w:bCs/>
          <w:szCs w:val="24"/>
          <w:lang w:val="en-GB"/>
        </w:rPr>
      </w:pPr>
      <w:r w:rsidRPr="00695BA8">
        <w:rPr>
          <w:rFonts w:hint="eastAsia"/>
          <w:bCs/>
          <w:szCs w:val="24"/>
          <w:lang w:val="en-GB"/>
        </w:rPr>
        <w:t>----------------------------</w:t>
      </w:r>
    </w:p>
    <w:p w:rsidR="00695BA8" w:rsidRPr="00695BA8" w:rsidRDefault="00695BA8" w:rsidP="00695BA8">
      <w:pPr>
        <w:tabs>
          <w:tab w:val="clear" w:pos="1440"/>
          <w:tab w:val="clear" w:pos="4320"/>
          <w:tab w:val="clear" w:pos="9072"/>
        </w:tabs>
        <w:snapToGrid/>
        <w:spacing w:line="360" w:lineRule="auto"/>
        <w:jc w:val="both"/>
        <w:rPr>
          <w:bCs/>
          <w:szCs w:val="24"/>
          <w:lang w:val="en-GB"/>
        </w:rPr>
      </w:pPr>
    </w:p>
    <w:p w:rsidR="00695BA8" w:rsidRPr="00695BA8" w:rsidRDefault="00695BA8" w:rsidP="00695BA8">
      <w:pPr>
        <w:tabs>
          <w:tab w:val="clear" w:pos="4320"/>
          <w:tab w:val="clear" w:pos="9072"/>
        </w:tabs>
        <w:snapToGrid/>
        <w:spacing w:line="360" w:lineRule="auto"/>
        <w:jc w:val="both"/>
        <w:rPr>
          <w:bCs/>
          <w:i/>
          <w:szCs w:val="24"/>
          <w:lang w:val="en-GB"/>
        </w:rPr>
      </w:pPr>
      <w:r w:rsidRPr="00695BA8">
        <w:rPr>
          <w:rFonts w:hint="eastAsia"/>
          <w:bCs/>
          <w:i/>
          <w:szCs w:val="24"/>
          <w:lang w:val="en-GB"/>
        </w:rPr>
        <w:t>Introduction</w:t>
      </w:r>
    </w:p>
    <w:p w:rsidR="00695BA8" w:rsidRPr="00695BA8" w:rsidRDefault="00695BA8" w:rsidP="00695BA8">
      <w:pPr>
        <w:tabs>
          <w:tab w:val="clear" w:pos="4320"/>
          <w:tab w:val="clear" w:pos="9072"/>
        </w:tabs>
        <w:snapToGrid/>
        <w:spacing w:line="360" w:lineRule="auto"/>
        <w:jc w:val="both"/>
        <w:rPr>
          <w:rFonts w:eastAsia="PMingLiU"/>
          <w:bCs/>
          <w:szCs w:val="28"/>
          <w:lang w:val="en-GB"/>
        </w:rPr>
      </w:pPr>
    </w:p>
    <w:p w:rsidR="00695BA8" w:rsidRPr="00695BA8" w:rsidRDefault="00695BA8" w:rsidP="007B02F3">
      <w:pPr>
        <w:numPr>
          <w:ilvl w:val="0"/>
          <w:numId w:val="22"/>
        </w:numPr>
        <w:tabs>
          <w:tab w:val="clear" w:pos="4320"/>
          <w:tab w:val="clear" w:pos="9072"/>
        </w:tabs>
        <w:snapToGrid/>
        <w:spacing w:line="360" w:lineRule="auto"/>
        <w:ind w:left="0" w:firstLine="0"/>
        <w:jc w:val="both"/>
        <w:rPr>
          <w:szCs w:val="28"/>
        </w:rPr>
      </w:pPr>
      <w:r w:rsidRPr="00695BA8">
        <w:rPr>
          <w:szCs w:val="28"/>
        </w:rPr>
        <w:t xml:space="preserve">There are two applications in this action which are fixed before me today.  The application before me this morning is the plaintiff’s </w:t>
      </w:r>
      <w:r w:rsidRPr="00695BA8">
        <w:rPr>
          <w:szCs w:val="28"/>
        </w:rPr>
        <w:lastRenderedPageBreak/>
        <w:t>summons dated 5 January 2017 asking for the 1</w:t>
      </w:r>
      <w:r w:rsidRPr="00695BA8">
        <w:rPr>
          <w:szCs w:val="28"/>
          <w:vertAlign w:val="superscript"/>
        </w:rPr>
        <w:t>st</w:t>
      </w:r>
      <w:r w:rsidRPr="00695BA8">
        <w:rPr>
          <w:szCs w:val="28"/>
        </w:rPr>
        <w:t xml:space="preserve"> defendant’s counterclaim be struck out under O18</w:t>
      </w:r>
      <w:r w:rsidR="007B02F3">
        <w:rPr>
          <w:szCs w:val="28"/>
        </w:rPr>
        <w:t>,</w:t>
      </w:r>
      <w:r w:rsidRPr="00695BA8">
        <w:rPr>
          <w:szCs w:val="28"/>
        </w:rPr>
        <w:t xml:space="preserve"> r19 of the Rules of the District Court.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7B02F3">
      <w:pPr>
        <w:numPr>
          <w:ilvl w:val="0"/>
          <w:numId w:val="22"/>
        </w:numPr>
        <w:tabs>
          <w:tab w:val="clear" w:pos="4320"/>
          <w:tab w:val="clear" w:pos="9072"/>
        </w:tabs>
        <w:snapToGrid/>
        <w:spacing w:line="360" w:lineRule="auto"/>
        <w:ind w:left="0" w:firstLine="0"/>
        <w:jc w:val="both"/>
        <w:rPr>
          <w:szCs w:val="28"/>
        </w:rPr>
      </w:pPr>
      <w:r w:rsidRPr="00695BA8">
        <w:rPr>
          <w:szCs w:val="28"/>
        </w:rPr>
        <w:t>The second one, fixed for this afternoon</w:t>
      </w:r>
      <w:r w:rsidR="007B02F3">
        <w:rPr>
          <w:szCs w:val="28"/>
        </w:rPr>
        <w:t>,</w:t>
      </w:r>
      <w:r w:rsidRPr="00695BA8">
        <w:rPr>
          <w:szCs w:val="28"/>
        </w:rPr>
        <w:t xml:space="preserve"> is the 2</w:t>
      </w:r>
      <w:r w:rsidRPr="00695BA8">
        <w:rPr>
          <w:szCs w:val="28"/>
          <w:vertAlign w:val="superscript"/>
        </w:rPr>
        <w:t>nd</w:t>
      </w:r>
      <w:r w:rsidRPr="00695BA8">
        <w:rPr>
          <w:szCs w:val="28"/>
        </w:rPr>
        <w:t xml:space="preserve"> defendant’s summons of the same date asking for the 1</w:t>
      </w:r>
      <w:r w:rsidRPr="00695BA8">
        <w:rPr>
          <w:szCs w:val="28"/>
          <w:vertAlign w:val="superscript"/>
        </w:rPr>
        <w:t>st</w:t>
      </w:r>
      <w:r w:rsidRPr="00695BA8">
        <w:rPr>
          <w:szCs w:val="28"/>
        </w:rPr>
        <w:t xml:space="preserve"> defendant’s </w:t>
      </w:r>
      <w:proofErr w:type="spellStart"/>
      <w:r w:rsidRPr="00695BA8">
        <w:rPr>
          <w:szCs w:val="28"/>
        </w:rPr>
        <w:t>defence</w:t>
      </w:r>
      <w:proofErr w:type="spellEnd"/>
      <w:r w:rsidRPr="00695BA8">
        <w:rPr>
          <w:szCs w:val="28"/>
        </w:rPr>
        <w:t xml:space="preserve"> in the contribution and indemnity proceedings brought by the 2</w:t>
      </w:r>
      <w:r w:rsidRPr="00695BA8">
        <w:rPr>
          <w:szCs w:val="28"/>
          <w:vertAlign w:val="superscript"/>
        </w:rPr>
        <w:t>nd</w:t>
      </w:r>
      <w:r w:rsidRPr="00695BA8">
        <w:rPr>
          <w:szCs w:val="28"/>
        </w:rPr>
        <w:t xml:space="preserve"> defendant against the 1</w:t>
      </w:r>
      <w:r w:rsidRPr="00695BA8">
        <w:rPr>
          <w:szCs w:val="28"/>
          <w:vertAlign w:val="superscript"/>
        </w:rPr>
        <w:t>st</w:t>
      </w:r>
      <w:r w:rsidRPr="00695BA8">
        <w:rPr>
          <w:szCs w:val="28"/>
        </w:rPr>
        <w:t xml:space="preserve"> defendant be struck out</w:t>
      </w:r>
      <w:r w:rsidR="007B02F3">
        <w:rPr>
          <w:szCs w:val="28"/>
        </w:rPr>
        <w:t>,</w:t>
      </w:r>
      <w:r w:rsidRPr="00695BA8">
        <w:rPr>
          <w:szCs w:val="28"/>
        </w:rPr>
        <w:t xml:space="preserve"> pursuant to O18</w:t>
      </w:r>
      <w:r w:rsidR="007B02F3">
        <w:rPr>
          <w:szCs w:val="28"/>
        </w:rPr>
        <w:t>,</w:t>
      </w:r>
      <w:r w:rsidRPr="00695BA8">
        <w:rPr>
          <w:szCs w:val="28"/>
        </w:rPr>
        <w:t xml:space="preserve"> r19 or the </w:t>
      </w:r>
      <w:r w:rsidR="00302801">
        <w:rPr>
          <w:szCs w:val="28"/>
        </w:rPr>
        <w:t>inherent</w:t>
      </w:r>
      <w:r w:rsidRPr="00695BA8">
        <w:rPr>
          <w:szCs w:val="28"/>
        </w:rPr>
        <w:t xml:space="preserve"> jurisdiction of the court.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7B02F3">
      <w:pPr>
        <w:numPr>
          <w:ilvl w:val="0"/>
          <w:numId w:val="22"/>
        </w:numPr>
        <w:tabs>
          <w:tab w:val="clear" w:pos="4320"/>
          <w:tab w:val="clear" w:pos="9072"/>
        </w:tabs>
        <w:snapToGrid/>
        <w:spacing w:line="360" w:lineRule="auto"/>
        <w:ind w:left="0" w:firstLine="0"/>
        <w:jc w:val="both"/>
        <w:rPr>
          <w:szCs w:val="28"/>
        </w:rPr>
      </w:pPr>
      <w:r w:rsidRPr="00695BA8">
        <w:rPr>
          <w:szCs w:val="28"/>
        </w:rPr>
        <w:t xml:space="preserve">This decision concerns the </w:t>
      </w:r>
      <w:r w:rsidR="007B02F3">
        <w:rPr>
          <w:szCs w:val="28"/>
        </w:rPr>
        <w:t>first</w:t>
      </w:r>
      <w:r w:rsidRPr="00695BA8">
        <w:rPr>
          <w:szCs w:val="28"/>
        </w:rPr>
        <w:t xml:space="preserve"> application only</w:t>
      </w:r>
      <w:r w:rsidR="007B02F3">
        <w:rPr>
          <w:szCs w:val="28"/>
        </w:rPr>
        <w:t xml:space="preserve">. </w:t>
      </w:r>
      <w:r w:rsidRPr="00695BA8">
        <w:rPr>
          <w:szCs w:val="28"/>
        </w:rPr>
        <w:t xml:space="preserve"> </w:t>
      </w:r>
      <w:r w:rsidR="007B02F3">
        <w:rPr>
          <w:szCs w:val="28"/>
        </w:rPr>
        <w:t>A</w:t>
      </w:r>
      <w:r w:rsidRPr="00695BA8">
        <w:rPr>
          <w:szCs w:val="28"/>
        </w:rPr>
        <w:t xml:space="preserve">s I shall explain below, the plaintiff’s application is taken out in what can be described as the main proceedings in this action, </w:t>
      </w:r>
      <w:proofErr w:type="spellStart"/>
      <w:r w:rsidRPr="00695BA8">
        <w:rPr>
          <w:szCs w:val="28"/>
        </w:rPr>
        <w:t>ie</w:t>
      </w:r>
      <w:proofErr w:type="spellEnd"/>
      <w:r w:rsidRPr="00695BA8">
        <w:rPr>
          <w:szCs w:val="28"/>
        </w:rPr>
        <w:t>, the action brought against the 1</w:t>
      </w:r>
      <w:r w:rsidRPr="00695BA8">
        <w:rPr>
          <w:szCs w:val="28"/>
          <w:vertAlign w:val="superscript"/>
        </w:rPr>
        <w:t>st</w:t>
      </w:r>
      <w:r w:rsidRPr="00695BA8">
        <w:rPr>
          <w:szCs w:val="28"/>
        </w:rPr>
        <w:t xml:space="preserve"> defendant by the plaintiff.</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570DC3">
      <w:pPr>
        <w:numPr>
          <w:ilvl w:val="0"/>
          <w:numId w:val="22"/>
        </w:numPr>
        <w:tabs>
          <w:tab w:val="clear" w:pos="4320"/>
          <w:tab w:val="clear" w:pos="9072"/>
        </w:tabs>
        <w:snapToGrid/>
        <w:spacing w:line="360" w:lineRule="auto"/>
        <w:ind w:left="0" w:firstLine="0"/>
        <w:jc w:val="both"/>
        <w:rPr>
          <w:szCs w:val="28"/>
        </w:rPr>
      </w:pPr>
      <w:r w:rsidRPr="00695BA8">
        <w:rPr>
          <w:szCs w:val="28"/>
        </w:rPr>
        <w:t>This is to be distinguished from the contribution and indemnity proceedings brought by the 2</w:t>
      </w:r>
      <w:r w:rsidRPr="00695BA8">
        <w:rPr>
          <w:szCs w:val="28"/>
          <w:vertAlign w:val="superscript"/>
        </w:rPr>
        <w:t>nd</w:t>
      </w:r>
      <w:r w:rsidRPr="00695BA8">
        <w:rPr>
          <w:szCs w:val="28"/>
        </w:rPr>
        <w:t xml:space="preserve"> defendant against the 1</w:t>
      </w:r>
      <w:r w:rsidRPr="00695BA8">
        <w:rPr>
          <w:szCs w:val="28"/>
          <w:vertAlign w:val="superscript"/>
        </w:rPr>
        <w:t>st</w:t>
      </w:r>
      <w:r w:rsidRPr="00695BA8">
        <w:rPr>
          <w:szCs w:val="28"/>
        </w:rPr>
        <w:t> defendant.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i/>
          <w:szCs w:val="28"/>
        </w:rPr>
      </w:pPr>
      <w:r w:rsidRPr="00695BA8">
        <w:rPr>
          <w:i/>
          <w:szCs w:val="28"/>
        </w:rPr>
        <w:t>Background</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570DC3">
      <w:pPr>
        <w:numPr>
          <w:ilvl w:val="0"/>
          <w:numId w:val="22"/>
        </w:numPr>
        <w:tabs>
          <w:tab w:val="clear" w:pos="4320"/>
          <w:tab w:val="clear" w:pos="9072"/>
        </w:tabs>
        <w:snapToGrid/>
        <w:spacing w:line="360" w:lineRule="auto"/>
        <w:ind w:left="0" w:firstLine="0"/>
        <w:jc w:val="both"/>
        <w:rPr>
          <w:szCs w:val="28"/>
        </w:rPr>
      </w:pPr>
      <w:r w:rsidRPr="00695BA8">
        <w:rPr>
          <w:szCs w:val="28"/>
        </w:rPr>
        <w:t xml:space="preserve">The action arises out of a traffic accident which happened in the morning of 20 June 2014 in </w:t>
      </w:r>
      <w:proofErr w:type="spellStart"/>
      <w:r w:rsidRPr="00695BA8">
        <w:rPr>
          <w:szCs w:val="28"/>
        </w:rPr>
        <w:t>Shatin</w:t>
      </w:r>
      <w:proofErr w:type="spellEnd"/>
      <w:r w:rsidRPr="00695BA8">
        <w:rPr>
          <w:szCs w:val="28"/>
        </w:rPr>
        <w:t>.  The taxi driven by the plaintiff and the private car driven by the 1</w:t>
      </w:r>
      <w:r w:rsidRPr="00695BA8">
        <w:rPr>
          <w:szCs w:val="28"/>
          <w:vertAlign w:val="superscript"/>
        </w:rPr>
        <w:t>st</w:t>
      </w:r>
      <w:r w:rsidRPr="00695BA8">
        <w:rPr>
          <w:szCs w:val="28"/>
        </w:rPr>
        <w:t xml:space="preserve"> defendant collided w</w:t>
      </w:r>
      <w:r w:rsidR="00570DC3">
        <w:rPr>
          <w:szCs w:val="28"/>
        </w:rPr>
        <w:t>hen</w:t>
      </w:r>
      <w:r w:rsidRPr="00695BA8">
        <w:rPr>
          <w:szCs w:val="28"/>
        </w:rPr>
        <w:t xml:space="preserve"> both vehicles were moving along their two respective lanes of Mei Tin </w:t>
      </w:r>
      <w:r w:rsidR="00570DC3">
        <w:rPr>
          <w:szCs w:val="28"/>
        </w:rPr>
        <w:t>R</w:t>
      </w:r>
      <w:r w:rsidRPr="00695BA8">
        <w:rPr>
          <w:szCs w:val="28"/>
        </w:rPr>
        <w:t>oad.</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570DC3">
      <w:pPr>
        <w:numPr>
          <w:ilvl w:val="0"/>
          <w:numId w:val="22"/>
        </w:numPr>
        <w:tabs>
          <w:tab w:val="clear" w:pos="4320"/>
          <w:tab w:val="clear" w:pos="9072"/>
        </w:tabs>
        <w:snapToGrid/>
        <w:spacing w:line="360" w:lineRule="auto"/>
        <w:ind w:left="0" w:firstLine="0"/>
        <w:jc w:val="both"/>
        <w:rPr>
          <w:szCs w:val="28"/>
        </w:rPr>
      </w:pPr>
      <w:r w:rsidRPr="00695BA8">
        <w:rPr>
          <w:szCs w:val="28"/>
        </w:rPr>
        <w:t>In January of the following year, the 1</w:t>
      </w:r>
      <w:r w:rsidRPr="00695BA8">
        <w:rPr>
          <w:szCs w:val="28"/>
          <w:vertAlign w:val="superscript"/>
        </w:rPr>
        <w:t>st</w:t>
      </w:r>
      <w:r w:rsidRPr="00695BA8">
        <w:rPr>
          <w:szCs w:val="28"/>
        </w:rPr>
        <w:t xml:space="preserve"> defendant was convicted of careless driving in the accident.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570DC3">
      <w:pPr>
        <w:numPr>
          <w:ilvl w:val="0"/>
          <w:numId w:val="22"/>
        </w:numPr>
        <w:tabs>
          <w:tab w:val="clear" w:pos="4320"/>
          <w:tab w:val="clear" w:pos="9072"/>
        </w:tabs>
        <w:snapToGrid/>
        <w:spacing w:line="360" w:lineRule="auto"/>
        <w:ind w:left="0" w:firstLine="0"/>
        <w:jc w:val="both"/>
        <w:rPr>
          <w:szCs w:val="28"/>
        </w:rPr>
      </w:pPr>
      <w:r w:rsidRPr="00695BA8">
        <w:rPr>
          <w:szCs w:val="28"/>
        </w:rPr>
        <w:lastRenderedPageBreak/>
        <w:t>The plaintiff now claims that he suffered neck and upper back injuries as a result of the 1</w:t>
      </w:r>
      <w:r w:rsidRPr="00695BA8">
        <w:rPr>
          <w:szCs w:val="28"/>
          <w:vertAlign w:val="superscript"/>
        </w:rPr>
        <w:t>st</w:t>
      </w:r>
      <w:r w:rsidRPr="00695BA8">
        <w:rPr>
          <w:szCs w:val="28"/>
        </w:rPr>
        <w:t xml:space="preserve"> defendant’s negligence</w:t>
      </w:r>
      <w:r w:rsidR="00570DC3">
        <w:rPr>
          <w:szCs w:val="28"/>
        </w:rPr>
        <w:t xml:space="preserve">. </w:t>
      </w:r>
      <w:r w:rsidRPr="00695BA8">
        <w:rPr>
          <w:szCs w:val="28"/>
        </w:rPr>
        <w:t xml:space="preserve"> </w:t>
      </w:r>
      <w:r w:rsidR="00570DC3">
        <w:rPr>
          <w:szCs w:val="28"/>
        </w:rPr>
        <w:t>H</w:t>
      </w:r>
      <w:r w:rsidRPr="00695BA8">
        <w:rPr>
          <w:szCs w:val="28"/>
        </w:rPr>
        <w:t xml:space="preserve">e received treatment at </w:t>
      </w:r>
      <w:r w:rsidR="0078351E">
        <w:rPr>
          <w:szCs w:val="28"/>
        </w:rPr>
        <w:t xml:space="preserve">the </w:t>
      </w:r>
      <w:r w:rsidRPr="00695BA8">
        <w:rPr>
          <w:szCs w:val="28"/>
        </w:rPr>
        <w:t xml:space="preserve">Accident &amp; Emergency Department of </w:t>
      </w:r>
      <w:proofErr w:type="spellStart"/>
      <w:r w:rsidRPr="00695BA8">
        <w:rPr>
          <w:szCs w:val="28"/>
        </w:rPr>
        <w:t>Tse</w:t>
      </w:r>
      <w:r w:rsidR="0078351E">
        <w:rPr>
          <w:szCs w:val="28"/>
        </w:rPr>
        <w:t>u</w:t>
      </w:r>
      <w:r w:rsidRPr="00695BA8">
        <w:rPr>
          <w:szCs w:val="28"/>
        </w:rPr>
        <w:t>ng</w:t>
      </w:r>
      <w:proofErr w:type="spellEnd"/>
      <w:r w:rsidRPr="00695BA8">
        <w:rPr>
          <w:szCs w:val="28"/>
        </w:rPr>
        <w:t xml:space="preserve"> Kwan O Hospital and later at a private clinic</w:t>
      </w:r>
      <w:r w:rsidR="0078351E">
        <w:rPr>
          <w:szCs w:val="28"/>
        </w:rPr>
        <w:t xml:space="preserve">. </w:t>
      </w:r>
      <w:r w:rsidRPr="00695BA8">
        <w:rPr>
          <w:szCs w:val="28"/>
        </w:rPr>
        <w:t xml:space="preserve"> </w:t>
      </w:r>
      <w:r w:rsidR="0078351E">
        <w:rPr>
          <w:szCs w:val="28"/>
        </w:rPr>
        <w:t>H</w:t>
      </w:r>
      <w:r w:rsidRPr="00695BA8">
        <w:rPr>
          <w:szCs w:val="28"/>
        </w:rPr>
        <w:t>e claim</w:t>
      </w:r>
      <w:r w:rsidR="0078351E">
        <w:rPr>
          <w:szCs w:val="28"/>
        </w:rPr>
        <w:t xml:space="preserve">s also </w:t>
      </w:r>
      <w:r w:rsidRPr="00695BA8">
        <w:rPr>
          <w:szCs w:val="28"/>
        </w:rPr>
        <w:t>that he was granted sick leave of 30 days after the accident.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78351E">
      <w:pPr>
        <w:numPr>
          <w:ilvl w:val="0"/>
          <w:numId w:val="22"/>
        </w:numPr>
        <w:tabs>
          <w:tab w:val="clear" w:pos="4320"/>
          <w:tab w:val="clear" w:pos="9072"/>
        </w:tabs>
        <w:snapToGrid/>
        <w:spacing w:line="360" w:lineRule="auto"/>
        <w:ind w:left="0" w:firstLine="0"/>
        <w:jc w:val="both"/>
        <w:rPr>
          <w:szCs w:val="28"/>
        </w:rPr>
      </w:pPr>
      <w:r w:rsidRPr="00695BA8">
        <w:rPr>
          <w:szCs w:val="28"/>
        </w:rPr>
        <w:t>In his statement of damages, the plaintiff claims a total sum of $305,300.  This sum is composed of</w:t>
      </w:r>
      <w:r w:rsidR="0078351E">
        <w:rPr>
          <w:szCs w:val="28"/>
        </w:rPr>
        <w:t>,</w:t>
      </w:r>
      <w:r w:rsidRPr="00695BA8">
        <w:rPr>
          <w:szCs w:val="28"/>
        </w:rPr>
        <w:t xml:space="preserve"> amongst other things, a claim for pain, suffering and loss of amenities in the sum of $200,000.  He pleads that when the accident happened, he was 50 years old and had enjoyed good health.  He had enjoyed swimming but after the accident could no longer enjoy swimming.</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78351E">
      <w:pPr>
        <w:numPr>
          <w:ilvl w:val="0"/>
          <w:numId w:val="22"/>
        </w:numPr>
        <w:tabs>
          <w:tab w:val="clear" w:pos="4320"/>
          <w:tab w:val="clear" w:pos="9072"/>
        </w:tabs>
        <w:snapToGrid/>
        <w:spacing w:line="360" w:lineRule="auto"/>
        <w:ind w:left="0" w:firstLine="0"/>
        <w:jc w:val="both"/>
        <w:rPr>
          <w:szCs w:val="28"/>
        </w:rPr>
      </w:pPr>
      <w:r w:rsidRPr="00695BA8">
        <w:rPr>
          <w:szCs w:val="28"/>
        </w:rPr>
        <w:t>I would pause here to make an observation that it is a straightforward personal injuries claim.</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i/>
          <w:szCs w:val="28"/>
        </w:rPr>
      </w:pPr>
      <w:r w:rsidRPr="00695BA8">
        <w:rPr>
          <w:i/>
          <w:szCs w:val="28"/>
        </w:rPr>
        <w:t>Procedural history</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0D6784">
      <w:pPr>
        <w:numPr>
          <w:ilvl w:val="0"/>
          <w:numId w:val="22"/>
        </w:numPr>
        <w:tabs>
          <w:tab w:val="clear" w:pos="4320"/>
          <w:tab w:val="clear" w:pos="9072"/>
        </w:tabs>
        <w:snapToGrid/>
        <w:spacing w:line="360" w:lineRule="auto"/>
        <w:ind w:left="0" w:firstLine="0"/>
        <w:jc w:val="both"/>
        <w:rPr>
          <w:szCs w:val="28"/>
        </w:rPr>
      </w:pPr>
      <w:r w:rsidRPr="00695BA8">
        <w:rPr>
          <w:szCs w:val="28"/>
        </w:rPr>
        <w:t>The plaintiff issued the writ on 22 April 2016</w:t>
      </w:r>
      <w:r w:rsidR="000D6784">
        <w:rPr>
          <w:szCs w:val="28"/>
        </w:rPr>
        <w:t>,</w:t>
      </w:r>
      <w:r w:rsidR="00302801">
        <w:rPr>
          <w:szCs w:val="28"/>
        </w:rPr>
        <w:t xml:space="preserve"> almost two</w:t>
      </w:r>
      <w:r w:rsidRPr="00695BA8">
        <w:rPr>
          <w:szCs w:val="28"/>
        </w:rPr>
        <w:t xml:space="preserve"> years after the accident.  On the same day, the </w:t>
      </w:r>
      <w:r w:rsidR="000D6784">
        <w:rPr>
          <w:szCs w:val="28"/>
        </w:rPr>
        <w:t>s</w:t>
      </w:r>
      <w:r w:rsidRPr="00695BA8">
        <w:rPr>
          <w:szCs w:val="28"/>
        </w:rPr>
        <w:t xml:space="preserve">tatement of </w:t>
      </w:r>
      <w:r w:rsidR="000D6784">
        <w:rPr>
          <w:szCs w:val="28"/>
        </w:rPr>
        <w:t>c</w:t>
      </w:r>
      <w:r w:rsidRPr="00695BA8">
        <w:rPr>
          <w:szCs w:val="28"/>
        </w:rPr>
        <w:t xml:space="preserve">laim and </w:t>
      </w:r>
      <w:r w:rsidR="000D6784">
        <w:rPr>
          <w:szCs w:val="28"/>
        </w:rPr>
        <w:t>s</w:t>
      </w:r>
      <w:r w:rsidRPr="00695BA8">
        <w:rPr>
          <w:szCs w:val="28"/>
        </w:rPr>
        <w:t xml:space="preserve">tatement of </w:t>
      </w:r>
      <w:r w:rsidR="000D6784">
        <w:rPr>
          <w:szCs w:val="28"/>
        </w:rPr>
        <w:t>damages</w:t>
      </w:r>
      <w:r w:rsidRPr="00695BA8">
        <w:rPr>
          <w:szCs w:val="28"/>
        </w:rPr>
        <w:t xml:space="preserve"> were filed.  The 1</w:t>
      </w:r>
      <w:r w:rsidRPr="00695BA8">
        <w:rPr>
          <w:szCs w:val="28"/>
          <w:vertAlign w:val="superscript"/>
        </w:rPr>
        <w:t>st</w:t>
      </w:r>
      <w:r w:rsidRPr="00695BA8">
        <w:rPr>
          <w:szCs w:val="28"/>
        </w:rPr>
        <w:t xml:space="preserve"> defendant was then the only defendant in the action.</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0D6784">
      <w:pPr>
        <w:numPr>
          <w:ilvl w:val="0"/>
          <w:numId w:val="22"/>
        </w:numPr>
        <w:tabs>
          <w:tab w:val="clear" w:pos="4320"/>
          <w:tab w:val="clear" w:pos="9072"/>
        </w:tabs>
        <w:snapToGrid/>
        <w:spacing w:line="360" w:lineRule="auto"/>
        <w:ind w:left="0" w:firstLine="0"/>
        <w:jc w:val="both"/>
        <w:rPr>
          <w:szCs w:val="28"/>
        </w:rPr>
      </w:pPr>
      <w:r w:rsidRPr="00695BA8">
        <w:rPr>
          <w:szCs w:val="28"/>
        </w:rPr>
        <w:t>The 1</w:t>
      </w:r>
      <w:r w:rsidRPr="00695BA8">
        <w:rPr>
          <w:szCs w:val="28"/>
          <w:vertAlign w:val="superscript"/>
        </w:rPr>
        <w:t>st</w:t>
      </w:r>
      <w:r w:rsidRPr="00695BA8">
        <w:rPr>
          <w:szCs w:val="28"/>
        </w:rPr>
        <w:t xml:space="preserve"> defendant, acting in person all along in these proceedings (including today’s hearing), filed a document entitled “Defense and Counter Claims” on 23 May 2016.  The document contains a section headed “Counter claims”.  This is the part which the plaintiff now seeks to strike out.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0D6784">
      <w:pPr>
        <w:numPr>
          <w:ilvl w:val="0"/>
          <w:numId w:val="22"/>
        </w:numPr>
        <w:tabs>
          <w:tab w:val="clear" w:pos="4320"/>
          <w:tab w:val="clear" w:pos="9072"/>
        </w:tabs>
        <w:snapToGrid/>
        <w:spacing w:line="360" w:lineRule="auto"/>
        <w:ind w:left="0" w:firstLine="0"/>
        <w:jc w:val="both"/>
        <w:rPr>
          <w:szCs w:val="28"/>
        </w:rPr>
      </w:pPr>
      <w:r w:rsidRPr="00695BA8">
        <w:rPr>
          <w:szCs w:val="28"/>
        </w:rPr>
        <w:t xml:space="preserve">The plaintiff then filed his reply and </w:t>
      </w:r>
      <w:proofErr w:type="spellStart"/>
      <w:r w:rsidRPr="00695BA8">
        <w:rPr>
          <w:szCs w:val="28"/>
        </w:rPr>
        <w:t>defence</w:t>
      </w:r>
      <w:proofErr w:type="spellEnd"/>
      <w:r w:rsidRPr="00695BA8">
        <w:rPr>
          <w:szCs w:val="28"/>
        </w:rPr>
        <w:t xml:space="preserve"> to counterclaim on 13 June 2016.</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0D6784">
      <w:pPr>
        <w:numPr>
          <w:ilvl w:val="0"/>
          <w:numId w:val="22"/>
        </w:numPr>
        <w:tabs>
          <w:tab w:val="clear" w:pos="4320"/>
          <w:tab w:val="clear" w:pos="9072"/>
        </w:tabs>
        <w:snapToGrid/>
        <w:spacing w:line="360" w:lineRule="auto"/>
        <w:ind w:left="0" w:firstLine="0"/>
        <w:jc w:val="both"/>
        <w:rPr>
          <w:szCs w:val="28"/>
        </w:rPr>
      </w:pPr>
      <w:r w:rsidRPr="00695BA8">
        <w:rPr>
          <w:szCs w:val="28"/>
        </w:rPr>
        <w:t xml:space="preserve">By </w:t>
      </w:r>
      <w:r w:rsidR="000D6784">
        <w:rPr>
          <w:szCs w:val="28"/>
        </w:rPr>
        <w:t>o</w:t>
      </w:r>
      <w:r w:rsidRPr="00695BA8">
        <w:rPr>
          <w:szCs w:val="28"/>
        </w:rPr>
        <w:t>rder dated 26 September 2016, the 2</w:t>
      </w:r>
      <w:r w:rsidRPr="00695BA8">
        <w:rPr>
          <w:szCs w:val="28"/>
          <w:vertAlign w:val="superscript"/>
        </w:rPr>
        <w:t>nd</w:t>
      </w:r>
      <w:r w:rsidRPr="00695BA8">
        <w:rPr>
          <w:szCs w:val="28"/>
        </w:rPr>
        <w:t xml:space="preserve"> defendant, an insurer, was joined as the </w:t>
      </w:r>
      <w:r w:rsidR="000D6784">
        <w:rPr>
          <w:szCs w:val="28"/>
        </w:rPr>
        <w:t>second</w:t>
      </w:r>
      <w:r w:rsidRPr="00695BA8">
        <w:rPr>
          <w:szCs w:val="28"/>
        </w:rPr>
        <w:t xml:space="preserve"> defendant.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0D6784">
      <w:pPr>
        <w:numPr>
          <w:ilvl w:val="0"/>
          <w:numId w:val="22"/>
        </w:numPr>
        <w:tabs>
          <w:tab w:val="clear" w:pos="4320"/>
          <w:tab w:val="clear" w:pos="9072"/>
        </w:tabs>
        <w:snapToGrid/>
        <w:spacing w:line="360" w:lineRule="auto"/>
        <w:ind w:left="0" w:firstLine="0"/>
        <w:jc w:val="both"/>
        <w:rPr>
          <w:szCs w:val="28"/>
        </w:rPr>
      </w:pPr>
      <w:r w:rsidRPr="00695BA8">
        <w:rPr>
          <w:szCs w:val="28"/>
        </w:rPr>
        <w:t>In the affirmation filed by the 2</w:t>
      </w:r>
      <w:r w:rsidRPr="00695BA8">
        <w:rPr>
          <w:szCs w:val="28"/>
          <w:vertAlign w:val="superscript"/>
        </w:rPr>
        <w:t>nd</w:t>
      </w:r>
      <w:r w:rsidRPr="00695BA8">
        <w:rPr>
          <w:szCs w:val="28"/>
        </w:rPr>
        <w:t xml:space="preserve"> defendant in support of its joinder application, it was disclosed that it was the insurer of a mot</w:t>
      </w:r>
      <w:r w:rsidR="000D6784">
        <w:rPr>
          <w:szCs w:val="28"/>
        </w:rPr>
        <w:t>o</w:t>
      </w:r>
      <w:r w:rsidRPr="00695BA8">
        <w:rPr>
          <w:szCs w:val="28"/>
        </w:rPr>
        <w:t>r insurance policy covering the private car driven by the 1</w:t>
      </w:r>
      <w:r w:rsidRPr="00695BA8">
        <w:rPr>
          <w:szCs w:val="28"/>
          <w:vertAlign w:val="superscript"/>
        </w:rPr>
        <w:t>st</w:t>
      </w:r>
      <w:r w:rsidRPr="00695BA8">
        <w:rPr>
          <w:szCs w:val="28"/>
        </w:rPr>
        <w:t> defendant at the time of the accident.  The insured was however not the 1</w:t>
      </w:r>
      <w:r w:rsidRPr="00695BA8">
        <w:rPr>
          <w:szCs w:val="28"/>
          <w:vertAlign w:val="superscript"/>
        </w:rPr>
        <w:t>st</w:t>
      </w:r>
      <w:r w:rsidRPr="00695BA8">
        <w:rPr>
          <w:szCs w:val="28"/>
        </w:rPr>
        <w:t xml:space="preserve"> defendant, but her husband.  No notice was given to the 2</w:t>
      </w:r>
      <w:r w:rsidRPr="00695BA8">
        <w:rPr>
          <w:szCs w:val="28"/>
          <w:vertAlign w:val="superscript"/>
        </w:rPr>
        <w:t>nd</w:t>
      </w:r>
      <w:r w:rsidRPr="00695BA8">
        <w:rPr>
          <w:szCs w:val="28"/>
        </w:rPr>
        <w:t xml:space="preserve"> defendant of the accident in accordance </w:t>
      </w:r>
      <w:r w:rsidR="000D6784">
        <w:rPr>
          <w:szCs w:val="28"/>
        </w:rPr>
        <w:t>with</w:t>
      </w:r>
      <w:r w:rsidRPr="00695BA8">
        <w:rPr>
          <w:szCs w:val="28"/>
        </w:rPr>
        <w:t xml:space="preserve"> the terms of the policy.  For that reason, the 2</w:t>
      </w:r>
      <w:r w:rsidRPr="00695BA8">
        <w:rPr>
          <w:szCs w:val="28"/>
          <w:vertAlign w:val="superscript"/>
        </w:rPr>
        <w:t>nd</w:t>
      </w:r>
      <w:r w:rsidRPr="00695BA8">
        <w:rPr>
          <w:szCs w:val="28"/>
        </w:rPr>
        <w:t xml:space="preserve"> defendant </w:t>
      </w:r>
      <w:r w:rsidR="000D6784">
        <w:rPr>
          <w:szCs w:val="28"/>
        </w:rPr>
        <w:t xml:space="preserve">subsequently </w:t>
      </w:r>
      <w:r w:rsidRPr="00695BA8">
        <w:rPr>
          <w:szCs w:val="28"/>
        </w:rPr>
        <w:t>repudiated liability under the policy and gave notice to th</w:t>
      </w:r>
      <w:r w:rsidR="000D6784">
        <w:rPr>
          <w:szCs w:val="28"/>
        </w:rPr>
        <w:t xml:space="preserve">at </w:t>
      </w:r>
      <w:r w:rsidRPr="00695BA8">
        <w:rPr>
          <w:szCs w:val="28"/>
        </w:rPr>
        <w:t>effect to the 1</w:t>
      </w:r>
      <w:r w:rsidRPr="00695BA8">
        <w:rPr>
          <w:szCs w:val="28"/>
          <w:vertAlign w:val="superscript"/>
        </w:rPr>
        <w:t>st</w:t>
      </w:r>
      <w:r w:rsidRPr="00695BA8">
        <w:rPr>
          <w:szCs w:val="28"/>
        </w:rPr>
        <w:t xml:space="preserve"> defendant’s husband.  Given that the 2</w:t>
      </w:r>
      <w:r w:rsidRPr="00695BA8">
        <w:rPr>
          <w:szCs w:val="28"/>
          <w:vertAlign w:val="superscript"/>
        </w:rPr>
        <w:t>nd</w:t>
      </w:r>
      <w:r w:rsidRPr="00695BA8">
        <w:rPr>
          <w:szCs w:val="28"/>
        </w:rPr>
        <w:t xml:space="preserve"> defendant would likely be liable to satisfy any judgment obtained by the plaintiff against the 1</w:t>
      </w:r>
      <w:r w:rsidRPr="00695BA8">
        <w:rPr>
          <w:szCs w:val="28"/>
          <w:vertAlign w:val="superscript"/>
        </w:rPr>
        <w:t>st</w:t>
      </w:r>
      <w:r w:rsidRPr="00695BA8">
        <w:rPr>
          <w:szCs w:val="28"/>
        </w:rPr>
        <w:t xml:space="preserve"> defendant in respect of the accident under </w:t>
      </w:r>
      <w:r w:rsidR="00105053">
        <w:rPr>
          <w:szCs w:val="28"/>
        </w:rPr>
        <w:t xml:space="preserve">section </w:t>
      </w:r>
      <w:r w:rsidRPr="00695BA8">
        <w:rPr>
          <w:szCs w:val="28"/>
        </w:rPr>
        <w:t>10 of the Motor Vehicles Insurance (</w:t>
      </w:r>
      <w:r w:rsidR="00105053">
        <w:rPr>
          <w:szCs w:val="28"/>
        </w:rPr>
        <w:t>T</w:t>
      </w:r>
      <w:r w:rsidRPr="00695BA8">
        <w:rPr>
          <w:szCs w:val="28"/>
        </w:rPr>
        <w:t>hird Party Risks) Ordinance, Cap 272</w:t>
      </w:r>
      <w:r w:rsidR="00105053">
        <w:rPr>
          <w:szCs w:val="28"/>
        </w:rPr>
        <w:t>, t</w:t>
      </w:r>
      <w:r w:rsidRPr="00695BA8">
        <w:rPr>
          <w:szCs w:val="28"/>
        </w:rPr>
        <w:t>he 2</w:t>
      </w:r>
      <w:r w:rsidRPr="00695BA8">
        <w:rPr>
          <w:szCs w:val="28"/>
          <w:vertAlign w:val="superscript"/>
        </w:rPr>
        <w:t>nd</w:t>
      </w:r>
      <w:r w:rsidRPr="00695BA8">
        <w:rPr>
          <w:szCs w:val="28"/>
        </w:rPr>
        <w:t xml:space="preserve"> defendant asserted that it had a real interest in this action and ought therefore </w:t>
      </w:r>
      <w:r w:rsidR="00A21F3F">
        <w:rPr>
          <w:szCs w:val="28"/>
        </w:rPr>
        <w:t xml:space="preserve">to </w:t>
      </w:r>
      <w:r w:rsidRPr="00695BA8">
        <w:rPr>
          <w:szCs w:val="28"/>
        </w:rPr>
        <w:t xml:space="preserve">be joined as a party.  Its application was allowed. </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numPr>
          <w:ilvl w:val="0"/>
          <w:numId w:val="22"/>
        </w:numPr>
        <w:tabs>
          <w:tab w:val="clear" w:pos="4320"/>
          <w:tab w:val="clear" w:pos="9072"/>
        </w:tabs>
        <w:snapToGrid/>
        <w:spacing w:line="360" w:lineRule="auto"/>
        <w:ind w:left="0" w:firstLine="0"/>
        <w:jc w:val="both"/>
        <w:rPr>
          <w:szCs w:val="28"/>
        </w:rPr>
      </w:pPr>
      <w:r w:rsidRPr="00695BA8">
        <w:rPr>
          <w:szCs w:val="28"/>
        </w:rPr>
        <w:t>After the joinder, on 14 October 2016, the 2</w:t>
      </w:r>
      <w:r w:rsidRPr="00695BA8">
        <w:rPr>
          <w:szCs w:val="28"/>
          <w:vertAlign w:val="superscript"/>
        </w:rPr>
        <w:t>nd</w:t>
      </w:r>
      <w:r w:rsidRPr="00695BA8">
        <w:rPr>
          <w:szCs w:val="28"/>
        </w:rPr>
        <w:t xml:space="preserve"> defendant issued its notice of contribution and indemnity to the 1</w:t>
      </w:r>
      <w:r w:rsidRPr="00695BA8">
        <w:rPr>
          <w:szCs w:val="28"/>
          <w:vertAlign w:val="superscript"/>
        </w:rPr>
        <w:t>st</w:t>
      </w:r>
      <w:r w:rsidRPr="00695BA8">
        <w:rPr>
          <w:szCs w:val="28"/>
        </w:rPr>
        <w:t xml:space="preserve"> defendant.  That is the beginning of the </w:t>
      </w:r>
      <w:r w:rsidR="00105053">
        <w:rPr>
          <w:szCs w:val="28"/>
        </w:rPr>
        <w:t>contribution and indemnity</w:t>
      </w:r>
      <w:r w:rsidRPr="00695BA8">
        <w:rPr>
          <w:szCs w:val="28"/>
        </w:rPr>
        <w:t xml:space="preserve"> proceedings identified above.  The 2</w:t>
      </w:r>
      <w:r w:rsidRPr="00695BA8">
        <w:rPr>
          <w:szCs w:val="28"/>
          <w:vertAlign w:val="superscript"/>
        </w:rPr>
        <w:t>nd</w:t>
      </w:r>
      <w:r w:rsidRPr="00695BA8">
        <w:rPr>
          <w:szCs w:val="28"/>
        </w:rPr>
        <w:t xml:space="preserve"> defendant pleads that it had repudiated liability under the policy </w:t>
      </w:r>
      <w:r w:rsidR="00105053">
        <w:rPr>
          <w:szCs w:val="28"/>
        </w:rPr>
        <w:t xml:space="preserve">by </w:t>
      </w:r>
      <w:r w:rsidRPr="00695BA8">
        <w:rPr>
          <w:szCs w:val="28"/>
        </w:rPr>
        <w:t>letter dated 4 May 2016.  It claims, amongst other things, judgment against the 1</w:t>
      </w:r>
      <w:r w:rsidRPr="00695BA8">
        <w:rPr>
          <w:szCs w:val="28"/>
          <w:vertAlign w:val="superscript"/>
        </w:rPr>
        <w:t>st</w:t>
      </w:r>
      <w:r w:rsidRPr="00695BA8">
        <w:rPr>
          <w:szCs w:val="28"/>
        </w:rPr>
        <w:t xml:space="preserve"> defendant for any amount, including costs, which </w:t>
      </w:r>
      <w:r w:rsidRPr="00695BA8">
        <w:rPr>
          <w:szCs w:val="28"/>
        </w:rPr>
        <w:lastRenderedPageBreak/>
        <w:t>the 2</w:t>
      </w:r>
      <w:r w:rsidRPr="00695BA8">
        <w:rPr>
          <w:szCs w:val="28"/>
          <w:vertAlign w:val="superscript"/>
        </w:rPr>
        <w:t>nd</w:t>
      </w:r>
      <w:r w:rsidRPr="00695BA8">
        <w:rPr>
          <w:szCs w:val="28"/>
        </w:rPr>
        <w:t xml:space="preserve"> defendant may be obliged to pay to the plaintiff pursuant to a court order or judgment or a </w:t>
      </w:r>
      <w:r w:rsidRPr="00105053">
        <w:rPr>
          <w:i/>
          <w:szCs w:val="28"/>
        </w:rPr>
        <w:t>bone fide</w:t>
      </w:r>
      <w:r w:rsidRPr="00695BA8">
        <w:rPr>
          <w:szCs w:val="28"/>
        </w:rPr>
        <w:t xml:space="preserve"> settlement agreement.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numPr>
          <w:ilvl w:val="0"/>
          <w:numId w:val="22"/>
        </w:numPr>
        <w:tabs>
          <w:tab w:val="clear" w:pos="4320"/>
          <w:tab w:val="clear" w:pos="9072"/>
        </w:tabs>
        <w:snapToGrid/>
        <w:spacing w:line="360" w:lineRule="auto"/>
        <w:ind w:left="0" w:firstLine="0"/>
        <w:jc w:val="both"/>
        <w:rPr>
          <w:szCs w:val="28"/>
        </w:rPr>
      </w:pPr>
      <w:r w:rsidRPr="00695BA8">
        <w:rPr>
          <w:szCs w:val="28"/>
        </w:rPr>
        <w:t>In response to that, the 1</w:t>
      </w:r>
      <w:r w:rsidRPr="00695BA8">
        <w:rPr>
          <w:szCs w:val="28"/>
          <w:vertAlign w:val="superscript"/>
        </w:rPr>
        <w:t>st</w:t>
      </w:r>
      <w:r w:rsidRPr="00695BA8">
        <w:rPr>
          <w:szCs w:val="28"/>
        </w:rPr>
        <w:t xml:space="preserve"> defendant sent by post to court a document entitled “Defense and Counterclaims” and dated 5 December 2016.  This is the document which the 2</w:t>
      </w:r>
      <w:r w:rsidRPr="00695BA8">
        <w:rPr>
          <w:szCs w:val="28"/>
          <w:vertAlign w:val="superscript"/>
        </w:rPr>
        <w:t>nd</w:t>
      </w:r>
      <w:r w:rsidRPr="00695BA8">
        <w:rPr>
          <w:szCs w:val="28"/>
        </w:rPr>
        <w:t xml:space="preserve"> defendant seeks to strike out in the hearing to be heard before this court this afternoon.</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numPr>
          <w:ilvl w:val="0"/>
          <w:numId w:val="22"/>
        </w:numPr>
        <w:tabs>
          <w:tab w:val="clear" w:pos="4320"/>
          <w:tab w:val="clear" w:pos="9072"/>
        </w:tabs>
        <w:snapToGrid/>
        <w:spacing w:line="360" w:lineRule="auto"/>
        <w:ind w:left="0" w:firstLine="0"/>
        <w:jc w:val="both"/>
        <w:rPr>
          <w:szCs w:val="28"/>
        </w:rPr>
      </w:pPr>
      <w:r w:rsidRPr="00695BA8">
        <w:rPr>
          <w:szCs w:val="28"/>
        </w:rPr>
        <w:t>In parallel with the contribution and indemnity proceedings, the 2</w:t>
      </w:r>
      <w:r w:rsidRPr="00695BA8">
        <w:rPr>
          <w:szCs w:val="28"/>
          <w:vertAlign w:val="superscript"/>
        </w:rPr>
        <w:t>nd</w:t>
      </w:r>
      <w:r w:rsidRPr="00695BA8">
        <w:rPr>
          <w:szCs w:val="28"/>
        </w:rPr>
        <w:t xml:space="preserve"> defendant also took steps to deal with the main proceedings vis-à-vis the plaintiff.  On the same date as it issued the above contribution notice, the 2</w:t>
      </w:r>
      <w:r w:rsidRPr="00695BA8">
        <w:rPr>
          <w:szCs w:val="28"/>
          <w:vertAlign w:val="superscript"/>
        </w:rPr>
        <w:t>nd</w:t>
      </w:r>
      <w:r w:rsidRPr="00695BA8">
        <w:rPr>
          <w:szCs w:val="28"/>
        </w:rPr>
        <w:t xml:space="preserve"> defendant made a sanctioned payment in the sum of $145,000, which was subsequently accepted by the plaintiff.</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numPr>
          <w:ilvl w:val="0"/>
          <w:numId w:val="22"/>
        </w:numPr>
        <w:tabs>
          <w:tab w:val="clear" w:pos="4320"/>
          <w:tab w:val="clear" w:pos="9072"/>
        </w:tabs>
        <w:snapToGrid/>
        <w:spacing w:line="360" w:lineRule="auto"/>
        <w:ind w:left="0" w:firstLine="0"/>
        <w:jc w:val="both"/>
        <w:rPr>
          <w:szCs w:val="28"/>
        </w:rPr>
      </w:pPr>
      <w:r w:rsidRPr="00695BA8">
        <w:rPr>
          <w:szCs w:val="28"/>
        </w:rPr>
        <w:t xml:space="preserve">By order dated 21 February </w:t>
      </w:r>
      <w:proofErr w:type="gramStart"/>
      <w:r w:rsidRPr="00695BA8">
        <w:rPr>
          <w:szCs w:val="28"/>
        </w:rPr>
        <w:t>2017:-</w:t>
      </w:r>
      <w:proofErr w:type="gramEnd"/>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numPr>
          <w:ilvl w:val="0"/>
          <w:numId w:val="23"/>
        </w:numPr>
        <w:tabs>
          <w:tab w:val="clear" w:pos="1440"/>
          <w:tab w:val="clear" w:pos="4320"/>
          <w:tab w:val="clear" w:pos="9072"/>
          <w:tab w:val="left" w:pos="2160"/>
        </w:tabs>
        <w:snapToGrid/>
        <w:spacing w:line="360" w:lineRule="auto"/>
        <w:ind w:left="2160" w:hanging="720"/>
        <w:jc w:val="both"/>
        <w:rPr>
          <w:szCs w:val="28"/>
        </w:rPr>
      </w:pPr>
      <w:r w:rsidRPr="00695BA8">
        <w:rPr>
          <w:szCs w:val="28"/>
        </w:rPr>
        <w:t>Leave was granted for the payment out of the sanctioned payment to the plaintiff</w:t>
      </w:r>
      <w:r w:rsidR="00105053">
        <w:rPr>
          <w:szCs w:val="28"/>
        </w:rPr>
        <w:t>;</w:t>
      </w:r>
    </w:p>
    <w:p w:rsidR="00695BA8" w:rsidRPr="00695BA8" w:rsidRDefault="00695BA8" w:rsidP="00695BA8">
      <w:pPr>
        <w:tabs>
          <w:tab w:val="clear" w:pos="1440"/>
          <w:tab w:val="clear" w:pos="4320"/>
          <w:tab w:val="clear" w:pos="9072"/>
          <w:tab w:val="left" w:pos="2160"/>
        </w:tabs>
        <w:snapToGrid/>
        <w:spacing w:line="360" w:lineRule="auto"/>
        <w:jc w:val="both"/>
        <w:rPr>
          <w:szCs w:val="28"/>
        </w:rPr>
      </w:pPr>
    </w:p>
    <w:p w:rsidR="00695BA8" w:rsidRPr="00695BA8" w:rsidRDefault="00695BA8" w:rsidP="00695BA8">
      <w:pPr>
        <w:numPr>
          <w:ilvl w:val="0"/>
          <w:numId w:val="23"/>
        </w:numPr>
        <w:tabs>
          <w:tab w:val="clear" w:pos="1440"/>
          <w:tab w:val="clear" w:pos="4320"/>
          <w:tab w:val="clear" w:pos="9072"/>
          <w:tab w:val="left" w:pos="2160"/>
        </w:tabs>
        <w:snapToGrid/>
        <w:spacing w:line="360" w:lineRule="auto"/>
        <w:ind w:left="2160" w:hanging="720"/>
        <w:jc w:val="both"/>
        <w:rPr>
          <w:szCs w:val="28"/>
        </w:rPr>
      </w:pPr>
      <w:r w:rsidRPr="00695BA8">
        <w:rPr>
          <w:szCs w:val="28"/>
        </w:rPr>
        <w:t>The 2</w:t>
      </w:r>
      <w:r w:rsidRPr="00695BA8">
        <w:rPr>
          <w:szCs w:val="28"/>
          <w:vertAlign w:val="superscript"/>
        </w:rPr>
        <w:t>nd</w:t>
      </w:r>
      <w:r w:rsidRPr="00695BA8">
        <w:rPr>
          <w:szCs w:val="28"/>
        </w:rPr>
        <w:t xml:space="preserve"> defendant do pay the plaintiff’s costs of the main proceedings, excluding costs in relat</w:t>
      </w:r>
      <w:r w:rsidR="00105053">
        <w:rPr>
          <w:szCs w:val="28"/>
        </w:rPr>
        <w:t>ion</w:t>
      </w:r>
      <w:r w:rsidRPr="00695BA8">
        <w:rPr>
          <w:szCs w:val="28"/>
        </w:rPr>
        <w:t xml:space="preserve"> to the 1</w:t>
      </w:r>
      <w:r w:rsidRPr="00695BA8">
        <w:rPr>
          <w:szCs w:val="28"/>
          <w:vertAlign w:val="superscript"/>
        </w:rPr>
        <w:t>st</w:t>
      </w:r>
      <w:r w:rsidRPr="00695BA8">
        <w:rPr>
          <w:szCs w:val="28"/>
        </w:rPr>
        <w:t> defendant’s counterclaim against the plaintiff</w:t>
      </w:r>
      <w:r w:rsidR="00105053">
        <w:rPr>
          <w:szCs w:val="28"/>
        </w:rPr>
        <w:t>;</w:t>
      </w:r>
    </w:p>
    <w:p w:rsidR="00695BA8" w:rsidRPr="00695BA8" w:rsidRDefault="00695BA8" w:rsidP="00695BA8">
      <w:pPr>
        <w:tabs>
          <w:tab w:val="clear" w:pos="1440"/>
          <w:tab w:val="clear" w:pos="4320"/>
          <w:tab w:val="clear" w:pos="9072"/>
          <w:tab w:val="left" w:pos="2160"/>
        </w:tabs>
        <w:snapToGrid/>
        <w:spacing w:line="360" w:lineRule="auto"/>
        <w:jc w:val="both"/>
        <w:rPr>
          <w:szCs w:val="28"/>
        </w:rPr>
      </w:pPr>
    </w:p>
    <w:p w:rsidR="00695BA8" w:rsidRPr="00695BA8" w:rsidRDefault="00695BA8" w:rsidP="00695BA8">
      <w:pPr>
        <w:numPr>
          <w:ilvl w:val="0"/>
          <w:numId w:val="23"/>
        </w:numPr>
        <w:tabs>
          <w:tab w:val="clear" w:pos="1440"/>
          <w:tab w:val="clear" w:pos="4320"/>
          <w:tab w:val="clear" w:pos="9072"/>
          <w:tab w:val="left" w:pos="2160"/>
        </w:tabs>
        <w:snapToGrid/>
        <w:spacing w:line="360" w:lineRule="auto"/>
        <w:ind w:left="2160" w:hanging="720"/>
        <w:jc w:val="both"/>
        <w:rPr>
          <w:szCs w:val="28"/>
        </w:rPr>
      </w:pPr>
      <w:r w:rsidRPr="00695BA8">
        <w:rPr>
          <w:szCs w:val="28"/>
        </w:rPr>
        <w:t xml:space="preserve">The plaintiff </w:t>
      </w:r>
      <w:proofErr w:type="gramStart"/>
      <w:r w:rsidRPr="00695BA8">
        <w:rPr>
          <w:szCs w:val="28"/>
        </w:rPr>
        <w:t>do</w:t>
      </w:r>
      <w:proofErr w:type="gramEnd"/>
      <w:r w:rsidRPr="00695BA8">
        <w:rPr>
          <w:szCs w:val="28"/>
        </w:rPr>
        <w:t xml:space="preserve"> have leave to discontinue the main proceedings against the 1</w:t>
      </w:r>
      <w:r w:rsidRPr="00695BA8">
        <w:rPr>
          <w:szCs w:val="28"/>
          <w:vertAlign w:val="superscript"/>
        </w:rPr>
        <w:t>st</w:t>
      </w:r>
      <w:r w:rsidRPr="00695BA8">
        <w:rPr>
          <w:szCs w:val="28"/>
        </w:rPr>
        <w:t xml:space="preserve"> defendant</w:t>
      </w:r>
      <w:r w:rsidR="00105053">
        <w:rPr>
          <w:szCs w:val="28"/>
        </w:rPr>
        <w:t>;</w:t>
      </w:r>
    </w:p>
    <w:p w:rsidR="00695BA8" w:rsidRPr="00695BA8" w:rsidRDefault="00695BA8" w:rsidP="00695BA8">
      <w:pPr>
        <w:tabs>
          <w:tab w:val="clear" w:pos="1440"/>
          <w:tab w:val="clear" w:pos="4320"/>
          <w:tab w:val="clear" w:pos="9072"/>
        </w:tabs>
        <w:snapToGrid/>
        <w:ind w:left="720"/>
        <w:rPr>
          <w:szCs w:val="28"/>
        </w:rPr>
      </w:pPr>
    </w:p>
    <w:p w:rsidR="00695BA8" w:rsidRPr="00695BA8" w:rsidRDefault="00695BA8" w:rsidP="00695BA8">
      <w:pPr>
        <w:numPr>
          <w:ilvl w:val="0"/>
          <w:numId w:val="23"/>
        </w:numPr>
        <w:tabs>
          <w:tab w:val="clear" w:pos="1440"/>
          <w:tab w:val="clear" w:pos="4320"/>
          <w:tab w:val="clear" w:pos="9072"/>
          <w:tab w:val="left" w:pos="2160"/>
        </w:tabs>
        <w:snapToGrid/>
        <w:spacing w:line="360" w:lineRule="auto"/>
        <w:ind w:left="2160" w:hanging="720"/>
        <w:jc w:val="both"/>
        <w:rPr>
          <w:szCs w:val="28"/>
        </w:rPr>
      </w:pPr>
      <w:r w:rsidRPr="00695BA8">
        <w:rPr>
          <w:szCs w:val="28"/>
        </w:rPr>
        <w:t>As between the plaintiff and the 1</w:t>
      </w:r>
      <w:r w:rsidRPr="00695BA8">
        <w:rPr>
          <w:szCs w:val="28"/>
          <w:vertAlign w:val="superscript"/>
        </w:rPr>
        <w:t>st</w:t>
      </w:r>
      <w:r w:rsidRPr="00695BA8">
        <w:rPr>
          <w:szCs w:val="28"/>
        </w:rPr>
        <w:t xml:space="preserve"> defendant in the main proceedings, there be no order as to costs (save, </w:t>
      </w:r>
      <w:r w:rsidRPr="00695BA8">
        <w:rPr>
          <w:szCs w:val="28"/>
        </w:rPr>
        <w:lastRenderedPageBreak/>
        <w:t>again, those costs in relat</w:t>
      </w:r>
      <w:r w:rsidR="00105053">
        <w:rPr>
          <w:szCs w:val="28"/>
        </w:rPr>
        <w:t>ion</w:t>
      </w:r>
      <w:r w:rsidRPr="00695BA8">
        <w:rPr>
          <w:szCs w:val="28"/>
        </w:rPr>
        <w:t xml:space="preserve"> to the 1</w:t>
      </w:r>
      <w:r w:rsidRPr="00695BA8">
        <w:rPr>
          <w:szCs w:val="28"/>
          <w:vertAlign w:val="superscript"/>
        </w:rPr>
        <w:t>st</w:t>
      </w:r>
      <w:r w:rsidRPr="00695BA8">
        <w:rPr>
          <w:szCs w:val="28"/>
        </w:rPr>
        <w:t xml:space="preserve"> defendant’s counterclaim).</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numPr>
          <w:ilvl w:val="0"/>
          <w:numId w:val="22"/>
        </w:numPr>
        <w:tabs>
          <w:tab w:val="clear" w:pos="4320"/>
          <w:tab w:val="clear" w:pos="9072"/>
        </w:tabs>
        <w:snapToGrid/>
        <w:spacing w:line="360" w:lineRule="auto"/>
        <w:ind w:left="0" w:firstLine="0"/>
        <w:jc w:val="both"/>
        <w:rPr>
          <w:szCs w:val="28"/>
        </w:rPr>
      </w:pPr>
      <w:r w:rsidRPr="00695BA8">
        <w:rPr>
          <w:szCs w:val="28"/>
        </w:rPr>
        <w:t>Subsequent to this order, the 2</w:t>
      </w:r>
      <w:r w:rsidRPr="00695BA8">
        <w:rPr>
          <w:szCs w:val="28"/>
          <w:vertAlign w:val="superscript"/>
        </w:rPr>
        <w:t>nd</w:t>
      </w:r>
      <w:r w:rsidRPr="00695BA8">
        <w:rPr>
          <w:szCs w:val="28"/>
        </w:rPr>
        <w:t xml:space="preserve"> defendant paid into court a further sum of $100,000 in settlement of the whole of the plaintiff’s costs in the main proceedings, by way of sanctioned payment, which was accepted by the plaintiff shortly afterwards.</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i/>
          <w:szCs w:val="28"/>
        </w:rPr>
      </w:pPr>
      <w:r w:rsidRPr="00695BA8">
        <w:rPr>
          <w:i/>
          <w:szCs w:val="28"/>
        </w:rPr>
        <w:t>The plaintiff’s striking out application</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numPr>
          <w:ilvl w:val="0"/>
          <w:numId w:val="22"/>
        </w:numPr>
        <w:tabs>
          <w:tab w:val="clear" w:pos="4320"/>
          <w:tab w:val="clear" w:pos="9072"/>
        </w:tabs>
        <w:snapToGrid/>
        <w:spacing w:line="360" w:lineRule="auto"/>
        <w:ind w:left="0" w:firstLine="0"/>
        <w:jc w:val="both"/>
        <w:rPr>
          <w:szCs w:val="28"/>
        </w:rPr>
      </w:pPr>
      <w:r w:rsidRPr="00695BA8">
        <w:rPr>
          <w:szCs w:val="28"/>
        </w:rPr>
        <w:t>It is necessary to set out the 1</w:t>
      </w:r>
      <w:r w:rsidRPr="00695BA8">
        <w:rPr>
          <w:szCs w:val="28"/>
          <w:vertAlign w:val="superscript"/>
        </w:rPr>
        <w:t>st</w:t>
      </w:r>
      <w:r w:rsidRPr="00695BA8">
        <w:rPr>
          <w:szCs w:val="28"/>
        </w:rPr>
        <w:t xml:space="preserve"> defendant’s counterclaim against the plaintiff in full as </w:t>
      </w:r>
      <w:proofErr w:type="gramStart"/>
      <w:r w:rsidRPr="00695BA8">
        <w:rPr>
          <w:szCs w:val="28"/>
        </w:rPr>
        <w:t>follows:-</w:t>
      </w:r>
      <w:proofErr w:type="gramEnd"/>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105053">
      <w:pPr>
        <w:tabs>
          <w:tab w:val="clear" w:pos="1440"/>
          <w:tab w:val="clear" w:pos="4320"/>
          <w:tab w:val="clear" w:pos="9072"/>
        </w:tabs>
        <w:snapToGrid/>
        <w:ind w:left="1440" w:right="747"/>
        <w:jc w:val="both"/>
        <w:rPr>
          <w:sz w:val="24"/>
          <w:szCs w:val="24"/>
        </w:rPr>
      </w:pPr>
      <w:r w:rsidRPr="00695BA8">
        <w:rPr>
          <w:sz w:val="24"/>
          <w:szCs w:val="24"/>
        </w:rPr>
        <w:t>“</w:t>
      </w:r>
      <w:r w:rsidRPr="00105053">
        <w:rPr>
          <w:i/>
          <w:sz w:val="24"/>
          <w:szCs w:val="24"/>
        </w:rPr>
        <w:t xml:space="preserve">The </w:t>
      </w:r>
      <w:r w:rsidRPr="00105053">
        <w:rPr>
          <w:rFonts w:eastAsiaTheme="minorEastAsia"/>
          <w:i/>
          <w:sz w:val="24"/>
          <w:szCs w:val="24"/>
        </w:rPr>
        <w:t>S</w:t>
      </w:r>
      <w:r w:rsidRPr="00105053">
        <w:rPr>
          <w:i/>
          <w:sz w:val="24"/>
          <w:szCs w:val="24"/>
        </w:rPr>
        <w:t xml:space="preserve">olicitors for the plaintiff </w:t>
      </w:r>
      <w:r w:rsidRPr="00695BA8">
        <w:rPr>
          <w:sz w:val="24"/>
          <w:szCs w:val="24"/>
        </w:rPr>
        <w:t xml:space="preserve">may not or do not exercise adequate professional legal due diligence of his professions or his best endeavor or to solicit the relevant proof documentation to substantiate from plaintiff or provide </w:t>
      </w:r>
      <w:proofErr w:type="spellStart"/>
      <w:r w:rsidRPr="00695BA8">
        <w:rPr>
          <w:sz w:val="24"/>
          <w:szCs w:val="24"/>
        </w:rPr>
        <w:t>a</w:t>
      </w:r>
      <w:proofErr w:type="spellEnd"/>
      <w:r w:rsidRPr="00695BA8">
        <w:rPr>
          <w:sz w:val="24"/>
          <w:szCs w:val="24"/>
        </w:rPr>
        <w:t xml:space="preserve"> expert opinion/endorsement from qualified third party[</w:t>
      </w:r>
      <w:proofErr w:type="spellStart"/>
      <w:r w:rsidRPr="00695BA8">
        <w:rPr>
          <w:sz w:val="24"/>
          <w:szCs w:val="24"/>
        </w:rPr>
        <w:t>ies</w:t>
      </w:r>
      <w:proofErr w:type="spellEnd"/>
      <w:r w:rsidRPr="00695BA8">
        <w:rPr>
          <w:sz w:val="24"/>
          <w:szCs w:val="24"/>
        </w:rPr>
        <w:t>] to substantiate his claim that to valid the plaintiff damages loss, and suffer was valid such as, medical certificate, medical report that are not proven, nor endorsed by third party[</w:t>
      </w:r>
      <w:proofErr w:type="spellStart"/>
      <w:r w:rsidRPr="00695BA8">
        <w:rPr>
          <w:sz w:val="24"/>
          <w:szCs w:val="24"/>
        </w:rPr>
        <w:t>ies</w:t>
      </w:r>
      <w:proofErr w:type="spellEnd"/>
      <w:r w:rsidRPr="00695BA8">
        <w:rPr>
          <w:sz w:val="24"/>
          <w:szCs w:val="24"/>
        </w:rPr>
        <w:t>], or subject matter expert[s], domain expert[s], plaintiff’s solicitors as a processional lawyer, may need to verify, or at least give significant documentation to substantiate his claim for permanent disability[</w:t>
      </w:r>
      <w:proofErr w:type="spellStart"/>
      <w:r w:rsidRPr="00695BA8">
        <w:rPr>
          <w:sz w:val="24"/>
          <w:szCs w:val="24"/>
        </w:rPr>
        <w:t>ies</w:t>
      </w:r>
      <w:proofErr w:type="spellEnd"/>
      <w:r w:rsidRPr="00695BA8">
        <w:rPr>
          <w:sz w:val="24"/>
          <w:szCs w:val="24"/>
        </w:rPr>
        <w:t>] for the plaintiff who act on behalf of the plaintiff in this writ of summon [DCPI 801/2016],</w:t>
      </w:r>
    </w:p>
    <w:p w:rsidR="00695BA8" w:rsidRPr="00695BA8" w:rsidRDefault="00695BA8" w:rsidP="00695BA8">
      <w:pPr>
        <w:tabs>
          <w:tab w:val="clear" w:pos="1440"/>
          <w:tab w:val="clear" w:pos="4320"/>
          <w:tab w:val="clear" w:pos="9072"/>
          <w:tab w:val="left" w:pos="2160"/>
        </w:tabs>
        <w:snapToGrid/>
        <w:jc w:val="both"/>
        <w:rPr>
          <w:sz w:val="24"/>
          <w:szCs w:val="24"/>
        </w:rPr>
      </w:pPr>
    </w:p>
    <w:p w:rsidR="00695BA8" w:rsidRPr="00695BA8" w:rsidRDefault="00695BA8" w:rsidP="00105053">
      <w:pPr>
        <w:tabs>
          <w:tab w:val="clear" w:pos="1440"/>
          <w:tab w:val="clear" w:pos="4320"/>
          <w:tab w:val="clear" w:pos="9072"/>
        </w:tabs>
        <w:snapToGrid/>
        <w:ind w:left="1440" w:right="747"/>
        <w:jc w:val="both"/>
        <w:rPr>
          <w:sz w:val="24"/>
          <w:szCs w:val="24"/>
        </w:rPr>
      </w:pPr>
      <w:r w:rsidRPr="00695BA8">
        <w:rPr>
          <w:sz w:val="24"/>
          <w:szCs w:val="24"/>
        </w:rPr>
        <w:t xml:space="preserve">I may be in doubt/question/if </w:t>
      </w:r>
      <w:r w:rsidRPr="00105053">
        <w:rPr>
          <w:i/>
          <w:sz w:val="24"/>
          <w:szCs w:val="24"/>
        </w:rPr>
        <w:t>professional negligence or other vested interests or agenda[s] the plaintiffs’ solicitors</w:t>
      </w:r>
      <w:r w:rsidRPr="00695BA8">
        <w:rPr>
          <w:sz w:val="24"/>
          <w:szCs w:val="24"/>
        </w:rPr>
        <w:t xml:space="preserve"> working the plaintiff for accident damages/ injury for a vested interest.</w:t>
      </w:r>
    </w:p>
    <w:p w:rsidR="00695BA8" w:rsidRPr="00695BA8" w:rsidRDefault="00695BA8" w:rsidP="00695BA8">
      <w:pPr>
        <w:tabs>
          <w:tab w:val="clear" w:pos="1440"/>
          <w:tab w:val="clear" w:pos="4320"/>
          <w:tab w:val="clear" w:pos="9072"/>
          <w:tab w:val="left" w:pos="2160"/>
        </w:tabs>
        <w:snapToGrid/>
        <w:jc w:val="both"/>
        <w:rPr>
          <w:sz w:val="24"/>
          <w:szCs w:val="24"/>
        </w:rPr>
      </w:pPr>
    </w:p>
    <w:p w:rsidR="00695BA8" w:rsidRPr="00695BA8" w:rsidRDefault="00695BA8" w:rsidP="00273AA5">
      <w:pPr>
        <w:tabs>
          <w:tab w:val="clear" w:pos="1440"/>
          <w:tab w:val="clear" w:pos="4320"/>
          <w:tab w:val="clear" w:pos="9072"/>
        </w:tabs>
        <w:snapToGrid/>
        <w:ind w:left="1440" w:right="747"/>
        <w:jc w:val="both"/>
        <w:rPr>
          <w:sz w:val="24"/>
          <w:szCs w:val="24"/>
        </w:rPr>
      </w:pPr>
      <w:r w:rsidRPr="00273AA5">
        <w:rPr>
          <w:i/>
          <w:sz w:val="24"/>
          <w:szCs w:val="24"/>
        </w:rPr>
        <w:t xml:space="preserve">I would demand a proof of the plaintiff’s solicitors of documentation that when and how the plaintiff would first </w:t>
      </w:r>
      <w:proofErr w:type="gramStart"/>
      <w:r w:rsidRPr="00273AA5">
        <w:rPr>
          <w:i/>
          <w:sz w:val="24"/>
          <w:szCs w:val="24"/>
        </w:rPr>
        <w:t>made</w:t>
      </w:r>
      <w:proofErr w:type="gramEnd"/>
      <w:r w:rsidRPr="00273AA5">
        <w:rPr>
          <w:i/>
          <w:sz w:val="24"/>
          <w:szCs w:val="24"/>
        </w:rPr>
        <w:t xml:space="preserve"> contact with the plaintiff’s solicitors, how often the proposed arbitrator/mediator proposed by </w:t>
      </w:r>
      <w:r w:rsidR="00273AA5" w:rsidRPr="00273AA5">
        <w:rPr>
          <w:i/>
          <w:sz w:val="24"/>
          <w:szCs w:val="24"/>
        </w:rPr>
        <w:t xml:space="preserve">plaintiff </w:t>
      </w:r>
      <w:r w:rsidRPr="00273AA5">
        <w:rPr>
          <w:i/>
          <w:sz w:val="24"/>
          <w:szCs w:val="24"/>
        </w:rPr>
        <w:t xml:space="preserve">lawyer were working closely together on personal injury claims on traffic accident, </w:t>
      </w:r>
      <w:r w:rsidRPr="00695BA8">
        <w:rPr>
          <w:sz w:val="24"/>
          <w:szCs w:val="24"/>
        </w:rPr>
        <w:t xml:space="preserve">which I don’t need such service at all.  And all the arbitrator/mediator resume and marketing material was sent to me and filed in the writ of summon which may intend, in my </w:t>
      </w:r>
      <w:r w:rsidRPr="00695BA8">
        <w:rPr>
          <w:sz w:val="24"/>
          <w:szCs w:val="24"/>
        </w:rPr>
        <w:lastRenderedPageBreak/>
        <w:t xml:space="preserve">view, to mitigate the claim and settled by the arbitrator has connection the plaintiff’s solicitors.  So that I can seek third party investigator, my legal </w:t>
      </w:r>
      <w:proofErr w:type="spellStart"/>
      <w:proofErr w:type="gramStart"/>
      <w:r w:rsidRPr="00695BA8">
        <w:rPr>
          <w:sz w:val="24"/>
          <w:szCs w:val="24"/>
        </w:rPr>
        <w:t>advise</w:t>
      </w:r>
      <w:proofErr w:type="spellEnd"/>
      <w:proofErr w:type="gramEnd"/>
      <w:r w:rsidRPr="00695BA8">
        <w:rPr>
          <w:sz w:val="24"/>
          <w:szCs w:val="24"/>
        </w:rPr>
        <w:t>/lawyer, HK Solicitors society to investigate this case.”</w:t>
      </w:r>
      <w:r w:rsidR="00273AA5">
        <w:rPr>
          <w:sz w:val="24"/>
          <w:szCs w:val="24"/>
        </w:rPr>
        <w:t xml:space="preserve"> (emphasis added)</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273AA5">
      <w:pPr>
        <w:numPr>
          <w:ilvl w:val="0"/>
          <w:numId w:val="22"/>
        </w:numPr>
        <w:tabs>
          <w:tab w:val="clear" w:pos="4320"/>
          <w:tab w:val="clear" w:pos="9072"/>
        </w:tabs>
        <w:snapToGrid/>
        <w:spacing w:line="360" w:lineRule="auto"/>
        <w:ind w:left="0" w:firstLine="0"/>
        <w:jc w:val="both"/>
        <w:rPr>
          <w:szCs w:val="28"/>
        </w:rPr>
      </w:pPr>
      <w:r w:rsidRPr="00695BA8">
        <w:rPr>
          <w:szCs w:val="28"/>
        </w:rPr>
        <w:t>Given the procedural history set out above, if the above counterclaim is struck out, the main proceedings as between the plaintiff and the 1</w:t>
      </w:r>
      <w:r w:rsidRPr="00695BA8">
        <w:rPr>
          <w:szCs w:val="28"/>
          <w:vertAlign w:val="superscript"/>
        </w:rPr>
        <w:t>st</w:t>
      </w:r>
      <w:r w:rsidRPr="00695BA8">
        <w:rPr>
          <w:szCs w:val="28"/>
        </w:rPr>
        <w:t xml:space="preserve"> defendant would be disposed of entirely.</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273AA5">
      <w:pPr>
        <w:numPr>
          <w:ilvl w:val="0"/>
          <w:numId w:val="22"/>
        </w:numPr>
        <w:tabs>
          <w:tab w:val="clear" w:pos="4320"/>
          <w:tab w:val="clear" w:pos="9072"/>
        </w:tabs>
        <w:snapToGrid/>
        <w:spacing w:line="360" w:lineRule="auto"/>
        <w:ind w:left="0" w:firstLine="0"/>
        <w:jc w:val="both"/>
        <w:rPr>
          <w:szCs w:val="28"/>
        </w:rPr>
      </w:pPr>
      <w:proofErr w:type="spellStart"/>
      <w:r w:rsidRPr="00695BA8">
        <w:rPr>
          <w:szCs w:val="28"/>
        </w:rPr>
        <w:t>Mr</w:t>
      </w:r>
      <w:proofErr w:type="spellEnd"/>
      <w:r w:rsidRPr="00695BA8">
        <w:rPr>
          <w:szCs w:val="28"/>
        </w:rPr>
        <w:t xml:space="preserve"> </w:t>
      </w:r>
      <w:proofErr w:type="spellStart"/>
      <w:r w:rsidRPr="00695BA8">
        <w:rPr>
          <w:szCs w:val="28"/>
        </w:rPr>
        <w:t>Alexsander</w:t>
      </w:r>
      <w:proofErr w:type="spellEnd"/>
      <w:r w:rsidRPr="00695BA8">
        <w:rPr>
          <w:szCs w:val="28"/>
        </w:rPr>
        <w:t xml:space="preserve"> Wong acts for the plaintiff at today’s hearing.  His submissions are straightforward.  In gist, he argues that insofar as the counterclaim is directed, as it seems to be the case, against the plaintiff’s solicitors, as opposed to the plaintiff, it clearly disclose</w:t>
      </w:r>
      <w:r w:rsidR="00273AA5">
        <w:rPr>
          <w:szCs w:val="28"/>
        </w:rPr>
        <w:t>s</w:t>
      </w:r>
      <w:r w:rsidRPr="00695BA8">
        <w:rPr>
          <w:szCs w:val="28"/>
        </w:rPr>
        <w:t xml:space="preserve"> no reasonable cause of action </w:t>
      </w:r>
      <w:r w:rsidRPr="00273AA5">
        <w:rPr>
          <w:i/>
          <w:szCs w:val="28"/>
        </w:rPr>
        <w:t>against the plaintiff</w:t>
      </w:r>
      <w:r w:rsidRPr="00695BA8">
        <w:rPr>
          <w:szCs w:val="28"/>
        </w:rPr>
        <w:t>.  In any event, there is no merit whatsoever in the 1</w:t>
      </w:r>
      <w:r w:rsidRPr="00695BA8">
        <w:rPr>
          <w:szCs w:val="28"/>
          <w:vertAlign w:val="superscript"/>
        </w:rPr>
        <w:t>st</w:t>
      </w:r>
      <w:r w:rsidRPr="00695BA8">
        <w:rPr>
          <w:szCs w:val="28"/>
        </w:rPr>
        <w:t xml:space="preserve"> defendant’s pleaded case as against the plaintiff or the plaintiff’s solicitors.</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i/>
          <w:szCs w:val="28"/>
        </w:rPr>
      </w:pPr>
      <w:r w:rsidRPr="00695BA8">
        <w:rPr>
          <w:i/>
          <w:szCs w:val="28"/>
        </w:rPr>
        <w:t>Analysis</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273AA5">
      <w:pPr>
        <w:numPr>
          <w:ilvl w:val="0"/>
          <w:numId w:val="22"/>
        </w:numPr>
        <w:tabs>
          <w:tab w:val="clear" w:pos="4320"/>
          <w:tab w:val="clear" w:pos="9072"/>
        </w:tabs>
        <w:snapToGrid/>
        <w:spacing w:line="360" w:lineRule="auto"/>
        <w:ind w:left="0" w:firstLine="0"/>
        <w:jc w:val="both"/>
        <w:rPr>
          <w:szCs w:val="28"/>
        </w:rPr>
      </w:pPr>
      <w:r w:rsidRPr="00695BA8">
        <w:rPr>
          <w:szCs w:val="28"/>
        </w:rPr>
        <w:t>My preliminary observation is that it is not easy to understand what the 1</w:t>
      </w:r>
      <w:r w:rsidRPr="00695BA8">
        <w:rPr>
          <w:szCs w:val="28"/>
          <w:vertAlign w:val="superscript"/>
        </w:rPr>
        <w:t>st</w:t>
      </w:r>
      <w:r w:rsidRPr="00695BA8">
        <w:rPr>
          <w:szCs w:val="28"/>
        </w:rPr>
        <w:t xml:space="preserve"> defendant is trying to counterclaim.  It may help if the counterclaim is read in conjunction with her </w:t>
      </w:r>
      <w:proofErr w:type="spellStart"/>
      <w:r w:rsidRPr="00695BA8">
        <w:rPr>
          <w:szCs w:val="28"/>
        </w:rPr>
        <w:t>defence</w:t>
      </w:r>
      <w:proofErr w:type="spellEnd"/>
      <w:r w:rsidRPr="00695BA8">
        <w:rPr>
          <w:szCs w:val="28"/>
        </w:rPr>
        <w:t xml:space="preserve">.  I do not propose to set out her </w:t>
      </w:r>
      <w:proofErr w:type="spellStart"/>
      <w:r w:rsidRPr="00695BA8">
        <w:rPr>
          <w:szCs w:val="28"/>
        </w:rPr>
        <w:t>defence</w:t>
      </w:r>
      <w:proofErr w:type="spellEnd"/>
      <w:r w:rsidRPr="00695BA8">
        <w:rPr>
          <w:szCs w:val="28"/>
        </w:rPr>
        <w:t xml:space="preserve"> in full.  The gist is essentially that the plaintiff and the plaintiff’s solicitors have not provided “significant proof” to substantiate the plaintiff’s claim.  In particular, she takes issue with the plaintiff’s plea on his inability to enjoy swimming after the accident, which the 1</w:t>
      </w:r>
      <w:r w:rsidRPr="00695BA8">
        <w:rPr>
          <w:szCs w:val="28"/>
          <w:vertAlign w:val="superscript"/>
        </w:rPr>
        <w:t>st</w:t>
      </w:r>
      <w:r w:rsidRPr="00695BA8">
        <w:rPr>
          <w:szCs w:val="28"/>
        </w:rPr>
        <w:t xml:space="preserve"> defendant seems to </w:t>
      </w:r>
      <w:r w:rsidR="00F65C54">
        <w:rPr>
          <w:szCs w:val="28"/>
        </w:rPr>
        <w:t xml:space="preserve">have </w:t>
      </w:r>
      <w:proofErr w:type="spellStart"/>
      <w:r w:rsidRPr="00695BA8">
        <w:rPr>
          <w:szCs w:val="28"/>
        </w:rPr>
        <w:t>characterise</w:t>
      </w:r>
      <w:r w:rsidR="00F65C54">
        <w:rPr>
          <w:szCs w:val="28"/>
        </w:rPr>
        <w:t>d</w:t>
      </w:r>
      <w:proofErr w:type="spellEnd"/>
      <w:r w:rsidRPr="00695BA8">
        <w:rPr>
          <w:szCs w:val="28"/>
        </w:rPr>
        <w:t xml:space="preserve"> as a “permanent disability” in her pleading.  She writes:</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ind w:left="1440" w:right="749"/>
        <w:jc w:val="both"/>
        <w:rPr>
          <w:sz w:val="24"/>
          <w:szCs w:val="24"/>
        </w:rPr>
      </w:pPr>
      <w:r w:rsidRPr="00695BA8">
        <w:rPr>
          <w:sz w:val="24"/>
          <w:szCs w:val="24"/>
        </w:rPr>
        <w:lastRenderedPageBreak/>
        <w:t>“I would wonder it is a Plaintiff’s So</w:t>
      </w:r>
      <w:r w:rsidR="00F65C54">
        <w:rPr>
          <w:sz w:val="24"/>
          <w:szCs w:val="24"/>
        </w:rPr>
        <w:t>licitors made up such diagnosis[</w:t>
      </w:r>
      <w:r w:rsidRPr="00695BA8">
        <w:rPr>
          <w:sz w:val="24"/>
          <w:szCs w:val="24"/>
        </w:rPr>
        <w:t>s</w:t>
      </w:r>
      <w:r w:rsidR="00F65C54">
        <w:rPr>
          <w:sz w:val="24"/>
          <w:szCs w:val="24"/>
        </w:rPr>
        <w:t>]</w:t>
      </w:r>
      <w:r w:rsidRPr="00695BA8">
        <w:rPr>
          <w:sz w:val="24"/>
          <w:szCs w:val="24"/>
        </w:rPr>
        <w:t xml:space="preserve"> or verdict</w:t>
      </w:r>
      <w:r w:rsidR="00F65C54">
        <w:rPr>
          <w:sz w:val="24"/>
          <w:szCs w:val="24"/>
        </w:rPr>
        <w:t>[</w:t>
      </w:r>
      <w:r w:rsidRPr="00695BA8">
        <w:rPr>
          <w:sz w:val="24"/>
          <w:szCs w:val="24"/>
        </w:rPr>
        <w:t>s</w:t>
      </w:r>
      <w:r w:rsidR="00F65C54">
        <w:rPr>
          <w:sz w:val="24"/>
          <w:szCs w:val="24"/>
        </w:rPr>
        <w:t>]</w:t>
      </w:r>
      <w:r w:rsidRPr="00695BA8">
        <w:rPr>
          <w:sz w:val="24"/>
          <w:szCs w:val="24"/>
        </w:rPr>
        <w:t xml:space="preserve"> or is it an expert judgment verdict/qualified medical professional practitioner diagnosis before the plaintiff attemp</w:t>
      </w:r>
      <w:r w:rsidR="00F65C54">
        <w:rPr>
          <w:sz w:val="24"/>
          <w:szCs w:val="24"/>
        </w:rPr>
        <w:t>ted to file the writ of summon</w:t>
      </w:r>
      <w:r w:rsidR="00302801">
        <w:rPr>
          <w:sz w:val="24"/>
          <w:szCs w:val="24"/>
        </w:rPr>
        <w:t xml:space="preserve"> </w:t>
      </w:r>
      <w:r w:rsidR="00F65C54">
        <w:rPr>
          <w:sz w:val="24"/>
          <w:szCs w:val="24"/>
        </w:rPr>
        <w:t>…</w:t>
      </w:r>
      <w:r w:rsidRPr="00695BA8">
        <w:rPr>
          <w:sz w:val="24"/>
          <w:szCs w:val="24"/>
        </w:rPr>
        <w: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F65C54">
      <w:pPr>
        <w:numPr>
          <w:ilvl w:val="0"/>
          <w:numId w:val="22"/>
        </w:numPr>
        <w:tabs>
          <w:tab w:val="clear" w:pos="4320"/>
          <w:tab w:val="clear" w:pos="9072"/>
        </w:tabs>
        <w:snapToGrid/>
        <w:spacing w:line="360" w:lineRule="auto"/>
        <w:ind w:left="0" w:firstLine="0"/>
        <w:jc w:val="both"/>
        <w:rPr>
          <w:szCs w:val="28"/>
        </w:rPr>
      </w:pPr>
      <w:r w:rsidRPr="00695BA8">
        <w:rPr>
          <w:szCs w:val="28"/>
        </w:rPr>
        <w:t>She also queries whether the plaintiff’s solicitors have “exaggerated” the claim.  She also challenges causation as she claims that after the accident happened, the plaintiff never requested to go on the ambulance for treatment.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F65C54">
      <w:pPr>
        <w:numPr>
          <w:ilvl w:val="0"/>
          <w:numId w:val="22"/>
        </w:numPr>
        <w:tabs>
          <w:tab w:val="clear" w:pos="4320"/>
          <w:tab w:val="clear" w:pos="9072"/>
        </w:tabs>
        <w:snapToGrid/>
        <w:spacing w:line="360" w:lineRule="auto"/>
        <w:ind w:left="0" w:firstLine="0"/>
        <w:jc w:val="both"/>
        <w:rPr>
          <w:szCs w:val="28"/>
        </w:rPr>
      </w:pPr>
      <w:r w:rsidRPr="00695BA8">
        <w:rPr>
          <w:szCs w:val="28"/>
        </w:rPr>
        <w:t xml:space="preserve">Therefore, if one </w:t>
      </w:r>
      <w:r w:rsidR="00F65C54">
        <w:rPr>
          <w:szCs w:val="28"/>
        </w:rPr>
        <w:t>r</w:t>
      </w:r>
      <w:r w:rsidRPr="00695BA8">
        <w:rPr>
          <w:szCs w:val="28"/>
        </w:rPr>
        <w:t>eads the 1</w:t>
      </w:r>
      <w:r w:rsidRPr="00695BA8">
        <w:rPr>
          <w:szCs w:val="28"/>
          <w:vertAlign w:val="superscript"/>
        </w:rPr>
        <w:t>st</w:t>
      </w:r>
      <w:r w:rsidRPr="00695BA8">
        <w:rPr>
          <w:szCs w:val="28"/>
        </w:rPr>
        <w:t xml:space="preserve"> defendant’s counterclaim against the allegations made in her </w:t>
      </w:r>
      <w:proofErr w:type="spellStart"/>
      <w:r w:rsidRPr="00695BA8">
        <w:rPr>
          <w:szCs w:val="28"/>
        </w:rPr>
        <w:t>defence</w:t>
      </w:r>
      <w:proofErr w:type="spellEnd"/>
      <w:r w:rsidRPr="00695BA8">
        <w:rPr>
          <w:szCs w:val="28"/>
        </w:rPr>
        <w:t>, it seems tolerably clea</w:t>
      </w:r>
      <w:r w:rsidR="00F65C54">
        <w:rPr>
          <w:szCs w:val="28"/>
        </w:rPr>
        <w:t>r</w:t>
      </w:r>
      <w:r w:rsidRPr="00695BA8">
        <w:rPr>
          <w:szCs w:val="28"/>
        </w:rPr>
        <w:t xml:space="preserve"> that the </w:t>
      </w:r>
      <w:proofErr w:type="spellStart"/>
      <w:r w:rsidRPr="00695BA8">
        <w:rPr>
          <w:szCs w:val="28"/>
        </w:rPr>
        <w:t>grav</w:t>
      </w:r>
      <w:r w:rsidR="00F65C54">
        <w:rPr>
          <w:szCs w:val="28"/>
        </w:rPr>
        <w:t>e</w:t>
      </w:r>
      <w:r w:rsidRPr="00695BA8">
        <w:rPr>
          <w:szCs w:val="28"/>
        </w:rPr>
        <w:t>men</w:t>
      </w:r>
      <w:proofErr w:type="spellEnd"/>
      <w:r w:rsidRPr="00695BA8">
        <w:rPr>
          <w:szCs w:val="28"/>
        </w:rPr>
        <w:t xml:space="preserve"> of the 1</w:t>
      </w:r>
      <w:r w:rsidRPr="00695BA8">
        <w:rPr>
          <w:szCs w:val="28"/>
          <w:vertAlign w:val="superscript"/>
        </w:rPr>
        <w:t>st</w:t>
      </w:r>
      <w:r w:rsidRPr="00695BA8">
        <w:rPr>
          <w:szCs w:val="28"/>
        </w:rPr>
        <w:t xml:space="preserve"> defendant’s case is against </w:t>
      </w:r>
      <w:r w:rsidRPr="00F65C54">
        <w:rPr>
          <w:i/>
          <w:szCs w:val="28"/>
        </w:rPr>
        <w:t>the plaintiff’s solicitors</w:t>
      </w:r>
      <w:r w:rsidRPr="00695BA8">
        <w:rPr>
          <w:szCs w:val="28"/>
        </w:rPr>
        <w:t xml:space="preserve"> for “professional negligence” or “other vested interest”.  </w:t>
      </w:r>
      <w:r w:rsidR="00F65C54">
        <w:rPr>
          <w:szCs w:val="28"/>
        </w:rPr>
        <w:t>(</w:t>
      </w:r>
      <w:r w:rsidRPr="00695BA8">
        <w:rPr>
          <w:szCs w:val="28"/>
        </w:rPr>
        <w:t>It is however not known exactly what the l</w:t>
      </w:r>
      <w:r w:rsidR="00F65C54">
        <w:rPr>
          <w:szCs w:val="28"/>
        </w:rPr>
        <w:t>a</w:t>
      </w:r>
      <w:r w:rsidRPr="00695BA8">
        <w:rPr>
          <w:szCs w:val="28"/>
        </w:rPr>
        <w:t>tter means.</w:t>
      </w:r>
      <w:r w:rsidR="00F65C54">
        <w:rPr>
          <w:szCs w:val="28"/>
        </w:rPr>
        <w: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F65C54">
      <w:pPr>
        <w:numPr>
          <w:ilvl w:val="0"/>
          <w:numId w:val="22"/>
        </w:numPr>
        <w:tabs>
          <w:tab w:val="clear" w:pos="4320"/>
          <w:tab w:val="clear" w:pos="9072"/>
        </w:tabs>
        <w:snapToGrid/>
        <w:spacing w:line="360" w:lineRule="auto"/>
        <w:ind w:left="0" w:firstLine="0"/>
        <w:jc w:val="both"/>
        <w:rPr>
          <w:szCs w:val="28"/>
        </w:rPr>
      </w:pPr>
      <w:r w:rsidRPr="00695BA8">
        <w:rPr>
          <w:szCs w:val="28"/>
        </w:rPr>
        <w:t xml:space="preserve">I agree with </w:t>
      </w:r>
      <w:proofErr w:type="spellStart"/>
      <w:r w:rsidRPr="00695BA8">
        <w:rPr>
          <w:szCs w:val="28"/>
        </w:rPr>
        <w:t>Mr</w:t>
      </w:r>
      <w:proofErr w:type="spellEnd"/>
      <w:r w:rsidRPr="00695BA8">
        <w:rPr>
          <w:szCs w:val="28"/>
        </w:rPr>
        <w:t xml:space="preserve"> Wong’s submission that as such, the counterclaim disclose</w:t>
      </w:r>
      <w:r w:rsidR="00F65C54">
        <w:rPr>
          <w:szCs w:val="28"/>
        </w:rPr>
        <w:t>s</w:t>
      </w:r>
      <w:r w:rsidRPr="00695BA8">
        <w:rPr>
          <w:szCs w:val="28"/>
        </w:rPr>
        <w:t xml:space="preserve"> no cause of action against </w:t>
      </w:r>
      <w:r w:rsidRPr="00302801">
        <w:rPr>
          <w:i/>
          <w:szCs w:val="28"/>
        </w:rPr>
        <w:t>the plaintiff</w:t>
      </w:r>
      <w:r w:rsidRPr="00695BA8">
        <w:rPr>
          <w:szCs w:val="28"/>
        </w:rPr>
        <w:t xml:space="preserve"> at all.  For that reason, the 1</w:t>
      </w:r>
      <w:r w:rsidRPr="00695BA8">
        <w:rPr>
          <w:szCs w:val="28"/>
          <w:vertAlign w:val="superscript"/>
        </w:rPr>
        <w:t>st</w:t>
      </w:r>
      <w:r w:rsidRPr="00695BA8">
        <w:rPr>
          <w:szCs w:val="28"/>
        </w:rPr>
        <w:t xml:space="preserve"> defendant’s counterclaim must be struck out.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F65C54">
      <w:pPr>
        <w:numPr>
          <w:ilvl w:val="0"/>
          <w:numId w:val="22"/>
        </w:numPr>
        <w:tabs>
          <w:tab w:val="clear" w:pos="4320"/>
          <w:tab w:val="clear" w:pos="9072"/>
        </w:tabs>
        <w:snapToGrid/>
        <w:spacing w:line="360" w:lineRule="auto"/>
        <w:ind w:left="0" w:firstLine="0"/>
        <w:jc w:val="both"/>
        <w:rPr>
          <w:szCs w:val="28"/>
        </w:rPr>
      </w:pPr>
      <w:r w:rsidRPr="00695BA8">
        <w:rPr>
          <w:szCs w:val="28"/>
        </w:rPr>
        <w:t>In any event, as far as the plaintiff’s solicitors are concerned, no counterclaim is made against them and no third party proceedings are initiated by the 1</w:t>
      </w:r>
      <w:r w:rsidRPr="00695BA8">
        <w:rPr>
          <w:szCs w:val="28"/>
          <w:vertAlign w:val="superscript"/>
        </w:rPr>
        <w:t>st</w:t>
      </w:r>
      <w:r w:rsidRPr="00695BA8">
        <w:rPr>
          <w:szCs w:val="28"/>
        </w:rPr>
        <w:t xml:space="preserve"> defendant against them.</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F65C54">
      <w:pPr>
        <w:numPr>
          <w:ilvl w:val="0"/>
          <w:numId w:val="22"/>
        </w:numPr>
        <w:tabs>
          <w:tab w:val="clear" w:pos="4320"/>
          <w:tab w:val="clear" w:pos="9072"/>
        </w:tabs>
        <w:snapToGrid/>
        <w:spacing w:line="360" w:lineRule="auto"/>
        <w:ind w:left="0" w:firstLine="0"/>
        <w:jc w:val="both"/>
        <w:rPr>
          <w:szCs w:val="28"/>
        </w:rPr>
      </w:pPr>
      <w:r w:rsidRPr="00695BA8">
        <w:rPr>
          <w:szCs w:val="28"/>
        </w:rPr>
        <w:t>Therefore, there is no need to deal with the merits of any claim the 1</w:t>
      </w:r>
      <w:r w:rsidRPr="00695BA8">
        <w:rPr>
          <w:szCs w:val="28"/>
          <w:vertAlign w:val="superscript"/>
        </w:rPr>
        <w:t>st</w:t>
      </w:r>
      <w:r w:rsidRPr="00695BA8">
        <w:rPr>
          <w:szCs w:val="28"/>
        </w:rPr>
        <w:t xml:space="preserve"> defendant purports to raise against the plaintiff’s solicitors.  Suffice i</w:t>
      </w:r>
      <w:r w:rsidR="00510D46">
        <w:rPr>
          <w:szCs w:val="28"/>
        </w:rPr>
        <w:t>t</w:t>
      </w:r>
      <w:r w:rsidRPr="00695BA8">
        <w:rPr>
          <w:szCs w:val="28"/>
        </w:rPr>
        <w:t xml:space="preserve"> to say that in any event (a) the 1</w:t>
      </w:r>
      <w:r w:rsidRPr="00695BA8">
        <w:rPr>
          <w:szCs w:val="28"/>
          <w:vertAlign w:val="superscript"/>
        </w:rPr>
        <w:t>st</w:t>
      </w:r>
      <w:r w:rsidRPr="00695BA8">
        <w:rPr>
          <w:szCs w:val="28"/>
        </w:rPr>
        <w:t xml:space="preserve"> defendant would not be entitled to seek the correspondence between the plaintiff and his solicitors in relat</w:t>
      </w:r>
      <w:r w:rsidR="00510D46">
        <w:rPr>
          <w:szCs w:val="28"/>
        </w:rPr>
        <w:t>ion</w:t>
      </w:r>
      <w:r w:rsidRPr="00695BA8">
        <w:rPr>
          <w:szCs w:val="28"/>
        </w:rPr>
        <w:t xml:space="preserve"> to th</w:t>
      </w:r>
      <w:r w:rsidR="00510D46">
        <w:rPr>
          <w:szCs w:val="28"/>
        </w:rPr>
        <w:t>e</w:t>
      </w:r>
      <w:r w:rsidRPr="00695BA8">
        <w:rPr>
          <w:szCs w:val="28"/>
        </w:rPr>
        <w:t xml:space="preserve"> accident as they are clearly covered by legal professional privilege</w:t>
      </w:r>
      <w:r w:rsidR="00302801">
        <w:rPr>
          <w:szCs w:val="28"/>
        </w:rPr>
        <w:t>,</w:t>
      </w:r>
      <w:r w:rsidRPr="00695BA8">
        <w:rPr>
          <w:szCs w:val="28"/>
        </w:rPr>
        <w:t xml:space="preserve"> and (b) there does not appear to be any basis to comp</w:t>
      </w:r>
      <w:r w:rsidR="00510D46">
        <w:rPr>
          <w:szCs w:val="28"/>
        </w:rPr>
        <w:t>el</w:t>
      </w:r>
      <w:r w:rsidRPr="00695BA8">
        <w:rPr>
          <w:szCs w:val="28"/>
        </w:rPr>
        <w:t xml:space="preserve"> the plaintiff or the </w:t>
      </w:r>
      <w:r w:rsidRPr="00695BA8">
        <w:rPr>
          <w:szCs w:val="28"/>
        </w:rPr>
        <w:lastRenderedPageBreak/>
        <w:t xml:space="preserve">plaintiff’s solicitors to disclose </w:t>
      </w:r>
      <w:r w:rsidR="00510D46">
        <w:rPr>
          <w:szCs w:val="28"/>
        </w:rPr>
        <w:t>the latter’s</w:t>
      </w:r>
      <w:r w:rsidRPr="00695BA8">
        <w:rPr>
          <w:szCs w:val="28"/>
        </w:rPr>
        <w:t xml:space="preserve"> previous dealings with any proposed arbitrat</w:t>
      </w:r>
      <w:r w:rsidR="00510D46">
        <w:rPr>
          <w:szCs w:val="28"/>
        </w:rPr>
        <w:t>or</w:t>
      </w:r>
      <w:r w:rsidRPr="00695BA8">
        <w:rPr>
          <w:szCs w:val="28"/>
        </w:rPr>
        <w:t xml:space="preserve"> or mediat</w:t>
      </w:r>
      <w:r w:rsidR="00510D46">
        <w:rPr>
          <w:szCs w:val="28"/>
        </w:rPr>
        <w:t>or</w:t>
      </w:r>
      <w:r w:rsidRPr="00695BA8">
        <w:rPr>
          <w:szCs w:val="28"/>
        </w:rPr>
        <w:t>.</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i/>
          <w:szCs w:val="28"/>
        </w:rPr>
      </w:pPr>
      <w:r w:rsidRPr="00695BA8">
        <w:rPr>
          <w:i/>
          <w:szCs w:val="28"/>
        </w:rPr>
        <w:t>Order</w:t>
      </w:r>
    </w:p>
    <w:p w:rsidR="00CD2659" w:rsidRDefault="00CD2659" w:rsidP="00CD2659">
      <w:pPr>
        <w:tabs>
          <w:tab w:val="clear" w:pos="4320"/>
          <w:tab w:val="clear" w:pos="9072"/>
        </w:tabs>
        <w:snapToGrid/>
        <w:spacing w:line="360" w:lineRule="auto"/>
        <w:jc w:val="both"/>
        <w:rPr>
          <w:szCs w:val="28"/>
        </w:rPr>
      </w:pPr>
    </w:p>
    <w:p w:rsidR="00CD2659" w:rsidRPr="00695BA8" w:rsidRDefault="00CD2659" w:rsidP="00CD2659">
      <w:pPr>
        <w:numPr>
          <w:ilvl w:val="0"/>
          <w:numId w:val="22"/>
        </w:numPr>
        <w:tabs>
          <w:tab w:val="clear" w:pos="4320"/>
          <w:tab w:val="clear" w:pos="9072"/>
        </w:tabs>
        <w:snapToGrid/>
        <w:spacing w:line="360" w:lineRule="auto"/>
        <w:ind w:left="0" w:firstLine="0"/>
        <w:jc w:val="both"/>
        <w:rPr>
          <w:szCs w:val="28"/>
        </w:rPr>
      </w:pPr>
      <w:r w:rsidRPr="00695BA8">
        <w:rPr>
          <w:szCs w:val="28"/>
        </w:rPr>
        <w:t>For the above reasons, I order that the “Counter Claims” a</w:t>
      </w:r>
      <w:r>
        <w:rPr>
          <w:szCs w:val="28"/>
        </w:rPr>
        <w:t>s</w:t>
      </w:r>
      <w:r w:rsidRPr="00695BA8">
        <w:rPr>
          <w:szCs w:val="28"/>
        </w:rPr>
        <w:t xml:space="preserve"> included in the 1</w:t>
      </w:r>
      <w:r w:rsidRPr="00695BA8">
        <w:rPr>
          <w:szCs w:val="28"/>
          <w:vertAlign w:val="superscript"/>
        </w:rPr>
        <w:t>st</w:t>
      </w:r>
      <w:r w:rsidRPr="00695BA8">
        <w:rPr>
          <w:szCs w:val="28"/>
        </w:rPr>
        <w:t xml:space="preserve"> defendant’s </w:t>
      </w:r>
      <w:r>
        <w:rPr>
          <w:szCs w:val="28"/>
        </w:rPr>
        <w:t>“</w:t>
      </w:r>
      <w:r w:rsidRPr="00695BA8">
        <w:rPr>
          <w:szCs w:val="28"/>
        </w:rPr>
        <w:t>Defense and Counter Claims</w:t>
      </w:r>
      <w:r>
        <w:rPr>
          <w:szCs w:val="28"/>
        </w:rPr>
        <w:t>”</w:t>
      </w:r>
      <w:r w:rsidRPr="00695BA8">
        <w:rPr>
          <w:szCs w:val="28"/>
        </w:rPr>
        <w:t xml:space="preserve"> dated 21</w:t>
      </w:r>
      <w:r>
        <w:rPr>
          <w:szCs w:val="28"/>
        </w:rPr>
        <w:t> </w:t>
      </w:r>
      <w:r w:rsidRPr="00695BA8">
        <w:rPr>
          <w:szCs w:val="28"/>
        </w:rPr>
        <w:t>May 2016 be struck out and h</w:t>
      </w:r>
      <w:r>
        <w:rPr>
          <w:szCs w:val="28"/>
        </w:rPr>
        <w:t>er</w:t>
      </w:r>
      <w:r w:rsidRPr="00695BA8">
        <w:rPr>
          <w:szCs w:val="28"/>
        </w:rPr>
        <w:t xml:space="preserve"> counterclaim against the plaintiff be dismissed.</w:t>
      </w:r>
      <w:r>
        <w:rPr>
          <w:szCs w:val="28"/>
        </w:rPr>
        <w:t xml:space="preserve"> </w:t>
      </w:r>
    </w:p>
    <w:p w:rsidR="00302801" w:rsidRDefault="00302801" w:rsidP="006803CD">
      <w:pPr>
        <w:tabs>
          <w:tab w:val="clear" w:pos="4320"/>
          <w:tab w:val="clear" w:pos="9072"/>
        </w:tabs>
        <w:snapToGrid/>
        <w:spacing w:line="360" w:lineRule="auto"/>
        <w:jc w:val="both"/>
        <w:rPr>
          <w:szCs w:val="28"/>
        </w:rPr>
      </w:pPr>
    </w:p>
    <w:p w:rsidR="006803CD" w:rsidRPr="00302801" w:rsidRDefault="006803CD" w:rsidP="006803CD">
      <w:pPr>
        <w:tabs>
          <w:tab w:val="clear" w:pos="4320"/>
          <w:tab w:val="clear" w:pos="9072"/>
        </w:tabs>
        <w:snapToGrid/>
        <w:spacing w:line="360" w:lineRule="auto"/>
        <w:jc w:val="both"/>
        <w:rPr>
          <w:i/>
          <w:szCs w:val="28"/>
        </w:rPr>
      </w:pPr>
      <w:r w:rsidRPr="00302801">
        <w:rPr>
          <w:i/>
          <w:szCs w:val="28"/>
        </w:rPr>
        <w:t>(Discussion re costs)</w:t>
      </w:r>
    </w:p>
    <w:p w:rsidR="00510D46" w:rsidRPr="00695BA8" w:rsidRDefault="00510D46" w:rsidP="00695BA8">
      <w:pPr>
        <w:tabs>
          <w:tab w:val="clear" w:pos="4320"/>
          <w:tab w:val="clear" w:pos="9072"/>
        </w:tabs>
        <w:snapToGrid/>
        <w:spacing w:line="360" w:lineRule="auto"/>
        <w:jc w:val="both"/>
        <w:rPr>
          <w:szCs w:val="28"/>
        </w:rPr>
      </w:pPr>
    </w:p>
    <w:p w:rsidR="00695BA8" w:rsidRPr="00695BA8" w:rsidRDefault="00695BA8" w:rsidP="00510D46">
      <w:pPr>
        <w:numPr>
          <w:ilvl w:val="0"/>
          <w:numId w:val="22"/>
        </w:numPr>
        <w:tabs>
          <w:tab w:val="clear" w:pos="4320"/>
          <w:tab w:val="clear" w:pos="9072"/>
        </w:tabs>
        <w:snapToGrid/>
        <w:spacing w:line="360" w:lineRule="auto"/>
        <w:ind w:left="0" w:firstLine="0"/>
        <w:jc w:val="both"/>
        <w:rPr>
          <w:szCs w:val="28"/>
        </w:rPr>
      </w:pPr>
      <w:r w:rsidRPr="00695BA8">
        <w:rPr>
          <w:szCs w:val="28"/>
        </w:rPr>
        <w:t xml:space="preserve">The plaintiff </w:t>
      </w:r>
      <w:proofErr w:type="gramStart"/>
      <w:r w:rsidRPr="00695BA8">
        <w:rPr>
          <w:szCs w:val="28"/>
        </w:rPr>
        <w:t>do</w:t>
      </w:r>
      <w:proofErr w:type="gramEnd"/>
      <w:r w:rsidRPr="00695BA8">
        <w:rPr>
          <w:szCs w:val="28"/>
        </w:rPr>
        <w:t xml:space="preserve"> have costs of the counterclaim and this application</w:t>
      </w:r>
      <w:r w:rsidR="00510D46">
        <w:rPr>
          <w:szCs w:val="28"/>
        </w:rPr>
        <w:t>,</w:t>
      </w:r>
      <w:r w:rsidRPr="00695BA8">
        <w:rPr>
          <w:szCs w:val="28"/>
        </w:rPr>
        <w:t xml:space="preserve"> including any reserved costs, with certificate for counsel, summ</w:t>
      </w:r>
      <w:r w:rsidR="00510D46">
        <w:rPr>
          <w:szCs w:val="28"/>
        </w:rPr>
        <w:t>arily</w:t>
      </w:r>
      <w:r w:rsidRPr="00695BA8">
        <w:rPr>
          <w:szCs w:val="28"/>
        </w:rPr>
        <w:t xml:space="preserve"> assessed in the sum of $60,000, payable by the 1</w:t>
      </w:r>
      <w:r w:rsidRPr="00695BA8">
        <w:rPr>
          <w:szCs w:val="28"/>
          <w:vertAlign w:val="superscript"/>
        </w:rPr>
        <w:t>st</w:t>
      </w:r>
      <w:r w:rsidRPr="00695BA8">
        <w:rPr>
          <w:szCs w:val="28"/>
        </w:rPr>
        <w:t xml:space="preserve"> defendant on or before 8 August 2017.</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510D46">
      <w:pPr>
        <w:numPr>
          <w:ilvl w:val="0"/>
          <w:numId w:val="22"/>
        </w:numPr>
        <w:tabs>
          <w:tab w:val="clear" w:pos="4320"/>
          <w:tab w:val="clear" w:pos="9072"/>
        </w:tabs>
        <w:snapToGrid/>
        <w:spacing w:line="360" w:lineRule="auto"/>
        <w:ind w:left="0" w:firstLine="0"/>
        <w:jc w:val="both"/>
        <w:rPr>
          <w:szCs w:val="28"/>
        </w:rPr>
      </w:pPr>
      <w:r w:rsidRPr="00695BA8">
        <w:rPr>
          <w:szCs w:val="28"/>
        </w:rPr>
        <w:t xml:space="preserve">The plaintiff </w:t>
      </w:r>
      <w:proofErr w:type="gramStart"/>
      <w:r w:rsidRPr="00695BA8">
        <w:rPr>
          <w:szCs w:val="28"/>
        </w:rPr>
        <w:t>do</w:t>
      </w:r>
      <w:proofErr w:type="gramEnd"/>
      <w:r w:rsidRPr="00695BA8">
        <w:rPr>
          <w:szCs w:val="28"/>
        </w:rPr>
        <w:t xml:space="preserve"> draw up, file and serve today’s order.</w:t>
      </w: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s>
        <w:snapToGrid/>
        <w:spacing w:line="360" w:lineRule="auto"/>
        <w:jc w:val="both"/>
        <w:rPr>
          <w:szCs w:val="28"/>
        </w:rPr>
      </w:pPr>
    </w:p>
    <w:p w:rsidR="00695BA8" w:rsidRPr="00695BA8" w:rsidRDefault="00695BA8" w:rsidP="00695BA8">
      <w:pPr>
        <w:tabs>
          <w:tab w:val="clear" w:pos="4320"/>
          <w:tab w:val="clear" w:pos="9072"/>
          <w:tab w:val="center" w:pos="6480"/>
        </w:tabs>
        <w:snapToGrid/>
        <w:jc w:val="both"/>
        <w:rPr>
          <w:szCs w:val="28"/>
        </w:rPr>
      </w:pPr>
      <w:r w:rsidRPr="00695BA8">
        <w:rPr>
          <w:rFonts w:hint="eastAsia"/>
          <w:szCs w:val="28"/>
        </w:rPr>
        <w:tab/>
      </w:r>
      <w:r w:rsidRPr="00695BA8">
        <w:rPr>
          <w:szCs w:val="28"/>
        </w:rPr>
        <w:tab/>
      </w:r>
      <w:proofErr w:type="gramStart"/>
      <w:r w:rsidRPr="00695BA8">
        <w:rPr>
          <w:rFonts w:hint="eastAsia"/>
          <w:szCs w:val="28"/>
        </w:rPr>
        <w:t>(</w:t>
      </w:r>
      <w:r w:rsidR="00302801">
        <w:rPr>
          <w:szCs w:val="28"/>
        </w:rPr>
        <w:t xml:space="preserve"> </w:t>
      </w:r>
      <w:r w:rsidRPr="00695BA8">
        <w:rPr>
          <w:rFonts w:eastAsia="PMingLiU"/>
          <w:szCs w:val="28"/>
          <w:lang w:eastAsia="zh-TW"/>
        </w:rPr>
        <w:t>Winnie</w:t>
      </w:r>
      <w:proofErr w:type="gramEnd"/>
      <w:r w:rsidRPr="00695BA8">
        <w:rPr>
          <w:rFonts w:eastAsia="PMingLiU"/>
          <w:szCs w:val="28"/>
          <w:lang w:eastAsia="zh-TW"/>
        </w:rPr>
        <w:t xml:space="preserve"> </w:t>
      </w:r>
      <w:proofErr w:type="spellStart"/>
      <w:r w:rsidRPr="00695BA8">
        <w:rPr>
          <w:rFonts w:eastAsia="PMingLiU"/>
          <w:szCs w:val="28"/>
          <w:lang w:eastAsia="zh-TW"/>
        </w:rPr>
        <w:t>Tsui</w:t>
      </w:r>
      <w:proofErr w:type="spellEnd"/>
      <w:r w:rsidR="00302801">
        <w:rPr>
          <w:rFonts w:eastAsia="PMingLiU"/>
          <w:szCs w:val="28"/>
          <w:lang w:eastAsia="zh-TW"/>
        </w:rPr>
        <w:t xml:space="preserve"> </w:t>
      </w:r>
      <w:r w:rsidRPr="00695BA8">
        <w:rPr>
          <w:rFonts w:hint="eastAsia"/>
          <w:szCs w:val="28"/>
        </w:rPr>
        <w:t>)</w:t>
      </w:r>
    </w:p>
    <w:p w:rsidR="00695BA8" w:rsidRPr="00695BA8" w:rsidRDefault="00695BA8" w:rsidP="00695BA8">
      <w:pPr>
        <w:tabs>
          <w:tab w:val="clear" w:pos="4320"/>
          <w:tab w:val="clear" w:pos="9072"/>
          <w:tab w:val="center" w:pos="6480"/>
        </w:tabs>
        <w:snapToGrid/>
        <w:jc w:val="both"/>
        <w:rPr>
          <w:szCs w:val="28"/>
        </w:rPr>
      </w:pPr>
      <w:r w:rsidRPr="00695BA8">
        <w:rPr>
          <w:szCs w:val="28"/>
        </w:rPr>
        <w:tab/>
      </w:r>
      <w:r w:rsidRPr="00695BA8">
        <w:rPr>
          <w:rFonts w:hint="eastAsia"/>
          <w:szCs w:val="28"/>
        </w:rPr>
        <w:tab/>
        <w:t>District Judge</w:t>
      </w:r>
    </w:p>
    <w:p w:rsidR="00695BA8" w:rsidRPr="00695BA8" w:rsidRDefault="00695BA8" w:rsidP="00695BA8">
      <w:pPr>
        <w:tabs>
          <w:tab w:val="clear" w:pos="4320"/>
          <w:tab w:val="clear" w:pos="9072"/>
          <w:tab w:val="center" w:pos="6480"/>
        </w:tabs>
        <w:snapToGrid/>
        <w:jc w:val="both"/>
        <w:rPr>
          <w:szCs w:val="28"/>
        </w:rPr>
      </w:pPr>
    </w:p>
    <w:p w:rsidR="00695BA8" w:rsidRPr="00695BA8" w:rsidRDefault="00695BA8" w:rsidP="00695BA8">
      <w:pPr>
        <w:tabs>
          <w:tab w:val="clear" w:pos="4320"/>
          <w:tab w:val="clear" w:pos="9072"/>
          <w:tab w:val="center" w:pos="6480"/>
        </w:tabs>
        <w:snapToGrid/>
        <w:jc w:val="both"/>
        <w:rPr>
          <w:szCs w:val="28"/>
        </w:rPr>
      </w:pPr>
      <w:bookmarkStart w:id="0" w:name="_GoBack"/>
      <w:bookmarkEnd w:id="0"/>
    </w:p>
    <w:p w:rsidR="00695BA8" w:rsidRPr="00695BA8" w:rsidRDefault="00695BA8" w:rsidP="00695BA8">
      <w:pPr>
        <w:widowControl w:val="0"/>
        <w:tabs>
          <w:tab w:val="clear" w:pos="4320"/>
          <w:tab w:val="clear" w:pos="9072"/>
        </w:tabs>
        <w:jc w:val="both"/>
        <w:rPr>
          <w:szCs w:val="28"/>
          <w:lang w:val="en-GB"/>
        </w:rPr>
      </w:pPr>
      <w:r w:rsidRPr="00695BA8">
        <w:rPr>
          <w:szCs w:val="28"/>
          <w:lang w:val="en-GB"/>
        </w:rPr>
        <w:t xml:space="preserve">Mr </w:t>
      </w:r>
      <w:proofErr w:type="spellStart"/>
      <w:r w:rsidRPr="00695BA8">
        <w:rPr>
          <w:szCs w:val="28"/>
          <w:lang w:val="en-GB"/>
        </w:rPr>
        <w:t>Alexsander</w:t>
      </w:r>
      <w:proofErr w:type="spellEnd"/>
      <w:r w:rsidRPr="00695BA8">
        <w:rPr>
          <w:szCs w:val="28"/>
          <w:lang w:val="en-GB"/>
        </w:rPr>
        <w:t xml:space="preserve"> Wong, </w:t>
      </w:r>
      <w:r w:rsidRPr="00695BA8">
        <w:rPr>
          <w:rFonts w:hint="eastAsia"/>
          <w:szCs w:val="28"/>
          <w:lang w:val="en-GB"/>
        </w:rPr>
        <w:t xml:space="preserve">instructed by </w:t>
      </w:r>
      <w:r w:rsidRPr="00695BA8">
        <w:rPr>
          <w:szCs w:val="28"/>
          <w:lang w:val="en-GB"/>
        </w:rPr>
        <w:t xml:space="preserve">Mike So, Joseph Lau &amp; Co, </w:t>
      </w:r>
      <w:r w:rsidRPr="00695BA8">
        <w:rPr>
          <w:rFonts w:hint="eastAsia"/>
          <w:szCs w:val="28"/>
          <w:lang w:val="en-GB"/>
        </w:rPr>
        <w:t>f</w:t>
      </w:r>
      <w:r w:rsidRPr="00695BA8">
        <w:rPr>
          <w:szCs w:val="28"/>
          <w:lang w:val="en-GB"/>
        </w:rPr>
        <w:t>or the plaintiff</w:t>
      </w:r>
    </w:p>
    <w:p w:rsidR="00695BA8" w:rsidRPr="00695BA8" w:rsidRDefault="00695BA8" w:rsidP="00695BA8">
      <w:pPr>
        <w:tabs>
          <w:tab w:val="clear" w:pos="4320"/>
          <w:tab w:val="clear" w:pos="9072"/>
          <w:tab w:val="center" w:pos="6480"/>
        </w:tabs>
        <w:snapToGrid/>
        <w:jc w:val="both"/>
        <w:rPr>
          <w:szCs w:val="28"/>
          <w:lang w:val="en-GB"/>
        </w:rPr>
      </w:pPr>
    </w:p>
    <w:p w:rsidR="00695BA8" w:rsidRPr="00695BA8" w:rsidRDefault="00695BA8" w:rsidP="00695BA8">
      <w:pPr>
        <w:tabs>
          <w:tab w:val="clear" w:pos="4320"/>
          <w:tab w:val="clear" w:pos="9072"/>
          <w:tab w:val="center" w:pos="6480"/>
        </w:tabs>
        <w:snapToGrid/>
        <w:jc w:val="both"/>
        <w:rPr>
          <w:szCs w:val="28"/>
        </w:rPr>
      </w:pPr>
      <w:r w:rsidRPr="00695BA8">
        <w:rPr>
          <w:szCs w:val="28"/>
        </w:rPr>
        <w:t xml:space="preserve">The </w:t>
      </w:r>
      <w:r w:rsidR="00510D46">
        <w:rPr>
          <w:szCs w:val="28"/>
        </w:rPr>
        <w:t>1</w:t>
      </w:r>
      <w:r w:rsidR="00510D46" w:rsidRPr="00510D46">
        <w:rPr>
          <w:szCs w:val="28"/>
          <w:vertAlign w:val="superscript"/>
        </w:rPr>
        <w:t>st</w:t>
      </w:r>
      <w:r w:rsidR="00510D46">
        <w:rPr>
          <w:szCs w:val="28"/>
        </w:rPr>
        <w:t xml:space="preserve"> </w:t>
      </w:r>
      <w:r w:rsidRPr="00695BA8">
        <w:rPr>
          <w:szCs w:val="28"/>
        </w:rPr>
        <w:t>defendant was not represented and was acting in person</w:t>
      </w:r>
    </w:p>
    <w:p w:rsidR="00695BA8" w:rsidRPr="00695BA8" w:rsidRDefault="00695BA8" w:rsidP="00695BA8">
      <w:pPr>
        <w:tabs>
          <w:tab w:val="clear" w:pos="4320"/>
          <w:tab w:val="clear" w:pos="9072"/>
          <w:tab w:val="center" w:pos="6480"/>
        </w:tabs>
        <w:snapToGrid/>
        <w:spacing w:line="360" w:lineRule="auto"/>
        <w:jc w:val="both"/>
        <w:rPr>
          <w:szCs w:val="28"/>
        </w:rPr>
      </w:pPr>
    </w:p>
    <w:sectPr w:rsidR="00695BA8" w:rsidRPr="00695BA8"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376" w:rsidRDefault="00A45376">
      <w:r>
        <w:separator/>
      </w:r>
    </w:p>
  </w:endnote>
  <w:endnote w:type="continuationSeparator" w:id="0">
    <w:p w:rsidR="00A45376" w:rsidRDefault="00A4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536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6D80" w:rsidRDefault="00536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536D80">
    <w:pPr>
      <w:pStyle w:val="Footer"/>
      <w:framePr w:wrap="around" w:vAnchor="text" w:hAnchor="margin" w:xAlign="right" w:y="1"/>
      <w:rPr>
        <w:rStyle w:val="PageNumber"/>
      </w:rPr>
    </w:pPr>
  </w:p>
  <w:p w:rsidR="00536D80" w:rsidRDefault="00536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376" w:rsidRDefault="00A45376">
      <w:r>
        <w:separator/>
      </w:r>
    </w:p>
  </w:footnote>
  <w:footnote w:type="continuationSeparator" w:id="0">
    <w:p w:rsidR="00A45376" w:rsidRDefault="00A4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492E9B">
    <w:pPr>
      <w:pStyle w:val="Header"/>
    </w:pPr>
    <w:r w:rsidRPr="00D54FEA">
      <w:rPr>
        <w:noProof/>
        <w:sz w:val="20"/>
        <w:lang w:val="en-US" w:eastAsia="zh-CN"/>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Pr="00481CCA" w:rsidRDefault="00536D80">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536D80" w:rsidRPr="00481CCA" w:rsidRDefault="00536D80">
                    <w:pPr>
                      <w:rPr>
                        <w:rFonts w:eastAsia="PMingLiU"/>
                        <w:b/>
                        <w:sz w:val="18"/>
                        <w:lang w:eastAsia="zh-TW"/>
                      </w:rPr>
                    </w:pPr>
                  </w:p>
                </w:txbxContent>
              </v:textbox>
            </v:shape>
          </w:pict>
        </mc:Fallback>
      </mc:AlternateContent>
    </w:r>
    <w:r w:rsidRPr="00D54FEA">
      <w:rPr>
        <w:noProof/>
        <w:sz w:val="20"/>
        <w:lang w:val="en-US" w:eastAsia="zh-CN"/>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536D8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D2659">
      <w:rPr>
        <w:rStyle w:val="PageNumber"/>
        <w:noProof/>
        <w:sz w:val="28"/>
      </w:rPr>
      <w:t>9</w:t>
    </w:r>
    <w:r>
      <w:rPr>
        <w:rStyle w:val="PageNumber"/>
        <w:sz w:val="28"/>
      </w:rPr>
      <w:fldChar w:fldCharType="end"/>
    </w:r>
    <w:r>
      <w:rPr>
        <w:rStyle w:val="PageNumber"/>
        <w:rFonts w:hint="eastAsia"/>
        <w:sz w:val="28"/>
      </w:rPr>
      <w:t xml:space="preserve"> -</w:t>
    </w:r>
    <w:r w:rsidR="00492E9B">
      <w:rPr>
        <w:noProof/>
        <w:sz w:val="28"/>
        <w:lang w:val="en-US" w:eastAsia="zh-CN"/>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r w:rsidR="00492E9B">
      <w:rPr>
        <w:noProof/>
        <w:sz w:val="28"/>
        <w:lang w:val="en-US" w:eastAsia="zh-CN"/>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536D80" w:rsidRDefault="00536D80">
                    <w:pPr>
                      <w:rPr>
                        <w:rFonts w:eastAsia="黑体"/>
                        <w:b/>
                        <w:sz w:val="18"/>
                      </w:rPr>
                    </w:pPr>
                  </w:p>
                </w:txbxContent>
              </v:textbox>
            </v:shape>
          </w:pict>
        </mc:Fallback>
      </mc:AlternateContent>
    </w:r>
    <w:r w:rsidR="00492E9B">
      <w:rPr>
        <w:noProof/>
        <w:sz w:val="28"/>
        <w:lang w:val="en-US" w:eastAsia="zh-CN"/>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626EB"/>
    <w:multiLevelType w:val="hybridMultilevel"/>
    <w:tmpl w:val="B360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5D5191"/>
    <w:multiLevelType w:val="hybridMultilevel"/>
    <w:tmpl w:val="C1603856"/>
    <w:lvl w:ilvl="0" w:tplc="24ECB5BE">
      <w:start w:val="1"/>
      <w:numFmt w:val="decimal"/>
      <w:lvlText w:val="%1."/>
      <w:lvlJc w:val="left"/>
      <w:pPr>
        <w:ind w:left="720" w:hanging="360"/>
      </w:pPr>
      <w:rPr>
        <w:rFonts w:ascii="Times New Roman" w:hAnsi="Times New Roman" w:cs="Calibri" w:hint="default"/>
        <w:b w:val="0"/>
        <w:i w:val="0"/>
        <w:strike w:val="0"/>
        <w:dstrike w:val="0"/>
        <w:color w:val="000000"/>
        <w:sz w:val="28"/>
        <w:szCs w:val="3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604B4"/>
    <w:multiLevelType w:val="hybridMultilevel"/>
    <w:tmpl w:val="ACF241D6"/>
    <w:lvl w:ilvl="0" w:tplc="CE400E08">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6"/>
  </w:num>
  <w:num w:numId="3">
    <w:abstractNumId w:val="2"/>
  </w:num>
  <w:num w:numId="4">
    <w:abstractNumId w:val="5"/>
  </w:num>
  <w:num w:numId="5">
    <w:abstractNumId w:val="10"/>
  </w:num>
  <w:num w:numId="6">
    <w:abstractNumId w:val="11"/>
  </w:num>
  <w:num w:numId="7">
    <w:abstractNumId w:val="4"/>
  </w:num>
  <w:num w:numId="8">
    <w:abstractNumId w:val="19"/>
  </w:num>
  <w:num w:numId="9">
    <w:abstractNumId w:val="16"/>
  </w:num>
  <w:num w:numId="10">
    <w:abstractNumId w:val="0"/>
  </w:num>
  <w:num w:numId="11">
    <w:abstractNumId w:val="8"/>
  </w:num>
  <w:num w:numId="12">
    <w:abstractNumId w:val="20"/>
  </w:num>
  <w:num w:numId="13">
    <w:abstractNumId w:val="22"/>
  </w:num>
  <w:num w:numId="14">
    <w:abstractNumId w:val="9"/>
  </w:num>
  <w:num w:numId="15">
    <w:abstractNumId w:val="13"/>
  </w:num>
  <w:num w:numId="16">
    <w:abstractNumId w:val="3"/>
  </w:num>
  <w:num w:numId="17">
    <w:abstractNumId w:val="21"/>
  </w:num>
  <w:num w:numId="18">
    <w:abstractNumId w:val="1"/>
  </w:num>
  <w:num w:numId="19">
    <w:abstractNumId w:val="17"/>
  </w:num>
  <w:num w:numId="20">
    <w:abstractNumId w:val="12"/>
  </w:num>
  <w:num w:numId="21">
    <w:abstractNumId w:val="7"/>
  </w:num>
  <w:num w:numId="22">
    <w:abstractNumId w:val="14"/>
  </w:num>
  <w:num w:numId="2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8E7"/>
    <w:rsid w:val="00004CCF"/>
    <w:rsid w:val="0000732A"/>
    <w:rsid w:val="000172BD"/>
    <w:rsid w:val="00017BBF"/>
    <w:rsid w:val="0002479B"/>
    <w:rsid w:val="000273CF"/>
    <w:rsid w:val="0003019D"/>
    <w:rsid w:val="00036067"/>
    <w:rsid w:val="00040442"/>
    <w:rsid w:val="000406F0"/>
    <w:rsid w:val="000422AC"/>
    <w:rsid w:val="00045100"/>
    <w:rsid w:val="00046437"/>
    <w:rsid w:val="00047090"/>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7FA3"/>
    <w:rsid w:val="000B0613"/>
    <w:rsid w:val="000B28A0"/>
    <w:rsid w:val="000B4661"/>
    <w:rsid w:val="000C1A58"/>
    <w:rsid w:val="000C5DCF"/>
    <w:rsid w:val="000D2117"/>
    <w:rsid w:val="000D3A9C"/>
    <w:rsid w:val="000D6784"/>
    <w:rsid w:val="000D7829"/>
    <w:rsid w:val="000E0B3E"/>
    <w:rsid w:val="000E2BF9"/>
    <w:rsid w:val="000E58F6"/>
    <w:rsid w:val="000F0D04"/>
    <w:rsid w:val="000F30D3"/>
    <w:rsid w:val="000F47BA"/>
    <w:rsid w:val="000F6F78"/>
    <w:rsid w:val="00105053"/>
    <w:rsid w:val="00110660"/>
    <w:rsid w:val="001115A6"/>
    <w:rsid w:val="00111A4B"/>
    <w:rsid w:val="00112EDE"/>
    <w:rsid w:val="0011336B"/>
    <w:rsid w:val="00115768"/>
    <w:rsid w:val="00116159"/>
    <w:rsid w:val="00120AE8"/>
    <w:rsid w:val="001225D1"/>
    <w:rsid w:val="001233B4"/>
    <w:rsid w:val="00124CA8"/>
    <w:rsid w:val="001328F9"/>
    <w:rsid w:val="0013453B"/>
    <w:rsid w:val="00134E4F"/>
    <w:rsid w:val="001359DC"/>
    <w:rsid w:val="00136D06"/>
    <w:rsid w:val="00137AD4"/>
    <w:rsid w:val="00137EBF"/>
    <w:rsid w:val="00141AD3"/>
    <w:rsid w:val="00141E3B"/>
    <w:rsid w:val="00143222"/>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3B1B"/>
    <w:rsid w:val="001D42FB"/>
    <w:rsid w:val="001D4A12"/>
    <w:rsid w:val="001D4B5D"/>
    <w:rsid w:val="001D7C28"/>
    <w:rsid w:val="001E5204"/>
    <w:rsid w:val="001E52D0"/>
    <w:rsid w:val="001E6690"/>
    <w:rsid w:val="001E6E06"/>
    <w:rsid w:val="001E72D7"/>
    <w:rsid w:val="001E79AC"/>
    <w:rsid w:val="001E7BA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788A"/>
    <w:rsid w:val="002441DA"/>
    <w:rsid w:val="002478BF"/>
    <w:rsid w:val="00251D00"/>
    <w:rsid w:val="0026325B"/>
    <w:rsid w:val="00271D16"/>
    <w:rsid w:val="002721E8"/>
    <w:rsid w:val="00273AA5"/>
    <w:rsid w:val="00275709"/>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63A0"/>
    <w:rsid w:val="002F42EC"/>
    <w:rsid w:val="0030147E"/>
    <w:rsid w:val="00301D17"/>
    <w:rsid w:val="003023EC"/>
    <w:rsid w:val="00302801"/>
    <w:rsid w:val="0030424E"/>
    <w:rsid w:val="0030434E"/>
    <w:rsid w:val="0030755C"/>
    <w:rsid w:val="00310898"/>
    <w:rsid w:val="0031480F"/>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52A89"/>
    <w:rsid w:val="00455017"/>
    <w:rsid w:val="0045668C"/>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2E9B"/>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5E0D"/>
    <w:rsid w:val="005001B3"/>
    <w:rsid w:val="00500D81"/>
    <w:rsid w:val="00501AB7"/>
    <w:rsid w:val="00504634"/>
    <w:rsid w:val="00510470"/>
    <w:rsid w:val="00510D46"/>
    <w:rsid w:val="00512266"/>
    <w:rsid w:val="00514B1B"/>
    <w:rsid w:val="00520278"/>
    <w:rsid w:val="005218DD"/>
    <w:rsid w:val="005224EE"/>
    <w:rsid w:val="00524E54"/>
    <w:rsid w:val="00526A9A"/>
    <w:rsid w:val="00530C9B"/>
    <w:rsid w:val="00531038"/>
    <w:rsid w:val="0053182F"/>
    <w:rsid w:val="00531AAC"/>
    <w:rsid w:val="005320AC"/>
    <w:rsid w:val="00534A83"/>
    <w:rsid w:val="005361C3"/>
    <w:rsid w:val="00536D80"/>
    <w:rsid w:val="00564F44"/>
    <w:rsid w:val="00566AD9"/>
    <w:rsid w:val="0056739F"/>
    <w:rsid w:val="00570945"/>
    <w:rsid w:val="00570DC3"/>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603D68"/>
    <w:rsid w:val="006040A0"/>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03CD"/>
    <w:rsid w:val="006850F8"/>
    <w:rsid w:val="00690F78"/>
    <w:rsid w:val="00695BA8"/>
    <w:rsid w:val="006963B5"/>
    <w:rsid w:val="00696A1A"/>
    <w:rsid w:val="00696CE2"/>
    <w:rsid w:val="0069708E"/>
    <w:rsid w:val="006A79BE"/>
    <w:rsid w:val="006B1088"/>
    <w:rsid w:val="006B3C3D"/>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6CCB"/>
    <w:rsid w:val="00747266"/>
    <w:rsid w:val="007473C8"/>
    <w:rsid w:val="00750441"/>
    <w:rsid w:val="007522C9"/>
    <w:rsid w:val="00755F23"/>
    <w:rsid w:val="00762ACE"/>
    <w:rsid w:val="00763785"/>
    <w:rsid w:val="00765BEA"/>
    <w:rsid w:val="00766BAA"/>
    <w:rsid w:val="00772179"/>
    <w:rsid w:val="00774FAD"/>
    <w:rsid w:val="007778C6"/>
    <w:rsid w:val="00783090"/>
    <w:rsid w:val="0078351E"/>
    <w:rsid w:val="00785C71"/>
    <w:rsid w:val="00787681"/>
    <w:rsid w:val="0079089D"/>
    <w:rsid w:val="0079382B"/>
    <w:rsid w:val="00795F9F"/>
    <w:rsid w:val="00796408"/>
    <w:rsid w:val="007A1D69"/>
    <w:rsid w:val="007A4867"/>
    <w:rsid w:val="007A5B06"/>
    <w:rsid w:val="007A6CB4"/>
    <w:rsid w:val="007B02F3"/>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5D6"/>
    <w:rsid w:val="007E79EB"/>
    <w:rsid w:val="007F228B"/>
    <w:rsid w:val="007F3267"/>
    <w:rsid w:val="007F62F3"/>
    <w:rsid w:val="008119F5"/>
    <w:rsid w:val="00811AF6"/>
    <w:rsid w:val="008134A2"/>
    <w:rsid w:val="0081488E"/>
    <w:rsid w:val="00814F59"/>
    <w:rsid w:val="00816B7C"/>
    <w:rsid w:val="00820A8A"/>
    <w:rsid w:val="008257A9"/>
    <w:rsid w:val="00830FAE"/>
    <w:rsid w:val="00834CB0"/>
    <w:rsid w:val="00836995"/>
    <w:rsid w:val="0083763A"/>
    <w:rsid w:val="00840BD6"/>
    <w:rsid w:val="00845925"/>
    <w:rsid w:val="00846CC3"/>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395B"/>
    <w:rsid w:val="008A05CF"/>
    <w:rsid w:val="008A24DA"/>
    <w:rsid w:val="008A2644"/>
    <w:rsid w:val="008B2C7A"/>
    <w:rsid w:val="008B44EB"/>
    <w:rsid w:val="008B4FA9"/>
    <w:rsid w:val="008B684C"/>
    <w:rsid w:val="008C036D"/>
    <w:rsid w:val="008C1FF3"/>
    <w:rsid w:val="008C517C"/>
    <w:rsid w:val="008C5EB6"/>
    <w:rsid w:val="008D177F"/>
    <w:rsid w:val="008D2A7D"/>
    <w:rsid w:val="008D3D88"/>
    <w:rsid w:val="008D6AC5"/>
    <w:rsid w:val="008E0AAC"/>
    <w:rsid w:val="008E25CA"/>
    <w:rsid w:val="008E2CE1"/>
    <w:rsid w:val="008E3052"/>
    <w:rsid w:val="008E4CBB"/>
    <w:rsid w:val="008E668B"/>
    <w:rsid w:val="008E6AC3"/>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C14E7"/>
    <w:rsid w:val="009C2F49"/>
    <w:rsid w:val="009C38F5"/>
    <w:rsid w:val="009C529B"/>
    <w:rsid w:val="009C758F"/>
    <w:rsid w:val="009E0F91"/>
    <w:rsid w:val="009E114C"/>
    <w:rsid w:val="009E13D8"/>
    <w:rsid w:val="009E1CF3"/>
    <w:rsid w:val="009E4B9E"/>
    <w:rsid w:val="009E539D"/>
    <w:rsid w:val="009E5EF8"/>
    <w:rsid w:val="009E6457"/>
    <w:rsid w:val="009F231E"/>
    <w:rsid w:val="009F3387"/>
    <w:rsid w:val="009F5F3F"/>
    <w:rsid w:val="00A00A96"/>
    <w:rsid w:val="00A04492"/>
    <w:rsid w:val="00A04555"/>
    <w:rsid w:val="00A106AF"/>
    <w:rsid w:val="00A10BC0"/>
    <w:rsid w:val="00A113AE"/>
    <w:rsid w:val="00A11DAD"/>
    <w:rsid w:val="00A12658"/>
    <w:rsid w:val="00A1751A"/>
    <w:rsid w:val="00A207D9"/>
    <w:rsid w:val="00A212CF"/>
    <w:rsid w:val="00A21676"/>
    <w:rsid w:val="00A21F3F"/>
    <w:rsid w:val="00A248D3"/>
    <w:rsid w:val="00A24C5B"/>
    <w:rsid w:val="00A25192"/>
    <w:rsid w:val="00A26F52"/>
    <w:rsid w:val="00A30E17"/>
    <w:rsid w:val="00A3183E"/>
    <w:rsid w:val="00A45376"/>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5A1A"/>
    <w:rsid w:val="00AE5B21"/>
    <w:rsid w:val="00AE6C99"/>
    <w:rsid w:val="00AF2E9C"/>
    <w:rsid w:val="00AF3DDE"/>
    <w:rsid w:val="00AF5373"/>
    <w:rsid w:val="00AF5ED6"/>
    <w:rsid w:val="00AF63D5"/>
    <w:rsid w:val="00B0008F"/>
    <w:rsid w:val="00B023E0"/>
    <w:rsid w:val="00B0250C"/>
    <w:rsid w:val="00B07DC2"/>
    <w:rsid w:val="00B12BA4"/>
    <w:rsid w:val="00B13B2E"/>
    <w:rsid w:val="00B14D5F"/>
    <w:rsid w:val="00B16BC1"/>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78EB"/>
    <w:rsid w:val="00B67CDA"/>
    <w:rsid w:val="00B7217B"/>
    <w:rsid w:val="00B735C5"/>
    <w:rsid w:val="00B74262"/>
    <w:rsid w:val="00B7433E"/>
    <w:rsid w:val="00B74693"/>
    <w:rsid w:val="00B76332"/>
    <w:rsid w:val="00B7776C"/>
    <w:rsid w:val="00B84982"/>
    <w:rsid w:val="00B85E2E"/>
    <w:rsid w:val="00B92D96"/>
    <w:rsid w:val="00B933DE"/>
    <w:rsid w:val="00B95273"/>
    <w:rsid w:val="00BA2052"/>
    <w:rsid w:val="00BA55B4"/>
    <w:rsid w:val="00BA5C59"/>
    <w:rsid w:val="00BB058E"/>
    <w:rsid w:val="00BB31BE"/>
    <w:rsid w:val="00BB7FB5"/>
    <w:rsid w:val="00BC25F7"/>
    <w:rsid w:val="00BC2A74"/>
    <w:rsid w:val="00BC36BB"/>
    <w:rsid w:val="00BC73A7"/>
    <w:rsid w:val="00BD0476"/>
    <w:rsid w:val="00BD09D3"/>
    <w:rsid w:val="00BE0E58"/>
    <w:rsid w:val="00BE1397"/>
    <w:rsid w:val="00BE4EF9"/>
    <w:rsid w:val="00BE6E59"/>
    <w:rsid w:val="00BF1561"/>
    <w:rsid w:val="00BF1BC0"/>
    <w:rsid w:val="00BF33DF"/>
    <w:rsid w:val="00BF4131"/>
    <w:rsid w:val="00BF5289"/>
    <w:rsid w:val="00BF55F1"/>
    <w:rsid w:val="00BF6493"/>
    <w:rsid w:val="00BF6A0E"/>
    <w:rsid w:val="00C021C7"/>
    <w:rsid w:val="00C05887"/>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B0850"/>
    <w:rsid w:val="00CB1CDA"/>
    <w:rsid w:val="00CB444F"/>
    <w:rsid w:val="00CB67DC"/>
    <w:rsid w:val="00CB71F3"/>
    <w:rsid w:val="00CC6180"/>
    <w:rsid w:val="00CC6B5B"/>
    <w:rsid w:val="00CD2659"/>
    <w:rsid w:val="00CD471C"/>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4FEA"/>
    <w:rsid w:val="00D55021"/>
    <w:rsid w:val="00D55C3D"/>
    <w:rsid w:val="00D57607"/>
    <w:rsid w:val="00D60FB2"/>
    <w:rsid w:val="00D637DF"/>
    <w:rsid w:val="00D71784"/>
    <w:rsid w:val="00D75214"/>
    <w:rsid w:val="00D80D22"/>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414F"/>
    <w:rsid w:val="00E959C7"/>
    <w:rsid w:val="00EA33CD"/>
    <w:rsid w:val="00EB0655"/>
    <w:rsid w:val="00EB5600"/>
    <w:rsid w:val="00EB6C44"/>
    <w:rsid w:val="00EC2322"/>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7BD"/>
    <w:rsid w:val="00F12ADE"/>
    <w:rsid w:val="00F14EAA"/>
    <w:rsid w:val="00F17466"/>
    <w:rsid w:val="00F20698"/>
    <w:rsid w:val="00F2209D"/>
    <w:rsid w:val="00F24811"/>
    <w:rsid w:val="00F24A20"/>
    <w:rsid w:val="00F317A7"/>
    <w:rsid w:val="00F32637"/>
    <w:rsid w:val="00F35C6E"/>
    <w:rsid w:val="00F40091"/>
    <w:rsid w:val="00F40BB2"/>
    <w:rsid w:val="00F42672"/>
    <w:rsid w:val="00F43870"/>
    <w:rsid w:val="00F43D4A"/>
    <w:rsid w:val="00F4726E"/>
    <w:rsid w:val="00F50E8F"/>
    <w:rsid w:val="00F50F92"/>
    <w:rsid w:val="00F54E50"/>
    <w:rsid w:val="00F56423"/>
    <w:rsid w:val="00F609F8"/>
    <w:rsid w:val="00F62302"/>
    <w:rsid w:val="00F62B98"/>
    <w:rsid w:val="00F65C54"/>
    <w:rsid w:val="00F67C58"/>
    <w:rsid w:val="00F75414"/>
    <w:rsid w:val="00F77718"/>
    <w:rsid w:val="00F83A07"/>
    <w:rsid w:val="00F84351"/>
    <w:rsid w:val="00F845B6"/>
    <w:rsid w:val="00F863BA"/>
    <w:rsid w:val="00F900AB"/>
    <w:rsid w:val="00F92FCB"/>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CEA1A"/>
  <w15:chartTrackingRefBased/>
  <w15:docId w15:val="{05C575B4-068F-451D-B2E4-F3CE3034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semiHidden/>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6B7718"/>
    <w:rPr>
      <w:lang w:val="en-GB"/>
    </w:rPr>
  </w:style>
  <w:style w:type="character" w:styleId="FootnoteReference">
    <w:name w:val="footnote reference"/>
    <w:uiPriority w:val="99"/>
    <w:semiHidden/>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94C66-498B-48C0-8CB3-E6103ED9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TotalTime>
  <Pages>9</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2017-07-18T02:13:00Z</cp:lastPrinted>
  <dcterms:created xsi:type="dcterms:W3CDTF">2017-07-18T01:52:00Z</dcterms:created>
  <dcterms:modified xsi:type="dcterms:W3CDTF">2017-07-18T02:13:00Z</dcterms:modified>
</cp:coreProperties>
</file>