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2F18" w:rsidRDefault="00BB2F18">
      <w:pPr>
        <w:pStyle w:val="Heading6"/>
        <w:snapToGrid w:val="0"/>
        <w:spacing w:line="360" w:lineRule="auto"/>
        <w:ind w:left="1469"/>
        <w:jc w:val="right"/>
        <w:rPr>
          <w:sz w:val="28"/>
        </w:rPr>
        <w:sectPr w:rsidR="00BB2F18">
          <w:headerReference w:type="default" r:id="rId7"/>
          <w:footerReference w:type="even" r:id="rId8"/>
          <w:footerReference w:type="default" r:id="rId9"/>
          <w:pgSz w:w="11906" w:h="16838" w:code="9"/>
          <w:pgMar w:top="1800" w:right="1800" w:bottom="1800" w:left="1800" w:header="864" w:footer="720" w:gutter="0"/>
          <w:cols w:space="708"/>
          <w:docGrid w:linePitch="380"/>
        </w:sectPr>
      </w:pPr>
      <w:r>
        <w:rPr>
          <w:rFonts w:hint="eastAsia"/>
          <w:sz w:val="28"/>
        </w:rPr>
        <w:t xml:space="preserve">DCPI </w:t>
      </w:r>
      <w:r>
        <w:rPr>
          <w:sz w:val="28"/>
        </w:rPr>
        <w:t>956/2009</w:t>
      </w:r>
    </w:p>
    <w:p w:rsidR="00BB2F18" w:rsidRDefault="00BB2F18">
      <w:pPr>
        <w:pStyle w:val="Heading3"/>
        <w:tabs>
          <w:tab w:val="clear" w:pos="4320"/>
        </w:tabs>
        <w:snapToGrid w:val="0"/>
        <w:spacing w:line="360" w:lineRule="auto"/>
        <w:rPr>
          <w:rFonts w:hint="eastAsia"/>
          <w:b w:val="0"/>
          <w:bCs w:val="0"/>
          <w:sz w:val="28"/>
        </w:rPr>
      </w:pPr>
      <w:r>
        <w:rPr>
          <w:rFonts w:hint="eastAsia"/>
          <w:b w:val="0"/>
          <w:bCs w:val="0"/>
          <w:sz w:val="28"/>
        </w:rPr>
        <w:t xml:space="preserve">IN THE DISTRICT COURT OF THE </w:t>
      </w:r>
    </w:p>
    <w:p w:rsidR="00BB2F18" w:rsidRDefault="00BB2F18">
      <w:pPr>
        <w:tabs>
          <w:tab w:val="left" w:pos="1620"/>
        </w:tabs>
        <w:adjustRightInd w:val="0"/>
        <w:spacing w:line="360" w:lineRule="auto"/>
        <w:jc w:val="center"/>
        <w:rPr>
          <w:rFonts w:hint="eastAsia"/>
        </w:rPr>
      </w:pPr>
      <w:r>
        <w:rPr>
          <w:rFonts w:hint="eastAsia"/>
        </w:rPr>
        <w:t>HONG KONG SPECIAL ADMINISTRATIVE REGION</w:t>
      </w:r>
    </w:p>
    <w:p w:rsidR="00BB2F18" w:rsidRDefault="00BB2F18">
      <w:pPr>
        <w:tabs>
          <w:tab w:val="left" w:pos="1620"/>
        </w:tabs>
        <w:adjustRightInd w:val="0"/>
        <w:spacing w:line="360" w:lineRule="auto"/>
        <w:jc w:val="center"/>
      </w:pPr>
      <w:r>
        <w:rPr>
          <w:rFonts w:hint="eastAsia"/>
        </w:rPr>
        <w:t xml:space="preserve">PERSONAL INJURIES ACTION NO. </w:t>
      </w:r>
      <w:r>
        <w:t>956</w:t>
      </w:r>
      <w:r>
        <w:rPr>
          <w:rFonts w:hint="eastAsia"/>
        </w:rPr>
        <w:t xml:space="preserve"> OF 2009</w:t>
      </w:r>
    </w:p>
    <w:p w:rsidR="00BB2F18" w:rsidRDefault="00BB2F18">
      <w:pPr>
        <w:tabs>
          <w:tab w:val="left" w:pos="1620"/>
        </w:tabs>
        <w:adjustRightInd w:val="0"/>
        <w:spacing w:line="360" w:lineRule="auto"/>
        <w:jc w:val="center"/>
        <w:rPr>
          <w:rFonts w:hint="eastAsia"/>
        </w:rPr>
      </w:pPr>
      <w:r>
        <w:rPr>
          <w:rFonts w:hint="eastAsia"/>
        </w:rPr>
        <w:t>--------------------</w:t>
      </w:r>
    </w:p>
    <w:p w:rsidR="00BB2F18" w:rsidRDefault="00BB2F18">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BB2F18" w:rsidRDefault="00BB2F18">
      <w:pPr>
        <w:pStyle w:val="Heading2"/>
        <w:tabs>
          <w:tab w:val="clear" w:pos="4320"/>
          <w:tab w:val="clear" w:pos="9072"/>
          <w:tab w:val="left" w:pos="2660"/>
          <w:tab w:val="right" w:pos="8400"/>
        </w:tabs>
        <w:adjustRightInd w:val="0"/>
        <w:snapToGrid w:val="0"/>
        <w:spacing w:line="360" w:lineRule="auto"/>
        <w:rPr>
          <w:b w:val="0"/>
          <w:bCs w:val="0"/>
          <w:sz w:val="28"/>
        </w:rPr>
      </w:pPr>
      <w:r>
        <w:rPr>
          <w:rFonts w:hint="eastAsia"/>
          <w:b w:val="0"/>
          <w:bCs w:val="0"/>
          <w:sz w:val="28"/>
        </w:rPr>
        <w:tab/>
      </w:r>
      <w:r>
        <w:rPr>
          <w:rFonts w:hint="eastAsia"/>
          <w:b w:val="0"/>
          <w:bCs w:val="0"/>
          <w:sz w:val="28"/>
        </w:rPr>
        <w:tab/>
      </w:r>
      <w:r>
        <w:rPr>
          <w:b w:val="0"/>
          <w:bCs w:val="0"/>
          <w:sz w:val="28"/>
        </w:rPr>
        <w:t>WONG CHEUNG CHUNG</w:t>
      </w:r>
      <w:r>
        <w:rPr>
          <w:rFonts w:hint="eastAsia"/>
          <w:b w:val="0"/>
          <w:bCs w:val="0"/>
          <w:sz w:val="28"/>
        </w:rPr>
        <w:tab/>
        <w:t>Plaintiff</w:t>
      </w:r>
    </w:p>
    <w:p w:rsidR="00BB2F18" w:rsidRDefault="00BB2F18">
      <w:pPr>
        <w:tabs>
          <w:tab w:val="left" w:pos="7000"/>
        </w:tabs>
      </w:pPr>
    </w:p>
    <w:p w:rsidR="00BB2F18" w:rsidRDefault="00BB2F18">
      <w:pPr>
        <w:pStyle w:val="Heading3"/>
        <w:snapToGrid w:val="0"/>
        <w:spacing w:line="360" w:lineRule="auto"/>
        <w:rPr>
          <w:b w:val="0"/>
          <w:bCs w:val="0"/>
          <w:sz w:val="28"/>
        </w:rPr>
      </w:pPr>
      <w:r>
        <w:rPr>
          <w:b w:val="0"/>
          <w:bCs w:val="0"/>
          <w:sz w:val="28"/>
        </w:rPr>
        <w:t>a</w:t>
      </w:r>
      <w:r>
        <w:rPr>
          <w:rFonts w:hint="eastAsia"/>
          <w:b w:val="0"/>
          <w:bCs w:val="0"/>
          <w:sz w:val="28"/>
        </w:rPr>
        <w:t>nd</w:t>
      </w:r>
    </w:p>
    <w:p w:rsidR="00BB2F18" w:rsidRDefault="00BB2F18"/>
    <w:p w:rsidR="00BB2F18" w:rsidRDefault="00BB2F18">
      <w:pPr>
        <w:pStyle w:val="Heading4"/>
        <w:tabs>
          <w:tab w:val="clear" w:pos="3600"/>
          <w:tab w:val="clear" w:pos="6840"/>
          <w:tab w:val="left" w:pos="2240"/>
          <w:tab w:val="left" w:pos="7140"/>
          <w:tab w:val="right" w:pos="8400"/>
        </w:tabs>
        <w:spacing w:line="240" w:lineRule="auto"/>
        <w:jc w:val="left"/>
        <w:rPr>
          <w:b w:val="0"/>
          <w:sz w:val="28"/>
        </w:rPr>
      </w:pPr>
      <w:r>
        <w:rPr>
          <w:b w:val="0"/>
          <w:sz w:val="28"/>
        </w:rPr>
        <w:tab/>
        <w:t>MTR CORPORATION LIMITED</w:t>
      </w:r>
      <w:r>
        <w:rPr>
          <w:b w:val="0"/>
          <w:sz w:val="28"/>
        </w:rPr>
        <w:tab/>
      </w:r>
      <w:r>
        <w:rPr>
          <w:b w:val="0"/>
          <w:sz w:val="28"/>
        </w:rPr>
        <w:tab/>
        <w:t>De</w:t>
      </w:r>
      <w:r>
        <w:rPr>
          <w:rFonts w:hint="eastAsia"/>
          <w:b w:val="0"/>
          <w:sz w:val="28"/>
        </w:rPr>
        <w:t>fendant</w:t>
      </w:r>
    </w:p>
    <w:p w:rsidR="00BB2F18" w:rsidRDefault="00BB2F18">
      <w:pPr>
        <w:pStyle w:val="NormalIndent"/>
        <w:rPr>
          <w:lang w:val="en-US"/>
        </w:rPr>
      </w:pPr>
    </w:p>
    <w:p w:rsidR="00BB2F18" w:rsidRDefault="00BB2F18">
      <w:pPr>
        <w:pStyle w:val="NormalIndent"/>
        <w:rPr>
          <w:lang w:val="en-US"/>
        </w:rPr>
      </w:pPr>
    </w:p>
    <w:p w:rsidR="00BB2F18" w:rsidRDefault="00BB2F18">
      <w:pPr>
        <w:tabs>
          <w:tab w:val="left" w:pos="1620"/>
        </w:tabs>
        <w:adjustRightInd w:val="0"/>
        <w:spacing w:line="360" w:lineRule="auto"/>
        <w:jc w:val="center"/>
        <w:rPr>
          <w:rFonts w:hint="eastAsia"/>
        </w:rPr>
      </w:pPr>
      <w:r>
        <w:rPr>
          <w:rFonts w:hint="eastAsia"/>
        </w:rPr>
        <w:t>--------------------</w:t>
      </w:r>
    </w:p>
    <w:p w:rsidR="00BB2F18" w:rsidRDefault="00BB2F18">
      <w:pPr>
        <w:tabs>
          <w:tab w:val="clear" w:pos="4320"/>
          <w:tab w:val="clear" w:pos="9072"/>
        </w:tabs>
        <w:adjustRightInd w:val="0"/>
        <w:spacing w:line="360" w:lineRule="auto"/>
        <w:rPr>
          <w:rFonts w:hint="eastAsia"/>
        </w:rPr>
      </w:pPr>
    </w:p>
    <w:p w:rsidR="00BB2F18" w:rsidRDefault="00BB2F18">
      <w:pPr>
        <w:tabs>
          <w:tab w:val="clear" w:pos="4320"/>
          <w:tab w:val="clear" w:pos="9072"/>
        </w:tabs>
        <w:adjustRightInd w:val="0"/>
        <w:spacing w:line="360" w:lineRule="auto"/>
        <w:rPr>
          <w:rFonts w:hint="eastAsia"/>
        </w:rPr>
      </w:pPr>
      <w:r>
        <w:rPr>
          <w:rFonts w:hint="eastAsia"/>
        </w:rPr>
        <w:t xml:space="preserve">Coram: H.H. Judge </w:t>
      </w:r>
      <w:r>
        <w:t>Chow</w:t>
      </w:r>
      <w:r>
        <w:rPr>
          <w:rFonts w:hint="eastAsia"/>
        </w:rPr>
        <w:t xml:space="preserve"> in C</w:t>
      </w:r>
      <w:r>
        <w:t>hambers (Open to Public)</w:t>
      </w:r>
    </w:p>
    <w:p w:rsidR="00BB2F18" w:rsidRDefault="00BB2F18">
      <w:pPr>
        <w:tabs>
          <w:tab w:val="clear" w:pos="4320"/>
          <w:tab w:val="clear" w:pos="9072"/>
        </w:tabs>
        <w:adjustRightInd w:val="0"/>
        <w:spacing w:line="360" w:lineRule="auto"/>
      </w:pPr>
      <w:r>
        <w:rPr>
          <w:rFonts w:hint="eastAsia"/>
        </w:rPr>
        <w:t xml:space="preserve">Hearing </w:t>
      </w:r>
      <w:r>
        <w:t>date</w:t>
      </w:r>
      <w:r>
        <w:rPr>
          <w:rFonts w:hint="eastAsia"/>
        </w:rPr>
        <w:t xml:space="preserve">: </w:t>
      </w:r>
      <w:r>
        <w:t>7</w:t>
      </w:r>
      <w:r>
        <w:rPr>
          <w:vertAlign w:val="superscript"/>
        </w:rPr>
        <w:t>th</w:t>
      </w:r>
      <w:r>
        <w:t xml:space="preserve"> September 2010</w:t>
      </w:r>
    </w:p>
    <w:p w:rsidR="00BB2F18" w:rsidRDefault="00BB2F18">
      <w:pPr>
        <w:tabs>
          <w:tab w:val="clear" w:pos="4320"/>
          <w:tab w:val="clear" w:pos="9072"/>
        </w:tabs>
        <w:adjustRightInd w:val="0"/>
        <w:spacing w:line="360" w:lineRule="auto"/>
      </w:pPr>
      <w:r>
        <w:t>Date of handing down Decision :  28</w:t>
      </w:r>
      <w:r>
        <w:rPr>
          <w:vertAlign w:val="superscript"/>
        </w:rPr>
        <w:t>th</w:t>
      </w:r>
      <w:r>
        <w:t xml:space="preserve"> September 2010</w:t>
      </w:r>
    </w:p>
    <w:p w:rsidR="00BB2F18" w:rsidRDefault="00BB2F18">
      <w:pPr>
        <w:pStyle w:val="Title"/>
        <w:rPr>
          <w:rFonts w:hint="eastAsia"/>
        </w:rPr>
      </w:pPr>
    </w:p>
    <w:p w:rsidR="00BB2F18" w:rsidRDefault="00BB2F18">
      <w:pPr>
        <w:pStyle w:val="Title"/>
        <w:rPr>
          <w:b w:val="0"/>
          <w:bCs/>
          <w:sz w:val="28"/>
        </w:rPr>
      </w:pPr>
      <w:r>
        <w:rPr>
          <w:b w:val="0"/>
          <w:bCs/>
          <w:sz w:val="28"/>
        </w:rPr>
        <w:t>Decision</w:t>
      </w:r>
    </w:p>
    <w:p w:rsidR="00BB2F18" w:rsidRDefault="00BB2F18">
      <w:pPr>
        <w:pStyle w:val="normal3"/>
        <w:tabs>
          <w:tab w:val="clear" w:pos="4320"/>
          <w:tab w:val="clear" w:pos="4500"/>
          <w:tab w:val="clear" w:pos="9000"/>
        </w:tabs>
        <w:overflowPunct/>
        <w:autoSpaceDE/>
        <w:autoSpaceDN/>
        <w:rPr>
          <w:rFonts w:eastAsia="SimSun" w:hint="eastAsia"/>
          <w:lang w:val="en-US"/>
        </w:rPr>
      </w:pPr>
    </w:p>
    <w:p w:rsidR="00BB2F18" w:rsidRDefault="00BB2F18" w:rsidP="00BB2F18">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This is the Defendant’s application for leave to appeal to the Court of Appeal in respect of the </w:t>
      </w:r>
      <w:r>
        <w:rPr>
          <w:rFonts w:hint="eastAsia"/>
        </w:rPr>
        <w:t>J</w:t>
      </w:r>
      <w:r>
        <w:rPr>
          <w:rFonts w:eastAsia="PMingLiU"/>
          <w:lang w:eastAsia="zh-TW"/>
        </w:rPr>
        <w:t>udgment handed down by this Court on 2</w:t>
      </w:r>
      <w:r>
        <w:rPr>
          <w:rFonts w:eastAsia="PMingLiU"/>
          <w:vertAlign w:val="superscript"/>
          <w:lang w:eastAsia="zh-TW"/>
        </w:rPr>
        <w:t>nd</w:t>
      </w:r>
      <w:r>
        <w:rPr>
          <w:rFonts w:eastAsia="PMingLiU"/>
          <w:lang w:eastAsia="zh-TW"/>
        </w:rPr>
        <w:t xml:space="preserve"> </w:t>
      </w:r>
      <w:r>
        <w:rPr>
          <w:rFonts w:hint="eastAsia"/>
        </w:rPr>
        <w:t>July 2010.</w:t>
      </w:r>
    </w:p>
    <w:p w:rsidR="00BB2F18" w:rsidRDefault="00BB2F18">
      <w:pPr>
        <w:tabs>
          <w:tab w:val="clear" w:pos="1440"/>
          <w:tab w:val="clear" w:pos="4320"/>
          <w:tab w:val="clear" w:pos="9072"/>
          <w:tab w:val="left" w:pos="1400"/>
        </w:tabs>
        <w:spacing w:line="360" w:lineRule="auto"/>
        <w:jc w:val="both"/>
        <w:rPr>
          <w:rFonts w:eastAsia="PMingLiU"/>
          <w:lang w:eastAsia="zh-TW"/>
        </w:rPr>
      </w:pPr>
    </w:p>
    <w:p w:rsidR="00BB2F18" w:rsidRDefault="00BB2F18" w:rsidP="00BB2F18">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In the Judgment I reached the conclusion that the Plaintiff could not be expected to notice a raised gate rail on the ground of the level landing at a short distance ahead of him, where the lighting was dim.  Never before had he come across a raised gate rail at that spot which he walked through </w:t>
      </w:r>
      <w:r>
        <w:rPr>
          <w:rFonts w:hint="eastAsia"/>
        </w:rPr>
        <w:lastRenderedPageBreak/>
        <w:t xml:space="preserve">many times before.  This part of his evidence was not challenged and was accepted by me.  On this basis I held that there was no contributory negligence on his part, </w:t>
      </w:r>
      <w:r>
        <w:t>because</w:t>
      </w:r>
      <w:r>
        <w:rPr>
          <w:rFonts w:hint="eastAsia"/>
        </w:rPr>
        <w:t xml:space="preserve"> he had no prior notice of the risk of tripping over a raised gate rail.</w:t>
      </w:r>
    </w:p>
    <w:p w:rsidR="00BB2F18" w:rsidRDefault="00BB2F18">
      <w:pPr>
        <w:tabs>
          <w:tab w:val="clear" w:pos="1440"/>
          <w:tab w:val="clear" w:pos="4320"/>
          <w:tab w:val="clear" w:pos="9072"/>
          <w:tab w:val="left" w:pos="1400"/>
        </w:tabs>
        <w:spacing w:line="360" w:lineRule="auto"/>
        <w:jc w:val="both"/>
        <w:rPr>
          <w:rFonts w:eastAsia="PMingLiU"/>
          <w:lang w:eastAsia="zh-TW"/>
        </w:rPr>
      </w:pPr>
    </w:p>
    <w:p w:rsidR="00BB2F18" w:rsidRDefault="00BB2F18" w:rsidP="00BB2F18">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Under paragraph 2 of the draft Grounds of Appeal the Defendant submits that the gate rail on which the movable metal gate slid was there to be seen and would in any case as a matter of common sense be expected, particularly having regard to the Plaintiff</w:t>
      </w:r>
      <w:r>
        <w:t>’</w:t>
      </w:r>
      <w:r>
        <w:rPr>
          <w:rFonts w:hint="eastAsia"/>
        </w:rPr>
        <w:t xml:space="preserve">s admission in cross-examination that </w:t>
      </w:r>
      <w:r>
        <w:t>with</w:t>
      </w:r>
      <w:r>
        <w:rPr>
          <w:rFonts w:hint="eastAsia"/>
        </w:rPr>
        <w:t xml:space="preserve"> the metal gate there would be a gate rail which might protrude from the ground.  But the Plaintiff also said that some of these gate rails are embedded in the ground.  So it is wrong to say merely that the gate rail was there to be seen.  If it is embedded in the ground, it cannot be seen.</w:t>
      </w:r>
    </w:p>
    <w:p w:rsidR="00BB2F18" w:rsidRDefault="00BB2F18">
      <w:pPr>
        <w:tabs>
          <w:tab w:val="clear" w:pos="1440"/>
          <w:tab w:val="clear" w:pos="4320"/>
          <w:tab w:val="clear" w:pos="9072"/>
          <w:tab w:val="left" w:pos="1400"/>
        </w:tabs>
        <w:spacing w:line="360" w:lineRule="auto"/>
        <w:jc w:val="both"/>
        <w:rPr>
          <w:rFonts w:eastAsia="PMingLiU"/>
          <w:lang w:eastAsia="zh-TW"/>
        </w:rPr>
      </w:pPr>
    </w:p>
    <w:p w:rsidR="00BB2F18" w:rsidRDefault="00BB2F18" w:rsidP="00BB2F18">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In respect of paragraph 3 of the draft Grounds of Appeal, the Defendant argues that even if no or no adequate oral warning had been given by the Defendant</w:t>
      </w:r>
      <w:r>
        <w:t>’</w:t>
      </w:r>
      <w:r>
        <w:rPr>
          <w:rFonts w:hint="eastAsia"/>
        </w:rPr>
        <w:t>s staff to the Plaintiff of the presence of the gate rail, it was the Plaintiff</w:t>
      </w:r>
      <w:r>
        <w:t>’</w:t>
      </w:r>
      <w:r>
        <w:rPr>
          <w:rFonts w:hint="eastAsia"/>
        </w:rPr>
        <w:t xml:space="preserve">s own evidence that he had seen the staff member closing the sliding metal gate at Exit D1 and had shouted out to that staff member who then pulled open the metal gate to a width of about 3-4 feet to allow him to pass, whereby it ought to have been obvious to the Plaintiff that there would be or would likely be a gate rail and that reasonable care for his own safety was required when walking through the 3-4 feet gap.  I do not accept this </w:t>
      </w:r>
      <w:r>
        <w:t>argument</w:t>
      </w:r>
      <w:r>
        <w:rPr>
          <w:rFonts w:hint="eastAsia"/>
        </w:rPr>
        <w:t xml:space="preserve">.  The actual circumstances must be considered and </w:t>
      </w:r>
      <w:r>
        <w:t>canvassed</w:t>
      </w:r>
      <w:r>
        <w:rPr>
          <w:rFonts w:hint="eastAsia"/>
        </w:rPr>
        <w:t xml:space="preserve">.  When the MTR staff re-opened the metal gate, the Plaintiff was hurrying to go up the stairs.  Then he reached the level landing on the top of the stairs.  There is no evidence to show that it was obvious to him that there would </w:t>
      </w:r>
      <w:r>
        <w:rPr>
          <w:rFonts w:hint="eastAsia"/>
        </w:rPr>
        <w:lastRenderedPageBreak/>
        <w:t xml:space="preserve">likely be a raised gate rail at a short distance head of him, where the lighting was dim.  When he was ascending the stairs his attention </w:t>
      </w:r>
      <w:r>
        <w:t>focused</w:t>
      </w:r>
      <w:r>
        <w:rPr>
          <w:rFonts w:hint="eastAsia"/>
        </w:rPr>
        <w:t xml:space="preserve"> on the stairs and his steps, and upon reaching the top of the stairs, his attention was on the other side of the exit in the direction of the downward stairs.  Hence there is his evidence that upon reaching the level landing on the top of the stairs he looked forward for Lockhart Road.  The landing was short.  After walking for 1 or 2 steps his right foot tripped over something and he lost his balance.  At about this time he saw that he had tripped over a raised gate rail on the floor at the base of the metal gate.</w:t>
      </w:r>
    </w:p>
    <w:p w:rsidR="00BB2F18" w:rsidRDefault="00BB2F18">
      <w:pPr>
        <w:tabs>
          <w:tab w:val="clear" w:pos="1440"/>
          <w:tab w:val="clear" w:pos="4320"/>
          <w:tab w:val="clear" w:pos="9072"/>
          <w:tab w:val="left" w:pos="1400"/>
        </w:tabs>
        <w:spacing w:line="360" w:lineRule="auto"/>
        <w:jc w:val="both"/>
        <w:rPr>
          <w:rFonts w:eastAsia="PMingLiU"/>
          <w:lang w:eastAsia="zh-TW"/>
        </w:rPr>
      </w:pPr>
    </w:p>
    <w:p w:rsidR="00BB2F18" w:rsidRDefault="00BB2F18" w:rsidP="00BB2F18">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Under paragraph 5 of the draft Grounds of Appeal, the Defendant argues that the </w:t>
      </w:r>
      <w:r>
        <w:t>movable</w:t>
      </w:r>
      <w:r>
        <w:rPr>
          <w:rFonts w:hint="eastAsia"/>
        </w:rPr>
        <w:t xml:space="preserve"> gate and gate rail were there to be seen by the Plaintiff as he was ascending the stairs which led to the metal gate and that he </w:t>
      </w:r>
      <w:r>
        <w:t>would</w:t>
      </w:r>
      <w:r>
        <w:rPr>
          <w:rFonts w:hint="eastAsia"/>
        </w:rPr>
        <w:t xml:space="preserve"> at some point on the stairs have been at </w:t>
      </w:r>
      <w:r>
        <w:t>around</w:t>
      </w:r>
      <w:r>
        <w:rPr>
          <w:rFonts w:hint="eastAsia"/>
        </w:rPr>
        <w:t xml:space="preserve"> the eye level with the gate rail and metal gate.  When the Plaintiff was ascending the stairs his attention was still on the steps.  This must be true as the lighting there was dim and he had to pay attention to where his feet landed, otherwise he might place his foot on the wrong place.  It is reasonable for him to have done so.  The Defendant</w:t>
      </w:r>
      <w:r>
        <w:t>’</w:t>
      </w:r>
      <w:r>
        <w:rPr>
          <w:rFonts w:hint="eastAsia"/>
        </w:rPr>
        <w:t>s argument may likely to succeed if the lighting was normal or good.</w:t>
      </w:r>
    </w:p>
    <w:p w:rsidR="00BB2F18" w:rsidRDefault="00BB2F18">
      <w:pPr>
        <w:tabs>
          <w:tab w:val="clear" w:pos="1440"/>
          <w:tab w:val="clear" w:pos="4320"/>
          <w:tab w:val="clear" w:pos="9072"/>
          <w:tab w:val="left" w:pos="1400"/>
        </w:tabs>
        <w:spacing w:line="360" w:lineRule="auto"/>
        <w:jc w:val="both"/>
        <w:rPr>
          <w:rFonts w:eastAsia="PMingLiU"/>
          <w:lang w:eastAsia="zh-TW"/>
        </w:rPr>
      </w:pPr>
    </w:p>
    <w:p w:rsidR="00BB2F18" w:rsidRDefault="00BB2F18" w:rsidP="00BB2F18">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The Defendant submits in ground 6 of the draft Grounds of Appeal that </w:t>
      </w:r>
      <w:r>
        <w:t>the</w:t>
      </w:r>
      <w:r>
        <w:rPr>
          <w:rFonts w:hint="eastAsia"/>
        </w:rPr>
        <w:t xml:space="preserve"> Plaintiff</w:t>
      </w:r>
      <w:r>
        <w:t>’</w:t>
      </w:r>
      <w:r>
        <w:rPr>
          <w:rFonts w:hint="eastAsia"/>
        </w:rPr>
        <w:t>s two co-workers had passed through that gate a little earlier without incident.  There is simply no evidence to show the circumstances of the Exit D1 when these two co-workers used it.  According to the Plaintiff</w:t>
      </w:r>
      <w:r>
        <w:t>’</w:t>
      </w:r>
      <w:r>
        <w:rPr>
          <w:rFonts w:hint="eastAsia"/>
        </w:rPr>
        <w:t>s evidence, which I accepted, there is no evidence to show that when the 2 co-workers exited Exit D1 earlier on, the MTR guard had placed the gate rail on the ground.</w:t>
      </w:r>
    </w:p>
    <w:p w:rsidR="00BB2F18" w:rsidRDefault="00BB2F18">
      <w:pPr>
        <w:tabs>
          <w:tab w:val="clear" w:pos="1440"/>
          <w:tab w:val="clear" w:pos="4320"/>
          <w:tab w:val="clear" w:pos="9072"/>
          <w:tab w:val="left" w:pos="1400"/>
        </w:tabs>
        <w:spacing w:line="360" w:lineRule="auto"/>
        <w:jc w:val="both"/>
        <w:rPr>
          <w:rFonts w:eastAsia="PMingLiU"/>
          <w:lang w:eastAsia="zh-TW"/>
        </w:rPr>
      </w:pPr>
    </w:p>
    <w:p w:rsidR="00BB2F18" w:rsidRDefault="00BB2F18" w:rsidP="00BB2F18">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Regarding the award for PSLA</w:t>
      </w:r>
      <w:r>
        <w:t>,</w:t>
      </w:r>
      <w:r>
        <w:rPr>
          <w:rFonts w:hint="eastAsia"/>
        </w:rPr>
        <w:t xml:space="preserve"> the sum of $440,000 awarded to the Plaintiff cannot be faulted.  The </w:t>
      </w:r>
      <w:r>
        <w:t>injuries</w:t>
      </w:r>
      <w:r>
        <w:rPr>
          <w:rFonts w:hint="eastAsia"/>
        </w:rPr>
        <w:t xml:space="preserve"> suffered by the Plaintiff were serious.  Sick leave was granted, for a total of about 22 months.  He must have suffered great pain at the time of the fall and shortly afterwards.  </w:t>
      </w:r>
      <w:r>
        <w:t>The</w:t>
      </w:r>
      <w:r>
        <w:rPr>
          <w:rFonts w:hint="eastAsia"/>
        </w:rPr>
        <w:t xml:space="preserve"> loss of amenities to his life is great.  In my view the award of $440,000 is totally justified</w:t>
      </w:r>
    </w:p>
    <w:p w:rsidR="00BB2F18" w:rsidRDefault="00BB2F18">
      <w:pPr>
        <w:tabs>
          <w:tab w:val="clear" w:pos="1440"/>
          <w:tab w:val="clear" w:pos="4320"/>
          <w:tab w:val="clear" w:pos="9072"/>
          <w:tab w:val="left" w:pos="1400"/>
        </w:tabs>
        <w:spacing w:line="360" w:lineRule="auto"/>
        <w:jc w:val="both"/>
        <w:rPr>
          <w:rFonts w:eastAsia="PMingLiU"/>
          <w:lang w:eastAsia="zh-TW"/>
        </w:rPr>
      </w:pPr>
    </w:p>
    <w:p w:rsidR="00BB2F18" w:rsidRDefault="00BB2F18" w:rsidP="00BB2F18">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The application has no merit.  I therefore dismiss it, with an order nisi for costs to the Plaintiff, to be made absolute in 14 days</w:t>
      </w:r>
      <w:r>
        <w:t>’</w:t>
      </w:r>
      <w:r>
        <w:rPr>
          <w:rFonts w:hint="eastAsia"/>
        </w:rPr>
        <w:t xml:space="preserve"> time, to be taxed, if not agreed, with certificate for Counsel.  The Plaintiff</w:t>
      </w:r>
      <w:r>
        <w:t>’</w:t>
      </w:r>
      <w:r>
        <w:rPr>
          <w:rFonts w:hint="eastAsia"/>
        </w:rPr>
        <w:t>s own costs to be taxed in accordance with Legal Aid Regulations.</w:t>
      </w:r>
    </w:p>
    <w:p w:rsidR="00BB2F18" w:rsidRDefault="00BB2F18">
      <w:pPr>
        <w:tabs>
          <w:tab w:val="clear" w:pos="1440"/>
          <w:tab w:val="clear" w:pos="4320"/>
          <w:tab w:val="clear" w:pos="9072"/>
          <w:tab w:val="left" w:pos="1400"/>
        </w:tabs>
        <w:spacing w:line="360" w:lineRule="auto"/>
        <w:jc w:val="both"/>
        <w:rPr>
          <w:rFonts w:hint="eastAsia"/>
        </w:rPr>
      </w:pPr>
    </w:p>
    <w:p w:rsidR="00BB2F18" w:rsidRDefault="00BB2F18">
      <w:pPr>
        <w:tabs>
          <w:tab w:val="clear" w:pos="1440"/>
          <w:tab w:val="clear" w:pos="4320"/>
          <w:tab w:val="clear" w:pos="9072"/>
          <w:tab w:val="left" w:pos="1400"/>
        </w:tabs>
        <w:spacing w:line="360" w:lineRule="auto"/>
        <w:jc w:val="both"/>
        <w:rPr>
          <w:rFonts w:hint="eastAsia"/>
        </w:rPr>
      </w:pPr>
    </w:p>
    <w:p w:rsidR="00BB2F18" w:rsidRDefault="00BB2F18">
      <w:pPr>
        <w:tabs>
          <w:tab w:val="clear" w:pos="1440"/>
          <w:tab w:val="clear" w:pos="4320"/>
          <w:tab w:val="clear" w:pos="9072"/>
          <w:tab w:val="left" w:pos="1400"/>
        </w:tabs>
        <w:spacing w:line="360" w:lineRule="auto"/>
        <w:jc w:val="both"/>
        <w:rPr>
          <w:rFonts w:hint="eastAsia"/>
        </w:rPr>
      </w:pPr>
    </w:p>
    <w:p w:rsidR="00BB2F18" w:rsidRDefault="00BB2F18">
      <w:pPr>
        <w:tabs>
          <w:tab w:val="clear" w:pos="1440"/>
          <w:tab w:val="clear" w:pos="4320"/>
          <w:tab w:val="clear" w:pos="9072"/>
          <w:tab w:val="left" w:pos="1400"/>
        </w:tabs>
        <w:spacing w:line="360" w:lineRule="auto"/>
        <w:jc w:val="both"/>
        <w:rPr>
          <w:rFonts w:eastAsia="PMingLiU"/>
          <w:lang w:eastAsia="zh-TW"/>
        </w:rPr>
      </w:pPr>
    </w:p>
    <w:p w:rsidR="00BB2F18" w:rsidRDefault="00BB2F18">
      <w:pPr>
        <w:tabs>
          <w:tab w:val="clear" w:pos="4320"/>
          <w:tab w:val="clear" w:pos="9072"/>
        </w:tabs>
        <w:jc w:val="both"/>
        <w:rPr>
          <w:rFonts w:hint="eastAsia"/>
        </w:rPr>
      </w:pPr>
    </w:p>
    <w:p w:rsidR="00BB2F18" w:rsidRDefault="00BB2F18">
      <w:pPr>
        <w:tabs>
          <w:tab w:val="clear" w:pos="4320"/>
          <w:tab w:val="clear" w:pos="9072"/>
        </w:tabs>
        <w:ind w:left="4752"/>
        <w:jc w:val="center"/>
      </w:pPr>
      <w:r>
        <w:t>(S. Chow)</w:t>
      </w:r>
    </w:p>
    <w:p w:rsidR="00BB2F18" w:rsidRDefault="00BB2F18">
      <w:pPr>
        <w:tabs>
          <w:tab w:val="clear" w:pos="4320"/>
          <w:tab w:val="clear" w:pos="9072"/>
        </w:tabs>
        <w:ind w:left="4752"/>
        <w:jc w:val="center"/>
        <w:rPr>
          <w:rFonts w:hint="eastAsia"/>
        </w:rPr>
      </w:pPr>
      <w:r>
        <w:rPr>
          <w:rFonts w:hint="eastAsia"/>
        </w:rPr>
        <w:t>District Judge</w:t>
      </w:r>
    </w:p>
    <w:p w:rsidR="00BB2F18" w:rsidRDefault="00BB2F18">
      <w:pPr>
        <w:tabs>
          <w:tab w:val="clear" w:pos="4320"/>
          <w:tab w:val="clear" w:pos="9072"/>
        </w:tabs>
        <w:jc w:val="both"/>
      </w:pPr>
    </w:p>
    <w:p w:rsidR="00BB2F18" w:rsidRDefault="00BB2F18">
      <w:pPr>
        <w:tabs>
          <w:tab w:val="clear" w:pos="4320"/>
          <w:tab w:val="clear" w:pos="9072"/>
        </w:tabs>
        <w:jc w:val="both"/>
      </w:pPr>
    </w:p>
    <w:p w:rsidR="00BB2F18" w:rsidRDefault="00BB2F18">
      <w:pPr>
        <w:tabs>
          <w:tab w:val="clear" w:pos="1440"/>
          <w:tab w:val="clear" w:pos="4320"/>
          <w:tab w:val="clear" w:pos="9072"/>
          <w:tab w:val="left" w:pos="1960"/>
        </w:tabs>
        <w:ind w:left="1960" w:hanging="1960"/>
        <w:jc w:val="both"/>
        <w:rPr>
          <w:rFonts w:hint="eastAsia"/>
        </w:rPr>
      </w:pPr>
      <w:r>
        <w:t>The Plaintiff :</w:t>
      </w:r>
      <w:r>
        <w:tab/>
        <w:t xml:space="preserve">represented by </w:t>
      </w:r>
      <w:r>
        <w:rPr>
          <w:rFonts w:hint="eastAsia"/>
        </w:rPr>
        <w:t>Miss Phillis Loh, instructed by Messrs. Cheung Wong &amp; Associates, Solicitors</w:t>
      </w:r>
    </w:p>
    <w:p w:rsidR="00BB2F18" w:rsidRDefault="00BB2F18">
      <w:pPr>
        <w:tabs>
          <w:tab w:val="clear" w:pos="1440"/>
          <w:tab w:val="clear" w:pos="4320"/>
          <w:tab w:val="clear" w:pos="9072"/>
          <w:tab w:val="left" w:pos="1960"/>
        </w:tabs>
        <w:ind w:left="1960" w:hanging="1960"/>
        <w:jc w:val="both"/>
        <w:rPr>
          <w:rFonts w:hint="eastAsia"/>
        </w:rPr>
      </w:pPr>
      <w:r>
        <w:t>The Defendant:</w:t>
      </w:r>
      <w:r>
        <w:tab/>
      </w:r>
      <w:r>
        <w:rPr>
          <w:rFonts w:hint="eastAsia"/>
        </w:rPr>
        <w:t>represented by Mr. Ashok K. Sakhrani, instructed by Messrs. Deacons, Solicitors</w:t>
      </w:r>
    </w:p>
    <w:sectPr w:rsidR="00BB2F18">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2F18" w:rsidRDefault="00BB2F18">
      <w:r>
        <w:separator/>
      </w:r>
    </w:p>
  </w:endnote>
  <w:endnote w:type="continuationSeparator" w:id="0">
    <w:p w:rsidR="00BB2F18" w:rsidRDefault="00BB2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2F18" w:rsidRDefault="00BB2F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B2F18" w:rsidRDefault="00BB2F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2F18" w:rsidRDefault="00BB2F18">
    <w:pPr>
      <w:pStyle w:val="Footer"/>
      <w:framePr w:wrap="around" w:vAnchor="text" w:hAnchor="margin" w:xAlign="right" w:y="1"/>
      <w:rPr>
        <w:rStyle w:val="PageNumber"/>
      </w:rPr>
    </w:pPr>
  </w:p>
  <w:p w:rsidR="00BB2F18" w:rsidRDefault="00BB2F18">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2F18" w:rsidRDefault="00BB2F18">
      <w:r>
        <w:separator/>
      </w:r>
    </w:p>
  </w:footnote>
  <w:footnote w:type="continuationSeparator" w:id="0">
    <w:p w:rsidR="00BB2F18" w:rsidRDefault="00BB2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2F18" w:rsidRDefault="00CF5BE0">
    <w:pPr>
      <w:pStyle w:val="Header"/>
      <w:rPr>
        <w:rFonts w:hint="eastAsia"/>
      </w:rPr>
    </w:pPr>
    <w:r>
      <w:rPr>
        <w:noProof/>
        <w:sz w:val="20"/>
      </w:rPr>
    </w:r>
    <w:r w:rsidR="00CF5BE0">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BB2F18" w:rsidRDefault="00BB2F18">
                <w:pPr>
                  <w:rPr>
                    <w:rFonts w:hint="eastAsia"/>
                    <w:b/>
                    <w:sz w:val="20"/>
                  </w:rPr>
                </w:pPr>
                <w:r>
                  <w:rPr>
                    <w:rFonts w:hint="eastAsia"/>
                    <w:b/>
                    <w:sz w:val="20"/>
                  </w:rPr>
                  <w:t>A</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20"/>
                  </w:rPr>
                </w:pPr>
                <w:r>
                  <w:rPr>
                    <w:rFonts w:hint="eastAsia"/>
                    <w:b/>
                    <w:sz w:val="20"/>
                  </w:rPr>
                  <w:t>B</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C</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pStyle w:val="Heading2"/>
                  <w:rPr>
                    <w:rFonts w:hint="eastAsia"/>
                    <w:sz w:val="16"/>
                  </w:rPr>
                </w:pPr>
                <w:r>
                  <w:rPr>
                    <w:rFonts w:hint="eastAsia"/>
                  </w:rPr>
                  <w:t>D</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E</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20"/>
                  </w:rPr>
                </w:pPr>
                <w:r>
                  <w:rPr>
                    <w:rFonts w:hint="eastAsia"/>
                    <w:b/>
                    <w:sz w:val="20"/>
                  </w:rPr>
                  <w:t>F</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G</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H</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I</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J</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K</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L</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M</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N</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O</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P</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Q</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R</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S</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T</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U</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pStyle w:val="Heading3"/>
                  <w:jc w:val="left"/>
                  <w:rPr>
                    <w:rFonts w:hint="eastAsia"/>
                  </w:rPr>
                </w:pPr>
                <w:r>
                  <w:rPr>
                    <w:rFonts w:hint="eastAsia"/>
                  </w:rPr>
                  <w:t>V</w:t>
                </w:r>
              </w:p>
            </w:txbxContent>
          </v:textbox>
        </v:shape>
      </w:pict>
    </w:r>
    <w:r>
      <w:rPr>
        <w:noProof/>
        <w:sz w:val="20"/>
      </w:rPr>
    </w:r>
    <w:r w:rsidR="00CF5BE0">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BB2F18" w:rsidRDefault="00BB2F18">
                <w:pPr>
                  <w:rPr>
                    <w:rFonts w:eastAsia="SimHei" w:hint="eastAsia"/>
                    <w:b/>
                    <w:sz w:val="18"/>
                  </w:rPr>
                </w:pPr>
                <w:r>
                  <w:rPr>
                    <w:rFonts w:eastAsia="SimHei" w:hint="eastAsia"/>
                    <w:b/>
                    <w:sz w:val="18"/>
                  </w:rPr>
                  <w:t>由此</w:t>
                </w:r>
              </w:p>
            </w:txbxContent>
          </v:textbox>
        </v:shape>
      </w:pict>
    </w:r>
    <w:r>
      <w:rPr>
        <w:noProof/>
        <w:sz w:val="20"/>
      </w:rPr>
    </w:r>
    <w:r w:rsidR="00CF5BE0">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BB2F18" w:rsidRDefault="00BB2F18">
                <w:pPr>
                  <w:rPr>
                    <w:rFonts w:hint="eastAsia"/>
                    <w:b/>
                    <w:sz w:val="20"/>
                  </w:rPr>
                </w:pPr>
                <w:r>
                  <w:rPr>
                    <w:rFonts w:hint="eastAsia"/>
                    <w:b/>
                    <w:sz w:val="20"/>
                  </w:rPr>
                  <w:t>A</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20"/>
                  </w:rPr>
                </w:pPr>
                <w:r>
                  <w:rPr>
                    <w:rFonts w:hint="eastAsia"/>
                    <w:b/>
                    <w:sz w:val="20"/>
                  </w:rPr>
                  <w:t>B</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C</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pStyle w:val="Heading2"/>
                  <w:rPr>
                    <w:rFonts w:hint="eastAsia"/>
                    <w:sz w:val="16"/>
                  </w:rPr>
                </w:pPr>
                <w:r>
                  <w:rPr>
                    <w:rFonts w:hint="eastAsia"/>
                  </w:rPr>
                  <w:t>D</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E</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20"/>
                  </w:rPr>
                </w:pPr>
                <w:r>
                  <w:rPr>
                    <w:rFonts w:hint="eastAsia"/>
                    <w:b/>
                    <w:sz w:val="20"/>
                  </w:rPr>
                  <w:t>F</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G</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H</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I</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J</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K</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L</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M</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N</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O</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P</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Q</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R</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S</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T</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U</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2F18" w:rsidRDefault="00BB2F18">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D60476">
      <w:rPr>
        <w:rStyle w:val="PageNumber"/>
        <w:noProof/>
        <w:sz w:val="28"/>
      </w:rPr>
      <w:t>4</w:t>
    </w:r>
    <w:r>
      <w:rPr>
        <w:rStyle w:val="PageNumber"/>
        <w:sz w:val="28"/>
      </w:rPr>
      <w:fldChar w:fldCharType="end"/>
    </w:r>
    <w:r>
      <w:rPr>
        <w:rStyle w:val="PageNumber"/>
        <w:rFonts w:hint="eastAsia"/>
        <w:sz w:val="28"/>
      </w:rPr>
      <w:t xml:space="preserve">  -</w:t>
    </w:r>
    <w:r w:rsidR="00CF5BE0">
      <w:rPr>
        <w:noProof/>
        <w:sz w:val="28"/>
      </w:rPr>
    </w:r>
    <w:r w:rsidR="00CF5BE0">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BB2F18" w:rsidRDefault="00BB2F18">
                <w:pPr>
                  <w:rPr>
                    <w:rFonts w:hint="eastAsia"/>
                    <w:b/>
                    <w:sz w:val="20"/>
                  </w:rPr>
                </w:pPr>
                <w:r>
                  <w:rPr>
                    <w:rFonts w:hint="eastAsia"/>
                    <w:b/>
                    <w:sz w:val="20"/>
                  </w:rPr>
                  <w:t>A</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20"/>
                  </w:rPr>
                </w:pPr>
                <w:r>
                  <w:rPr>
                    <w:rFonts w:hint="eastAsia"/>
                    <w:b/>
                    <w:sz w:val="20"/>
                  </w:rPr>
                  <w:t>B</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C</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pStyle w:val="Heading2"/>
                  <w:rPr>
                    <w:rFonts w:hint="eastAsia"/>
                    <w:sz w:val="16"/>
                  </w:rPr>
                </w:pPr>
                <w:r>
                  <w:rPr>
                    <w:rFonts w:hint="eastAsia"/>
                  </w:rPr>
                  <w:t>D</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E</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20"/>
                  </w:rPr>
                </w:pPr>
                <w:r>
                  <w:rPr>
                    <w:rFonts w:hint="eastAsia"/>
                    <w:b/>
                    <w:sz w:val="20"/>
                  </w:rPr>
                  <w:t>F</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G</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H</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I</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J</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K</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L</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M</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N</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O</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P</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Q</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R</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S</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T</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U</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pStyle w:val="Heading3"/>
                  <w:jc w:val="left"/>
                  <w:rPr>
                    <w:rFonts w:hint="eastAsia"/>
                  </w:rPr>
                </w:pPr>
                <w:r>
                  <w:rPr>
                    <w:rFonts w:hint="eastAsia"/>
                  </w:rPr>
                  <w:t>V</w:t>
                </w:r>
              </w:p>
            </w:txbxContent>
          </v:textbox>
        </v:shape>
      </w:pict>
    </w:r>
    <w:r w:rsidR="00CF5BE0">
      <w:rPr>
        <w:noProof/>
        <w:sz w:val="28"/>
      </w:rPr>
    </w:r>
    <w:r w:rsidR="00CF5BE0">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BB2F18" w:rsidRDefault="00BB2F18">
                <w:pPr>
                  <w:rPr>
                    <w:rFonts w:eastAsia="SimHei" w:hint="eastAsia"/>
                    <w:b/>
                    <w:sz w:val="18"/>
                  </w:rPr>
                </w:pPr>
                <w:r>
                  <w:rPr>
                    <w:rFonts w:eastAsia="SimHei" w:hint="eastAsia"/>
                    <w:b/>
                    <w:sz w:val="18"/>
                  </w:rPr>
                  <w:t>由此</w:t>
                </w:r>
              </w:p>
            </w:txbxContent>
          </v:textbox>
        </v:shape>
      </w:pict>
    </w:r>
    <w:r w:rsidR="00CF5BE0">
      <w:rPr>
        <w:noProof/>
        <w:sz w:val="28"/>
      </w:rPr>
    </w:r>
    <w:r w:rsidR="00CF5BE0">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BB2F18" w:rsidRDefault="00BB2F18">
                <w:pPr>
                  <w:rPr>
                    <w:rFonts w:hint="eastAsia"/>
                    <w:b/>
                    <w:sz w:val="20"/>
                  </w:rPr>
                </w:pPr>
                <w:r>
                  <w:rPr>
                    <w:rFonts w:hint="eastAsia"/>
                    <w:b/>
                    <w:sz w:val="20"/>
                  </w:rPr>
                  <w:t>A</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20"/>
                  </w:rPr>
                </w:pPr>
                <w:r>
                  <w:rPr>
                    <w:rFonts w:hint="eastAsia"/>
                    <w:b/>
                    <w:sz w:val="20"/>
                  </w:rPr>
                  <w:t>B</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C</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pStyle w:val="Heading2"/>
                  <w:rPr>
                    <w:rFonts w:hint="eastAsia"/>
                    <w:sz w:val="16"/>
                  </w:rPr>
                </w:pPr>
                <w:r>
                  <w:rPr>
                    <w:rFonts w:hint="eastAsia"/>
                  </w:rPr>
                  <w:t>D</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E</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20"/>
                  </w:rPr>
                </w:pPr>
                <w:r>
                  <w:rPr>
                    <w:rFonts w:hint="eastAsia"/>
                    <w:b/>
                    <w:sz w:val="20"/>
                  </w:rPr>
                  <w:t>F</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G</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H</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I</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J</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K</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L</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M</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N</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O</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P</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Q</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R</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S</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T</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rPr>
                    <w:rFonts w:hint="eastAsia"/>
                    <w:b/>
                    <w:sz w:val="16"/>
                  </w:rPr>
                </w:pPr>
                <w:r>
                  <w:rPr>
                    <w:rFonts w:hint="eastAsia"/>
                    <w:b/>
                    <w:sz w:val="20"/>
                  </w:rPr>
                  <w:t>U</w:t>
                </w:r>
              </w:p>
              <w:p w:rsidR="00BB2F18" w:rsidRDefault="00BB2F18">
                <w:pPr>
                  <w:rPr>
                    <w:rFonts w:hint="eastAsia"/>
                    <w:b/>
                    <w:sz w:val="10"/>
                  </w:rPr>
                </w:pPr>
              </w:p>
              <w:p w:rsidR="00BB2F18" w:rsidRDefault="00BB2F18">
                <w:pPr>
                  <w:rPr>
                    <w:rFonts w:hint="eastAsia"/>
                    <w:b/>
                    <w:sz w:val="16"/>
                  </w:rPr>
                </w:pPr>
              </w:p>
              <w:p w:rsidR="00BB2F18" w:rsidRDefault="00BB2F18">
                <w:pPr>
                  <w:rPr>
                    <w:rFonts w:hint="eastAsia"/>
                    <w:b/>
                    <w:sz w:val="16"/>
                  </w:rPr>
                </w:pPr>
              </w:p>
              <w:p w:rsidR="00BB2F18" w:rsidRDefault="00BB2F18">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625"/>
    <w:multiLevelType w:val="hybridMultilevel"/>
    <w:tmpl w:val="068A5C78"/>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F9B89508">
      <w:start w:val="1"/>
      <w:numFmt w:val="decimal"/>
      <w:lvlText w:val="(%4)"/>
      <w:lvlJc w:val="left"/>
      <w:pPr>
        <w:tabs>
          <w:tab w:val="num" w:pos="2910"/>
        </w:tabs>
        <w:ind w:left="2910" w:hanging="39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5939861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476"/>
    <w:rsid w:val="00BB2F18"/>
    <w:rsid w:val="00CF5BE0"/>
    <w:rsid w:val="00D6047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1EEE81F-9487-324E-89CE-73D625C5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2010-09-28T04:40:00Z</cp:lastPrinted>
  <dcterms:created xsi:type="dcterms:W3CDTF">2023-10-14T01:13:00Z</dcterms:created>
  <dcterms:modified xsi:type="dcterms:W3CDTF">2023-10-14T01:13:00Z</dcterms:modified>
</cp:coreProperties>
</file>