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3304EA" w:rsidRDefault="00183AAF" w:rsidP="0031447E">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F752CE">
        <w:rPr>
          <w:rFonts w:ascii="Times New Roman" w:eastAsia="PMingLiU" w:hAnsi="Times New Roman"/>
          <w:b w:val="0"/>
          <w:kern w:val="0"/>
          <w:szCs w:val="28"/>
          <w:lang w:eastAsia="zh-TW"/>
        </w:rPr>
        <w:t>1041</w:t>
      </w:r>
      <w:r w:rsidR="00265723">
        <w:rPr>
          <w:rFonts w:ascii="Times New Roman" w:eastAsia="PMingLiU" w:hAnsi="Times New Roman"/>
          <w:b w:val="0"/>
          <w:kern w:val="0"/>
          <w:szCs w:val="28"/>
          <w:lang w:eastAsia="zh-TW"/>
        </w:rPr>
        <w:t>/201</w:t>
      </w:r>
      <w:r w:rsidR="00F752CE">
        <w:rPr>
          <w:rFonts w:ascii="Times New Roman" w:eastAsia="PMingLiU" w:hAnsi="Times New Roman"/>
          <w:b w:val="0"/>
          <w:kern w:val="0"/>
          <w:szCs w:val="28"/>
          <w:lang w:eastAsia="zh-TW"/>
        </w:rPr>
        <w:t>8</w:t>
      </w:r>
    </w:p>
    <w:p w:rsidR="0038513F" w:rsidRPr="0031447E" w:rsidRDefault="000F0B3D" w:rsidP="0031447E">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31447E" w:rsidRPr="0031447E">
            <w:rPr>
              <w:rStyle w:val="PlaceholderText"/>
              <w:color w:val="auto"/>
            </w:rPr>
            <w:t xml:space="preserve">[2022] HKDC </w:t>
          </w:r>
          <w:r w:rsidR="005102BA">
            <w:rPr>
              <w:rStyle w:val="PlaceholderText"/>
              <w:color w:val="auto"/>
            </w:rPr>
            <w:t>420</w:t>
          </w:r>
        </w:sdtContent>
      </w:sdt>
    </w:p>
    <w:p w:rsidR="00EF528F" w:rsidRPr="003304EA" w:rsidRDefault="00EF528F" w:rsidP="0031447E">
      <w:pPr>
        <w:spacing w:line="360" w:lineRule="auto"/>
        <w:rPr>
          <w:rFonts w:eastAsia="PMingLiU"/>
          <w:szCs w:val="28"/>
          <w:lang w:val="en-GB" w:eastAsia="zh-TW"/>
        </w:rPr>
      </w:pPr>
    </w:p>
    <w:p w:rsidR="00183AAF" w:rsidRPr="003304EA" w:rsidRDefault="00183AAF" w:rsidP="00B62226">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6E39C1">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6E39C1">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183AAF" w:rsidRPr="003304EA" w:rsidRDefault="006E39C1" w:rsidP="006E39C1">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3304EA">
        <w:rPr>
          <w:rFonts w:ascii="Times New Roman" w:hAnsi="Times New Roman"/>
          <w:b w:val="0"/>
          <w:kern w:val="0"/>
          <w:szCs w:val="28"/>
          <w:lang w:val="en-US"/>
        </w:rPr>
        <w:t xml:space="preserve">PERSONAL INJURIES ACTION NO </w:t>
      </w:r>
      <w:r w:rsidR="00F752CE">
        <w:rPr>
          <w:rFonts w:ascii="Times New Roman" w:hAnsi="Times New Roman"/>
          <w:b w:val="0"/>
          <w:kern w:val="0"/>
          <w:szCs w:val="28"/>
          <w:lang w:val="en-US"/>
        </w:rPr>
        <w:t>1041</w:t>
      </w:r>
      <w:r w:rsidRPr="003304EA">
        <w:rPr>
          <w:rFonts w:ascii="Times New Roman" w:hAnsi="Times New Roman"/>
          <w:b w:val="0"/>
          <w:kern w:val="0"/>
          <w:szCs w:val="28"/>
          <w:lang w:val="en-US"/>
        </w:rPr>
        <w:t xml:space="preserve"> OF 201</w:t>
      </w:r>
      <w:r w:rsidR="00F752CE">
        <w:rPr>
          <w:rFonts w:ascii="Times New Roman" w:hAnsi="Times New Roman"/>
          <w:b w:val="0"/>
          <w:kern w:val="0"/>
          <w:szCs w:val="28"/>
          <w:lang w:val="en-US"/>
        </w:rPr>
        <w:t>8</w:t>
      </w:r>
      <w:r w:rsidRPr="003304EA">
        <w:rPr>
          <w:rFonts w:ascii="Times New Roman" w:eastAsia="PMingLiU" w:hAnsi="Times New Roman"/>
          <w:b w:val="0"/>
          <w:kern w:val="0"/>
          <w:szCs w:val="28"/>
          <w:lang w:eastAsia="zh-TW"/>
        </w:rPr>
        <w:t xml:space="preserve"> </w:t>
      </w:r>
    </w:p>
    <w:p w:rsidR="00FB72FF" w:rsidRPr="006E39C1" w:rsidRDefault="00FB72FF" w:rsidP="00B62226">
      <w:pPr>
        <w:spacing w:line="360" w:lineRule="auto"/>
        <w:rPr>
          <w:szCs w:val="28"/>
          <w:lang w:val="en-GB" w:eastAsia="zh-TW"/>
        </w:rPr>
      </w:pPr>
    </w:p>
    <w:p w:rsidR="00FB72FF" w:rsidRPr="00A64F2D" w:rsidRDefault="00FB72FF" w:rsidP="00B62226">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6E39C1">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6E39C1" w:rsidRPr="006E39C1" w:rsidRDefault="006E39C1" w:rsidP="007D0DA8">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5102BA">
        <w:rPr>
          <w:rFonts w:eastAsia="PMingLiU"/>
        </w:rPr>
        <w:t>LUI CHO YIN</w:t>
      </w:r>
      <w:r w:rsidRPr="006E39C1">
        <w:rPr>
          <w:bCs/>
          <w:szCs w:val="28"/>
          <w:lang w:val="en-GB"/>
        </w:rPr>
        <w:tab/>
        <w:t>Plaintiff</w:t>
      </w:r>
    </w:p>
    <w:p w:rsidR="003304EA" w:rsidRPr="00265723" w:rsidRDefault="006E39C1" w:rsidP="00265723">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5102BA" w:rsidRPr="00DB062A" w:rsidRDefault="005102BA" w:rsidP="005102BA">
      <w:pPr>
        <w:tabs>
          <w:tab w:val="clear" w:pos="4320"/>
          <w:tab w:val="center" w:pos="4140"/>
          <w:tab w:val="right" w:pos="8280"/>
        </w:tabs>
        <w:spacing w:line="360" w:lineRule="auto"/>
        <w:jc w:val="both"/>
        <w:rPr>
          <w:rFonts w:eastAsia="PMingLiU"/>
          <w:bCs/>
        </w:rPr>
      </w:pPr>
      <w:r w:rsidRPr="00DB062A">
        <w:rPr>
          <w:rFonts w:eastAsia="PMingLiU"/>
        </w:rPr>
        <w:tab/>
      </w:r>
      <w:r>
        <w:rPr>
          <w:rFonts w:eastAsia="PMingLiU"/>
        </w:rPr>
        <w:tab/>
      </w:r>
      <w:r>
        <w:rPr>
          <w:rFonts w:eastAsia="PMingLiU" w:hint="eastAsia"/>
          <w:lang w:eastAsia="zh-HK"/>
        </w:rPr>
        <w:t>雷健邦</w:t>
      </w:r>
      <w:r w:rsidRPr="00DB062A">
        <w:rPr>
          <w:rFonts w:eastAsia="PMingLiU"/>
          <w:bCs/>
        </w:rPr>
        <w:tab/>
        <w:t>1</w:t>
      </w:r>
      <w:r w:rsidRPr="00DB062A">
        <w:rPr>
          <w:rFonts w:eastAsia="PMingLiU"/>
          <w:bCs/>
          <w:vertAlign w:val="superscript"/>
        </w:rPr>
        <w:t>st</w:t>
      </w:r>
      <w:r w:rsidRPr="00DB062A">
        <w:rPr>
          <w:rFonts w:eastAsia="PMingLiU"/>
          <w:bCs/>
        </w:rPr>
        <w:t xml:space="preserve"> Defendant</w:t>
      </w:r>
    </w:p>
    <w:p w:rsidR="005102BA" w:rsidRDefault="005102BA" w:rsidP="005102BA">
      <w:pPr>
        <w:tabs>
          <w:tab w:val="clear" w:pos="1440"/>
          <w:tab w:val="left" w:pos="1620"/>
          <w:tab w:val="center" w:pos="4140"/>
          <w:tab w:val="right" w:pos="8280"/>
        </w:tabs>
        <w:jc w:val="both"/>
        <w:rPr>
          <w:bCs/>
        </w:rPr>
      </w:pPr>
      <w:r w:rsidRPr="00DB062A">
        <w:rPr>
          <w:rFonts w:eastAsia="PMingLiU"/>
          <w:bCs/>
        </w:rPr>
        <w:tab/>
      </w:r>
      <w:r>
        <w:rPr>
          <w:bCs/>
        </w:rPr>
        <w:t>HONG KONG FACILITY</w:t>
      </w:r>
      <w:r w:rsidRPr="002A51EC">
        <w:rPr>
          <w:bCs/>
        </w:rPr>
        <w:t xml:space="preserve"> </w:t>
      </w:r>
      <w:r>
        <w:rPr>
          <w:bCs/>
        </w:rPr>
        <w:t>SOLUTIONS</w:t>
      </w:r>
      <w:r>
        <w:rPr>
          <w:bCs/>
        </w:rPr>
        <w:tab/>
      </w:r>
      <w:r w:rsidRPr="00DB062A">
        <w:rPr>
          <w:rFonts w:eastAsia="PMingLiU"/>
          <w:bCs/>
        </w:rPr>
        <w:t>2</w:t>
      </w:r>
      <w:r w:rsidRPr="00DB062A">
        <w:rPr>
          <w:rFonts w:eastAsia="PMingLiU"/>
          <w:bCs/>
          <w:vertAlign w:val="superscript"/>
        </w:rPr>
        <w:t>nd</w:t>
      </w:r>
      <w:r w:rsidRPr="00DB062A">
        <w:rPr>
          <w:rFonts w:eastAsia="PMingLiU"/>
          <w:bCs/>
        </w:rPr>
        <w:t xml:space="preserve"> Defendant</w:t>
      </w:r>
    </w:p>
    <w:p w:rsidR="005102BA" w:rsidRPr="00C85342" w:rsidRDefault="005102BA" w:rsidP="005102BA">
      <w:pPr>
        <w:tabs>
          <w:tab w:val="clear" w:pos="1440"/>
          <w:tab w:val="left" w:pos="1620"/>
          <w:tab w:val="center" w:pos="4140"/>
          <w:tab w:val="right" w:pos="8280"/>
        </w:tabs>
        <w:spacing w:line="360" w:lineRule="auto"/>
        <w:jc w:val="both"/>
        <w:rPr>
          <w:rFonts w:eastAsia="PMingLiU"/>
          <w:bCs/>
        </w:rPr>
      </w:pPr>
      <w:r>
        <w:rPr>
          <w:bCs/>
        </w:rPr>
        <w:tab/>
        <w:t>COMPANY LIMITED</w:t>
      </w:r>
    </w:p>
    <w:p w:rsidR="005102BA" w:rsidRDefault="005102BA" w:rsidP="005102BA">
      <w:pPr>
        <w:tabs>
          <w:tab w:val="clear" w:pos="1440"/>
          <w:tab w:val="clear" w:pos="4320"/>
          <w:tab w:val="left" w:pos="1980"/>
          <w:tab w:val="center" w:pos="4140"/>
          <w:tab w:val="right" w:pos="8280"/>
        </w:tabs>
        <w:jc w:val="both"/>
        <w:rPr>
          <w:bCs/>
        </w:rPr>
      </w:pPr>
      <w:r w:rsidRPr="00DB062A">
        <w:rPr>
          <w:rFonts w:eastAsia="PMingLiU"/>
          <w:bCs/>
        </w:rPr>
        <w:tab/>
      </w:r>
      <w:r>
        <w:rPr>
          <w:bCs/>
        </w:rPr>
        <w:t>DAH FUNG HONG (HOLDINGS)</w:t>
      </w:r>
      <w:r>
        <w:rPr>
          <w:bCs/>
        </w:rPr>
        <w:tab/>
      </w:r>
      <w:r>
        <w:rPr>
          <w:rFonts w:eastAsia="PMingLiU"/>
          <w:bCs/>
        </w:rPr>
        <w:t>3</w:t>
      </w:r>
      <w:r w:rsidRPr="00C85342">
        <w:rPr>
          <w:rFonts w:eastAsia="PMingLiU"/>
          <w:bCs/>
          <w:vertAlign w:val="superscript"/>
        </w:rPr>
        <w:t>rd</w:t>
      </w:r>
      <w:r>
        <w:rPr>
          <w:rFonts w:eastAsia="PMingLiU"/>
          <w:bCs/>
        </w:rPr>
        <w:t xml:space="preserve"> </w:t>
      </w:r>
      <w:r w:rsidRPr="00DB062A">
        <w:rPr>
          <w:rFonts w:eastAsia="PMingLiU"/>
          <w:bCs/>
        </w:rPr>
        <w:t>Defendant</w:t>
      </w:r>
    </w:p>
    <w:p w:rsidR="005102BA" w:rsidRDefault="005102BA" w:rsidP="005102BA">
      <w:pPr>
        <w:tabs>
          <w:tab w:val="clear" w:pos="1440"/>
          <w:tab w:val="clear" w:pos="4320"/>
          <w:tab w:val="left" w:pos="1980"/>
          <w:tab w:val="center" w:pos="4140"/>
          <w:tab w:val="right" w:pos="8280"/>
        </w:tabs>
        <w:jc w:val="both"/>
        <w:rPr>
          <w:bCs/>
        </w:rPr>
      </w:pPr>
      <w:r>
        <w:rPr>
          <w:bCs/>
        </w:rPr>
        <w:tab/>
        <w:t xml:space="preserve">COMPANY LIMITED trading as </w:t>
      </w:r>
    </w:p>
    <w:p w:rsidR="005102BA" w:rsidRPr="00C85342" w:rsidRDefault="005102BA" w:rsidP="005102BA">
      <w:pPr>
        <w:tabs>
          <w:tab w:val="clear" w:pos="1440"/>
          <w:tab w:val="clear" w:pos="4320"/>
          <w:tab w:val="left" w:pos="1980"/>
          <w:tab w:val="center" w:pos="4140"/>
          <w:tab w:val="right" w:pos="8280"/>
        </w:tabs>
        <w:spacing w:line="360" w:lineRule="auto"/>
        <w:jc w:val="both"/>
        <w:rPr>
          <w:rFonts w:eastAsia="PMingLiU"/>
          <w:bCs/>
        </w:rPr>
      </w:pPr>
      <w:r>
        <w:rPr>
          <w:bCs/>
        </w:rPr>
        <w:tab/>
        <w:t>DAH FUNG SERVICE</w:t>
      </w:r>
    </w:p>
    <w:p w:rsidR="00FB72FF" w:rsidRPr="00A64F2D" w:rsidRDefault="00FB72FF" w:rsidP="003304E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Default="006E39C1" w:rsidP="00243E2D">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5102BA" w:rsidRPr="00DB062A" w:rsidRDefault="005102BA" w:rsidP="005102BA">
      <w:pPr>
        <w:tabs>
          <w:tab w:val="center" w:pos="4234"/>
          <w:tab w:val="right" w:pos="8453"/>
        </w:tabs>
        <w:spacing w:line="360" w:lineRule="auto"/>
        <w:jc w:val="both"/>
        <w:rPr>
          <w:rFonts w:eastAsia="PMingLiU"/>
          <w:lang w:val="en-GB"/>
        </w:rPr>
      </w:pPr>
      <w:r w:rsidRPr="00DB062A">
        <w:rPr>
          <w:rFonts w:eastAsia="PMingLiU"/>
          <w:lang w:val="en-GB"/>
        </w:rPr>
        <w:t xml:space="preserve">Before:  Deputy District Judge </w:t>
      </w:r>
      <w:r>
        <w:rPr>
          <w:rFonts w:eastAsia="PMingLiU"/>
        </w:rPr>
        <w:t>Liza Jane Cruden</w:t>
      </w:r>
      <w:r w:rsidRPr="00DB062A">
        <w:rPr>
          <w:rFonts w:eastAsia="PMingLiU"/>
        </w:rPr>
        <w:t xml:space="preserve"> in </w:t>
      </w:r>
      <w:r>
        <w:rPr>
          <w:rFonts w:eastAsia="PMingLiU"/>
        </w:rPr>
        <w:t>Chambers</w:t>
      </w:r>
    </w:p>
    <w:p w:rsidR="005102BA" w:rsidRDefault="005102BA" w:rsidP="005102BA">
      <w:pPr>
        <w:tabs>
          <w:tab w:val="center" w:pos="4234"/>
          <w:tab w:val="right" w:pos="8453"/>
        </w:tabs>
        <w:spacing w:line="360" w:lineRule="auto"/>
        <w:jc w:val="both"/>
        <w:rPr>
          <w:rFonts w:eastAsia="PMingLiU"/>
          <w:lang w:val="en-GB"/>
        </w:rPr>
      </w:pPr>
      <w:r w:rsidRPr="00DB062A">
        <w:rPr>
          <w:rFonts w:eastAsia="PMingLiU"/>
          <w:lang w:val="en-GB"/>
        </w:rPr>
        <w:t xml:space="preserve">Date of </w:t>
      </w:r>
      <w:r>
        <w:rPr>
          <w:rFonts w:eastAsia="PMingLiU"/>
          <w:lang w:val="en-GB"/>
        </w:rPr>
        <w:t>Plaintiff’s written submission</w:t>
      </w:r>
      <w:r w:rsidRPr="00DB062A">
        <w:rPr>
          <w:rFonts w:eastAsia="PMingLiU"/>
          <w:lang w:val="en-GB"/>
        </w:rPr>
        <w:t xml:space="preserve">:  </w:t>
      </w:r>
      <w:r>
        <w:rPr>
          <w:rFonts w:eastAsia="PMingLiU"/>
          <w:lang w:val="en-GB"/>
        </w:rPr>
        <w:t>27 January &amp; 17 February 2022</w:t>
      </w:r>
    </w:p>
    <w:p w:rsidR="005102BA" w:rsidRDefault="005102BA" w:rsidP="005102BA">
      <w:pPr>
        <w:tabs>
          <w:tab w:val="center" w:pos="4234"/>
          <w:tab w:val="right" w:pos="8453"/>
        </w:tabs>
        <w:spacing w:line="360" w:lineRule="auto"/>
        <w:jc w:val="both"/>
        <w:rPr>
          <w:rFonts w:eastAsia="PMingLiU"/>
          <w:lang w:val="en-GB"/>
        </w:rPr>
      </w:pPr>
      <w:r w:rsidRPr="00DB062A">
        <w:rPr>
          <w:rFonts w:eastAsia="PMingLiU"/>
          <w:lang w:val="en-GB"/>
        </w:rPr>
        <w:t xml:space="preserve">Date of </w:t>
      </w:r>
      <w:r>
        <w:rPr>
          <w:rFonts w:eastAsia="PMingLiU"/>
          <w:lang w:val="en-GB"/>
        </w:rPr>
        <w:t>2</w:t>
      </w:r>
      <w:r w:rsidRPr="00023F78">
        <w:rPr>
          <w:rFonts w:eastAsia="PMingLiU"/>
          <w:vertAlign w:val="superscript"/>
          <w:lang w:val="en-GB"/>
        </w:rPr>
        <w:t>nd</w:t>
      </w:r>
      <w:r>
        <w:rPr>
          <w:rFonts w:eastAsia="PMingLiU"/>
          <w:lang w:val="en-GB"/>
        </w:rPr>
        <w:t xml:space="preserve"> Defendant’s written submission</w:t>
      </w:r>
      <w:r w:rsidRPr="00DB062A">
        <w:rPr>
          <w:rFonts w:eastAsia="PMingLiU"/>
          <w:lang w:val="en-GB"/>
        </w:rPr>
        <w:t xml:space="preserve">:  </w:t>
      </w:r>
      <w:r>
        <w:rPr>
          <w:rFonts w:eastAsia="PMingLiU"/>
          <w:lang w:val="en-GB"/>
        </w:rPr>
        <w:t>2 March 2022</w:t>
      </w:r>
    </w:p>
    <w:p w:rsidR="005102BA" w:rsidRPr="00DB062A" w:rsidRDefault="005102BA" w:rsidP="005102BA">
      <w:pPr>
        <w:tabs>
          <w:tab w:val="center" w:pos="4234"/>
          <w:tab w:val="right" w:pos="8453"/>
        </w:tabs>
        <w:spacing w:line="360" w:lineRule="auto"/>
        <w:jc w:val="both"/>
        <w:rPr>
          <w:rFonts w:eastAsia="PMingLiU"/>
        </w:rPr>
      </w:pPr>
      <w:r w:rsidRPr="00DB062A">
        <w:rPr>
          <w:rFonts w:eastAsia="PMingLiU"/>
          <w:lang w:val="en-GB"/>
        </w:rPr>
        <w:t xml:space="preserve">Date of </w:t>
      </w:r>
      <w:r>
        <w:rPr>
          <w:rFonts w:eastAsia="PMingLiU"/>
          <w:lang w:val="en-GB"/>
        </w:rPr>
        <w:t>Plaintiff’s written reply submission</w:t>
      </w:r>
      <w:r w:rsidRPr="00DB062A">
        <w:rPr>
          <w:rFonts w:eastAsia="PMingLiU"/>
          <w:lang w:val="en-GB"/>
        </w:rPr>
        <w:t xml:space="preserve">:  </w:t>
      </w:r>
      <w:r>
        <w:rPr>
          <w:rFonts w:eastAsia="PMingLiU"/>
          <w:lang w:val="en-GB"/>
        </w:rPr>
        <w:t>16 March 2022</w:t>
      </w:r>
    </w:p>
    <w:p w:rsidR="005102BA" w:rsidRPr="00DB062A" w:rsidRDefault="005102BA" w:rsidP="005102BA">
      <w:pPr>
        <w:tabs>
          <w:tab w:val="center" w:pos="4234"/>
          <w:tab w:val="right" w:pos="8453"/>
        </w:tabs>
        <w:spacing w:line="360" w:lineRule="auto"/>
        <w:jc w:val="both"/>
        <w:rPr>
          <w:rFonts w:eastAsia="PMingLiU"/>
          <w:lang w:val="en-GB"/>
        </w:rPr>
      </w:pPr>
      <w:r w:rsidRPr="00DB062A">
        <w:rPr>
          <w:rFonts w:eastAsia="PMingLiU"/>
          <w:lang w:val="en-GB"/>
        </w:rPr>
        <w:t xml:space="preserve">Date of </w:t>
      </w:r>
      <w:r>
        <w:rPr>
          <w:rFonts w:eastAsia="PMingLiU"/>
          <w:lang w:val="en-GB"/>
        </w:rPr>
        <w:t>Decision</w:t>
      </w:r>
      <w:r w:rsidRPr="00DB062A">
        <w:rPr>
          <w:rFonts w:eastAsia="PMingLiU"/>
          <w:lang w:val="en-GB"/>
        </w:rPr>
        <w:t xml:space="preserve">:  </w:t>
      </w:r>
      <w:r w:rsidR="008F7932">
        <w:rPr>
          <w:rFonts w:eastAsia="PMingLiU"/>
          <w:lang w:val="en-GB"/>
        </w:rPr>
        <w:t>19</w:t>
      </w:r>
      <w:r>
        <w:rPr>
          <w:rFonts w:eastAsia="PMingLiU"/>
        </w:rPr>
        <w:t xml:space="preserve"> May</w:t>
      </w:r>
      <w:r w:rsidRPr="002A2047">
        <w:rPr>
          <w:rFonts w:eastAsia="PMingLiU"/>
        </w:rPr>
        <w:t xml:space="preserve"> 202</w:t>
      </w:r>
      <w:r>
        <w:rPr>
          <w:rFonts w:eastAsia="PMingLiU"/>
        </w:rPr>
        <w:t>2</w:t>
      </w:r>
    </w:p>
    <w:p w:rsidR="006E39C1" w:rsidRPr="006E39C1" w:rsidRDefault="006E39C1" w:rsidP="00243E2D">
      <w:pPr>
        <w:tabs>
          <w:tab w:val="clear" w:pos="1440"/>
          <w:tab w:val="clear" w:pos="4320"/>
          <w:tab w:val="clear" w:pos="9072"/>
          <w:tab w:val="left" w:pos="2160"/>
        </w:tabs>
        <w:snapToGrid/>
        <w:spacing w:line="360" w:lineRule="auto"/>
        <w:ind w:left="2160" w:hanging="2160"/>
        <w:jc w:val="both"/>
        <w:rPr>
          <w:bCs/>
          <w:szCs w:val="28"/>
        </w:rPr>
      </w:pPr>
    </w:p>
    <w:p w:rsidR="006E39C1" w:rsidRPr="006E39C1" w:rsidRDefault="005102BA" w:rsidP="00243E2D">
      <w:pPr>
        <w:tabs>
          <w:tab w:val="clear" w:pos="1440"/>
          <w:tab w:val="clear" w:pos="4320"/>
          <w:tab w:val="clear" w:pos="9072"/>
        </w:tabs>
        <w:snapToGrid/>
        <w:spacing w:line="360" w:lineRule="auto"/>
        <w:jc w:val="center"/>
        <w:rPr>
          <w:bCs/>
          <w:szCs w:val="28"/>
          <w:lang w:val="en-GB"/>
        </w:rPr>
      </w:pPr>
      <w:r>
        <w:rPr>
          <w:bCs/>
          <w:szCs w:val="28"/>
          <w:lang w:val="en-GB"/>
        </w:rPr>
        <w:t>----------------------</w:t>
      </w:r>
    </w:p>
    <w:p w:rsidR="006E39C1" w:rsidRPr="006E39C1" w:rsidRDefault="005102BA" w:rsidP="00243E2D">
      <w:pPr>
        <w:tabs>
          <w:tab w:val="clear" w:pos="1440"/>
          <w:tab w:val="clear" w:pos="4320"/>
          <w:tab w:val="clear" w:pos="9072"/>
        </w:tabs>
        <w:snapToGrid/>
        <w:spacing w:line="360" w:lineRule="auto"/>
        <w:jc w:val="center"/>
        <w:rPr>
          <w:bCs/>
          <w:szCs w:val="28"/>
          <w:lang w:val="en-GB"/>
        </w:rPr>
      </w:pPr>
      <w:r>
        <w:rPr>
          <w:bCs/>
          <w:szCs w:val="28"/>
          <w:lang w:val="en-GB"/>
        </w:rPr>
        <w:t>DECISION</w:t>
      </w:r>
    </w:p>
    <w:p w:rsidR="006E39C1" w:rsidRPr="006E39C1" w:rsidRDefault="005102BA" w:rsidP="00243E2D">
      <w:pPr>
        <w:tabs>
          <w:tab w:val="clear" w:pos="1440"/>
          <w:tab w:val="clear" w:pos="4320"/>
          <w:tab w:val="clear" w:pos="9072"/>
        </w:tabs>
        <w:snapToGrid/>
        <w:spacing w:line="360" w:lineRule="auto"/>
        <w:jc w:val="center"/>
        <w:rPr>
          <w:bCs/>
          <w:szCs w:val="28"/>
          <w:lang w:val="en-GB"/>
        </w:rPr>
      </w:pPr>
      <w:r>
        <w:rPr>
          <w:bCs/>
          <w:szCs w:val="28"/>
          <w:lang w:val="en-GB"/>
        </w:rPr>
        <w:t>----------------------</w:t>
      </w:r>
    </w:p>
    <w:p w:rsidR="006E39C1" w:rsidRDefault="006E39C1" w:rsidP="00243E2D">
      <w:pPr>
        <w:tabs>
          <w:tab w:val="clear" w:pos="1440"/>
          <w:tab w:val="clear" w:pos="4320"/>
          <w:tab w:val="clear" w:pos="9072"/>
        </w:tabs>
        <w:snapToGrid/>
        <w:spacing w:line="360" w:lineRule="auto"/>
        <w:ind w:left="90" w:hanging="90"/>
        <w:jc w:val="both"/>
        <w:rPr>
          <w:szCs w:val="28"/>
        </w:rPr>
      </w:pPr>
    </w:p>
    <w:p w:rsidR="007E4545" w:rsidRPr="00AA2F90" w:rsidRDefault="007E4545" w:rsidP="00151318">
      <w:pPr>
        <w:spacing w:line="360" w:lineRule="auto"/>
        <w:jc w:val="both"/>
        <w:rPr>
          <w:i/>
          <w:iCs/>
          <w:lang w:val="en-GB"/>
        </w:rPr>
      </w:pPr>
      <w:r w:rsidRPr="00AA2F90">
        <w:rPr>
          <w:i/>
          <w:iCs/>
          <w:lang w:val="en-GB"/>
        </w:rPr>
        <w:lastRenderedPageBreak/>
        <w:t>Introduction</w:t>
      </w:r>
    </w:p>
    <w:p w:rsidR="007E4545" w:rsidRPr="003F4DF9" w:rsidRDefault="007E4545" w:rsidP="00151318">
      <w:pPr>
        <w:spacing w:line="360" w:lineRule="auto"/>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On 30</w:t>
      </w:r>
      <w:r w:rsidR="00151318">
        <w:rPr>
          <w:lang w:val="en-GB"/>
        </w:rPr>
        <w:t xml:space="preserve"> December </w:t>
      </w:r>
      <w:r>
        <w:rPr>
          <w:lang w:val="en-GB"/>
        </w:rPr>
        <w:t xml:space="preserve">2021, I handed down a Decision </w:t>
      </w:r>
      <w:r w:rsidRPr="00377885">
        <w:rPr>
          <w:lang w:val="en-GB"/>
        </w:rPr>
        <w:t>(“</w:t>
      </w:r>
      <w:r w:rsidRPr="00AA2F90">
        <w:rPr>
          <w:lang w:val="en-GB"/>
        </w:rPr>
        <w:t>Decision</w:t>
      </w:r>
      <w:r w:rsidRPr="00377885">
        <w:rPr>
          <w:lang w:val="en-GB"/>
        </w:rPr>
        <w:t>”)</w:t>
      </w:r>
      <w:r>
        <w:rPr>
          <w:lang w:val="en-GB"/>
        </w:rPr>
        <w:t xml:space="preserve"> allowing the 2</w:t>
      </w:r>
      <w:r w:rsidRPr="00AA2F90">
        <w:rPr>
          <w:vertAlign w:val="superscript"/>
          <w:lang w:val="en-GB"/>
        </w:rPr>
        <w:t>nd</w:t>
      </w:r>
      <w:r>
        <w:rPr>
          <w:lang w:val="en-GB"/>
        </w:rPr>
        <w:t xml:space="preserve"> defendant’s appeal from the Decision of Master Matthew Leung dated 19</w:t>
      </w:r>
      <w:r w:rsidR="00151318">
        <w:rPr>
          <w:lang w:val="en-GB"/>
        </w:rPr>
        <w:t xml:space="preserve"> March </w:t>
      </w:r>
      <w:r>
        <w:rPr>
          <w:lang w:val="en-GB"/>
        </w:rPr>
        <w:t xml:space="preserve">2021.  </w:t>
      </w:r>
    </w:p>
    <w:p w:rsidR="007E4545" w:rsidRPr="005B4C9E" w:rsidRDefault="007E4545" w:rsidP="00151318">
      <w:pPr>
        <w:tabs>
          <w:tab w:val="num" w:pos="1440"/>
        </w:tabs>
        <w:spacing w:line="360" w:lineRule="auto"/>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 xml:space="preserve">At §§142-143 of the Decision, I ordered that the Master’s Decision be set aside, that the plaintiff’s statement of </w:t>
      </w:r>
      <w:r w:rsidRPr="00377885">
        <w:rPr>
          <w:lang w:val="en-GB"/>
        </w:rPr>
        <w:t>claim (“</w:t>
      </w:r>
      <w:r w:rsidRPr="00AA2F90">
        <w:rPr>
          <w:lang w:val="en-GB"/>
        </w:rPr>
        <w:t>SoC</w:t>
      </w:r>
      <w:r w:rsidRPr="00377885">
        <w:rPr>
          <w:lang w:val="en-GB"/>
        </w:rPr>
        <w:t>”)</w:t>
      </w:r>
      <w:r>
        <w:rPr>
          <w:lang w:val="en-GB"/>
        </w:rPr>
        <w:t xml:space="preserve"> as against the 2</w:t>
      </w:r>
      <w:r w:rsidRPr="00AA2F90">
        <w:rPr>
          <w:vertAlign w:val="superscript"/>
          <w:lang w:val="en-GB"/>
        </w:rPr>
        <w:t>nd</w:t>
      </w:r>
      <w:r>
        <w:rPr>
          <w:lang w:val="en-GB"/>
        </w:rPr>
        <w:t xml:space="preserve"> defendant be struck out for it discloses no reasonable cause of action, that the plaintiff’s action against the 2</w:t>
      </w:r>
      <w:r w:rsidRPr="00AA2F90">
        <w:rPr>
          <w:vertAlign w:val="superscript"/>
          <w:lang w:val="en-GB"/>
        </w:rPr>
        <w:t>nd</w:t>
      </w:r>
      <w:r>
        <w:rPr>
          <w:lang w:val="en-GB"/>
        </w:rPr>
        <w:t xml:space="preserve"> defendant be dismissed, and that the 2</w:t>
      </w:r>
      <w:r w:rsidRPr="00AA2F90">
        <w:rPr>
          <w:vertAlign w:val="superscript"/>
          <w:lang w:val="en-GB"/>
        </w:rPr>
        <w:t>nd</w:t>
      </w:r>
      <w:r>
        <w:rPr>
          <w:lang w:val="en-GB"/>
        </w:rPr>
        <w:t xml:space="preserve"> defendant be awarded its costs.</w:t>
      </w:r>
    </w:p>
    <w:p w:rsidR="007E4545" w:rsidRPr="001A01E9" w:rsidRDefault="007E4545" w:rsidP="00151318">
      <w:pPr>
        <w:tabs>
          <w:tab w:val="num" w:pos="1440"/>
        </w:tabs>
        <w:spacing w:line="360" w:lineRule="auto"/>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On 27</w:t>
      </w:r>
      <w:r w:rsidR="00151318">
        <w:rPr>
          <w:lang w:val="en-GB"/>
        </w:rPr>
        <w:t xml:space="preserve"> January </w:t>
      </w:r>
      <w:r>
        <w:rPr>
          <w:lang w:val="en-GB"/>
        </w:rPr>
        <w:t>2022, the plaintiff filed a summons seeking leave to appeal against the Decision (“Summons”).</w:t>
      </w:r>
      <w:r w:rsidR="00151318">
        <w:rPr>
          <w:lang w:val="en-GB"/>
        </w:rPr>
        <w:t xml:space="preserve"> </w:t>
      </w:r>
      <w:r>
        <w:rPr>
          <w:lang w:val="en-GB"/>
        </w:rPr>
        <w:t xml:space="preserve"> The Summons states:</w:t>
      </w:r>
      <w:r w:rsidR="00151318">
        <w:rPr>
          <w:lang w:val="en-GB"/>
        </w:rPr>
        <w:t>-</w:t>
      </w:r>
    </w:p>
    <w:p w:rsidR="007E4545" w:rsidRPr="007E7777" w:rsidRDefault="007E4545" w:rsidP="00151318">
      <w:pPr>
        <w:pStyle w:val="ListParagraph"/>
        <w:tabs>
          <w:tab w:val="num" w:pos="1440"/>
        </w:tabs>
        <w:spacing w:line="360" w:lineRule="auto"/>
        <w:ind w:left="0"/>
        <w:rPr>
          <w:lang w:val="en-GB"/>
        </w:rPr>
      </w:pPr>
    </w:p>
    <w:p w:rsidR="007E4545" w:rsidRPr="00151318" w:rsidRDefault="007E4545" w:rsidP="00151318">
      <w:pPr>
        <w:pStyle w:val="ListParagraph"/>
        <w:tabs>
          <w:tab w:val="num" w:pos="1440"/>
        </w:tabs>
        <w:ind w:left="1440" w:right="746"/>
        <w:jc w:val="both"/>
        <w:rPr>
          <w:sz w:val="24"/>
          <w:szCs w:val="24"/>
          <w:lang w:val="en-GB"/>
        </w:rPr>
      </w:pPr>
      <w:r w:rsidRPr="00151318">
        <w:rPr>
          <w:i/>
          <w:iCs/>
          <w:sz w:val="24"/>
          <w:szCs w:val="24"/>
          <w:lang w:val="en-GB"/>
        </w:rPr>
        <w:t>“2. The Grounds of intended appeal will be as follows:- The learned judge erred in applying  Luen Hing Fat Coating &amp; Finishing Factory Ltd v Waan Chuen Ming (2011) 14 in her Decision, which is distinguishable on facts from those of the present Action</w:t>
      </w:r>
      <w:r w:rsidRPr="00151318">
        <w:rPr>
          <w:sz w:val="24"/>
          <w:szCs w:val="24"/>
          <w:lang w:val="en-GB"/>
        </w:rPr>
        <w:t>”</w:t>
      </w:r>
    </w:p>
    <w:p w:rsidR="007E4545" w:rsidRPr="00D56BF7" w:rsidRDefault="007E4545" w:rsidP="00151318">
      <w:pPr>
        <w:pStyle w:val="ListParagraph"/>
        <w:tabs>
          <w:tab w:val="num" w:pos="1440"/>
        </w:tabs>
        <w:spacing w:line="360" w:lineRule="auto"/>
        <w:ind w:left="0"/>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On 11</w:t>
      </w:r>
      <w:r w:rsidR="00151318">
        <w:rPr>
          <w:lang w:val="en-GB"/>
        </w:rPr>
        <w:t xml:space="preserve"> February </w:t>
      </w:r>
      <w:r>
        <w:rPr>
          <w:lang w:val="en-GB"/>
        </w:rPr>
        <w:t>2022, I directed that the plaintiff’s leave application be determined on paper without an oral hearing.</w:t>
      </w:r>
      <w:r w:rsidR="00151318">
        <w:rPr>
          <w:lang w:val="en-GB"/>
        </w:rPr>
        <w:t xml:space="preserve"> </w:t>
      </w:r>
      <w:r>
        <w:rPr>
          <w:lang w:val="en-GB"/>
        </w:rPr>
        <w:t xml:space="preserve"> I also gave directions for the parties to lodge and serve written submissions. </w:t>
      </w:r>
      <w:r w:rsidR="00151318">
        <w:rPr>
          <w:lang w:val="en-GB"/>
        </w:rPr>
        <w:t xml:space="preserve"> </w:t>
      </w:r>
      <w:r>
        <w:rPr>
          <w:lang w:val="en-GB"/>
        </w:rPr>
        <w:t>The plaintiff</w:t>
      </w:r>
      <w:r w:rsidRPr="00F70B13">
        <w:rPr>
          <w:lang w:val="en-GB"/>
        </w:rPr>
        <w:t xml:space="preserve"> lodged and served “</w:t>
      </w:r>
      <w:r w:rsidRPr="00F70B13">
        <w:rPr>
          <w:i/>
          <w:iCs/>
          <w:lang w:val="en-GB"/>
        </w:rPr>
        <w:t>full submissions</w:t>
      </w:r>
      <w:r w:rsidRPr="00F70B13">
        <w:rPr>
          <w:lang w:val="en-GB"/>
        </w:rPr>
        <w:t>” dated 16</w:t>
      </w:r>
      <w:r w:rsidR="00151318">
        <w:rPr>
          <w:lang w:val="en-GB"/>
        </w:rPr>
        <w:t xml:space="preserve"> February </w:t>
      </w:r>
      <w:r w:rsidRPr="00F70B13">
        <w:rPr>
          <w:lang w:val="en-GB"/>
        </w:rPr>
        <w:t>2022 (“P’s Submission</w:t>
      </w:r>
      <w:r>
        <w:rPr>
          <w:lang w:val="en-GB"/>
        </w:rPr>
        <w:t>s</w:t>
      </w:r>
      <w:r w:rsidRPr="00F70B13">
        <w:rPr>
          <w:lang w:val="en-GB"/>
        </w:rPr>
        <w:t xml:space="preserve">”). </w:t>
      </w:r>
      <w:r w:rsidR="00151318">
        <w:rPr>
          <w:lang w:val="en-GB"/>
        </w:rPr>
        <w:t xml:space="preserve"> </w:t>
      </w:r>
      <w:r>
        <w:rPr>
          <w:lang w:val="en-GB"/>
        </w:rPr>
        <w:t>The 2</w:t>
      </w:r>
      <w:r w:rsidRPr="00AA2F90">
        <w:rPr>
          <w:vertAlign w:val="superscript"/>
          <w:lang w:val="en-GB"/>
        </w:rPr>
        <w:t>nd</w:t>
      </w:r>
      <w:r>
        <w:rPr>
          <w:lang w:val="en-GB"/>
        </w:rPr>
        <w:t xml:space="preserve"> defendant</w:t>
      </w:r>
      <w:r w:rsidRPr="00F70B13">
        <w:rPr>
          <w:lang w:val="en-GB"/>
        </w:rPr>
        <w:t xml:space="preserve"> lodged submissions in opposition to</w:t>
      </w:r>
      <w:r>
        <w:rPr>
          <w:lang w:val="en-GB"/>
        </w:rPr>
        <w:t xml:space="preserve"> the</w:t>
      </w:r>
      <w:r w:rsidRPr="00F70B13">
        <w:rPr>
          <w:lang w:val="en-GB"/>
        </w:rPr>
        <w:t xml:space="preserve"> leave application dated 2</w:t>
      </w:r>
      <w:r w:rsidR="00151318">
        <w:rPr>
          <w:lang w:val="en-GB"/>
        </w:rPr>
        <w:t xml:space="preserve"> March </w:t>
      </w:r>
      <w:r w:rsidRPr="00F70B13">
        <w:rPr>
          <w:lang w:val="en-GB"/>
        </w:rPr>
        <w:t>2022 (“D2’s Submissions”).</w:t>
      </w:r>
      <w:r w:rsidR="00151318">
        <w:rPr>
          <w:lang w:val="en-GB"/>
        </w:rPr>
        <w:t xml:space="preserve"> </w:t>
      </w:r>
      <w:r>
        <w:rPr>
          <w:lang w:val="en-GB"/>
        </w:rPr>
        <w:t xml:space="preserve"> It</w:t>
      </w:r>
      <w:r w:rsidRPr="00F70B13">
        <w:rPr>
          <w:lang w:val="en-GB"/>
        </w:rPr>
        <w:t xml:space="preserve"> also prepared a paginated bundle</w:t>
      </w:r>
      <w:r>
        <w:rPr>
          <w:lang w:val="en-GB"/>
        </w:rPr>
        <w:t xml:space="preserve"> (“D2B/page”)</w:t>
      </w:r>
      <w:r w:rsidRPr="00F70B13">
        <w:rPr>
          <w:lang w:val="en-GB"/>
        </w:rPr>
        <w:t>.</w:t>
      </w:r>
      <w:r>
        <w:rPr>
          <w:lang w:val="en-GB"/>
        </w:rPr>
        <w:t xml:space="preserve"> </w:t>
      </w:r>
      <w:r w:rsidR="00ED4073">
        <w:rPr>
          <w:lang w:val="en-GB"/>
        </w:rPr>
        <w:t xml:space="preserve"> </w:t>
      </w:r>
      <w:r>
        <w:rPr>
          <w:lang w:val="en-GB"/>
        </w:rPr>
        <w:t xml:space="preserve">The plaintiff then </w:t>
      </w:r>
      <w:r w:rsidRPr="00100A63">
        <w:rPr>
          <w:lang w:val="en-GB"/>
        </w:rPr>
        <w:t>lodged</w:t>
      </w:r>
      <w:r>
        <w:rPr>
          <w:lang w:val="en-GB"/>
        </w:rPr>
        <w:t xml:space="preserve"> </w:t>
      </w:r>
      <w:r w:rsidRPr="00100A63">
        <w:rPr>
          <w:lang w:val="en-GB"/>
        </w:rPr>
        <w:t>“S</w:t>
      </w:r>
      <w:r w:rsidRPr="00100A63">
        <w:rPr>
          <w:i/>
          <w:iCs/>
          <w:lang w:val="en-GB"/>
        </w:rPr>
        <w:t>ubmissions In Reply of the Plaintiff</w:t>
      </w:r>
      <w:r w:rsidRPr="00100A63">
        <w:rPr>
          <w:lang w:val="en-GB"/>
        </w:rPr>
        <w:t>” dated 14</w:t>
      </w:r>
      <w:r w:rsidR="00ED4073">
        <w:rPr>
          <w:lang w:val="en-GB"/>
        </w:rPr>
        <w:t xml:space="preserve"> March </w:t>
      </w:r>
      <w:r w:rsidRPr="00100A63">
        <w:rPr>
          <w:lang w:val="en-GB"/>
        </w:rPr>
        <w:t>2022 (“P’s Reply Submission</w:t>
      </w:r>
      <w:r>
        <w:rPr>
          <w:lang w:val="en-GB"/>
        </w:rPr>
        <w:t>s</w:t>
      </w:r>
      <w:r w:rsidRPr="00100A63">
        <w:rPr>
          <w:lang w:val="en-GB"/>
        </w:rPr>
        <w:t>”)</w:t>
      </w:r>
      <w:r>
        <w:rPr>
          <w:lang w:val="en-GB"/>
        </w:rPr>
        <w:t>.</w:t>
      </w:r>
      <w:r w:rsidR="00ED4073">
        <w:rPr>
          <w:lang w:val="en-GB"/>
        </w:rPr>
        <w:t xml:space="preserve"> </w:t>
      </w:r>
      <w:r>
        <w:rPr>
          <w:lang w:val="en-GB"/>
        </w:rPr>
        <w:t xml:space="preserve"> The hearing date of 15</w:t>
      </w:r>
      <w:r w:rsidR="00ED4073">
        <w:rPr>
          <w:lang w:val="en-GB"/>
        </w:rPr>
        <w:t xml:space="preserve"> June </w:t>
      </w:r>
      <w:r>
        <w:rPr>
          <w:lang w:val="en-GB"/>
        </w:rPr>
        <w:t>2022 was vacated.</w:t>
      </w:r>
    </w:p>
    <w:p w:rsidR="007E4545" w:rsidRDefault="007E4545" w:rsidP="00151318">
      <w:pPr>
        <w:pStyle w:val="ListParagraph"/>
        <w:tabs>
          <w:tab w:val="num" w:pos="1440"/>
        </w:tabs>
        <w:spacing w:line="360" w:lineRule="auto"/>
        <w:ind w:left="0"/>
        <w:rPr>
          <w:lang w:val="en-GB"/>
        </w:rPr>
      </w:pPr>
    </w:p>
    <w:p w:rsidR="007E4545" w:rsidRPr="00AA2F90" w:rsidRDefault="007E4545" w:rsidP="00151318">
      <w:pPr>
        <w:tabs>
          <w:tab w:val="num" w:pos="1440"/>
        </w:tabs>
        <w:spacing w:line="360" w:lineRule="auto"/>
        <w:rPr>
          <w:i/>
          <w:iCs/>
          <w:lang w:val="en-GB"/>
        </w:rPr>
      </w:pPr>
      <w:r w:rsidRPr="00AA2F90">
        <w:rPr>
          <w:i/>
          <w:iCs/>
          <w:lang w:val="en-GB"/>
        </w:rPr>
        <w:t>Leave to appeal legal principles</w:t>
      </w:r>
    </w:p>
    <w:p w:rsidR="007E4545" w:rsidRDefault="007E4545" w:rsidP="00151318">
      <w:pPr>
        <w:pStyle w:val="ListParagraph"/>
        <w:tabs>
          <w:tab w:val="num" w:pos="1440"/>
        </w:tabs>
        <w:spacing w:line="360" w:lineRule="auto"/>
        <w:ind w:left="0"/>
        <w:rPr>
          <w:lang w:val="en-GB"/>
        </w:rPr>
      </w:pPr>
    </w:p>
    <w:p w:rsidR="007E4545" w:rsidRDefault="007E4545" w:rsidP="00151318">
      <w:pPr>
        <w:numPr>
          <w:ilvl w:val="0"/>
          <w:numId w:val="31"/>
        </w:numPr>
        <w:tabs>
          <w:tab w:val="clear" w:pos="709"/>
          <w:tab w:val="clear" w:pos="4320"/>
          <w:tab w:val="clear" w:pos="9072"/>
          <w:tab w:val="num" w:pos="1440"/>
        </w:tabs>
        <w:snapToGrid/>
        <w:spacing w:line="360" w:lineRule="auto"/>
        <w:ind w:left="0" w:firstLine="0"/>
        <w:contextualSpacing/>
        <w:jc w:val="both"/>
        <w:rPr>
          <w:rFonts w:eastAsia="PMingLiU"/>
        </w:rPr>
      </w:pPr>
      <w:r w:rsidRPr="00905D42">
        <w:rPr>
          <w:rFonts w:eastAsia="PMingLiU"/>
        </w:rPr>
        <w:t>S</w:t>
      </w:r>
      <w:r>
        <w:rPr>
          <w:rFonts w:eastAsia="PMingLiU"/>
        </w:rPr>
        <w:t xml:space="preserve">ection </w:t>
      </w:r>
      <w:r w:rsidRPr="00905D42">
        <w:rPr>
          <w:rFonts w:eastAsia="PMingLiU"/>
        </w:rPr>
        <w:t>63A of the District Court Ordinance (Cap</w:t>
      </w:r>
      <w:r w:rsidR="00ED4073">
        <w:rPr>
          <w:rFonts w:eastAsia="PMingLiU"/>
        </w:rPr>
        <w:t xml:space="preserve"> </w:t>
      </w:r>
      <w:r w:rsidRPr="00905D42">
        <w:rPr>
          <w:rFonts w:eastAsia="PMingLiU"/>
        </w:rPr>
        <w:t>336) (</w:t>
      </w:r>
      <w:r w:rsidRPr="007C52E8">
        <w:rPr>
          <w:rFonts w:eastAsia="PMingLiU"/>
        </w:rPr>
        <w:t>the “</w:t>
      </w:r>
      <w:r w:rsidRPr="00AA2F90">
        <w:rPr>
          <w:rFonts w:eastAsia="PMingLiU"/>
        </w:rPr>
        <w:t>DCO</w:t>
      </w:r>
      <w:r w:rsidRPr="007C52E8">
        <w:rPr>
          <w:rFonts w:eastAsia="PMingLiU"/>
        </w:rPr>
        <w:t>”)</w:t>
      </w:r>
      <w:r w:rsidR="00ED4073">
        <w:rPr>
          <w:rFonts w:eastAsia="PMingLiU"/>
        </w:rPr>
        <w:t xml:space="preserve"> provides that:-</w:t>
      </w:r>
    </w:p>
    <w:p w:rsidR="00ED4073" w:rsidRPr="00905D42" w:rsidRDefault="00ED4073" w:rsidP="00ED4073">
      <w:pPr>
        <w:tabs>
          <w:tab w:val="clear" w:pos="1440"/>
          <w:tab w:val="clear" w:pos="4320"/>
          <w:tab w:val="clear" w:pos="9072"/>
        </w:tabs>
        <w:snapToGrid/>
        <w:spacing w:line="360" w:lineRule="auto"/>
        <w:contextualSpacing/>
        <w:jc w:val="both"/>
        <w:rPr>
          <w:rFonts w:eastAsia="PMingLiU"/>
        </w:rPr>
      </w:pPr>
    </w:p>
    <w:p w:rsidR="007E4545" w:rsidRDefault="007E4545" w:rsidP="00ED4073">
      <w:pPr>
        <w:tabs>
          <w:tab w:val="num" w:pos="1440"/>
        </w:tabs>
        <w:ind w:left="1440" w:rightChars="266" w:right="745"/>
        <w:contextualSpacing/>
        <w:jc w:val="both"/>
        <w:rPr>
          <w:rFonts w:eastAsia="PMingLiU"/>
          <w:i/>
          <w:iCs/>
          <w:sz w:val="24"/>
          <w:szCs w:val="24"/>
          <w:lang w:val="en-GB"/>
        </w:rPr>
      </w:pPr>
      <w:r w:rsidRPr="00ED4073">
        <w:rPr>
          <w:rFonts w:eastAsia="PMingLiU"/>
          <w:i/>
          <w:iCs/>
          <w:sz w:val="24"/>
          <w:szCs w:val="24"/>
        </w:rPr>
        <w:t>“</w:t>
      </w:r>
      <w:r w:rsidRPr="00ED4073">
        <w:rPr>
          <w:rFonts w:eastAsia="PMingLiU"/>
          <w:i/>
          <w:iCs/>
          <w:sz w:val="24"/>
          <w:szCs w:val="24"/>
          <w:lang w:val="en-GB"/>
        </w:rPr>
        <w:t xml:space="preserve">(2) Leave to appeal shall not be granted unless the judge, the master or the Court of Appeal hearing the application for leave is satisfied that— </w:t>
      </w:r>
    </w:p>
    <w:p w:rsidR="00ED4073" w:rsidRPr="00ED4073" w:rsidRDefault="00ED4073" w:rsidP="00ED4073">
      <w:pPr>
        <w:tabs>
          <w:tab w:val="num" w:pos="1440"/>
        </w:tabs>
        <w:ind w:left="1440" w:rightChars="266" w:right="745"/>
        <w:contextualSpacing/>
        <w:jc w:val="both"/>
        <w:rPr>
          <w:rFonts w:eastAsia="PMingLiU"/>
          <w:i/>
          <w:iCs/>
          <w:sz w:val="24"/>
          <w:szCs w:val="24"/>
          <w:lang w:val="en-GB"/>
        </w:rPr>
      </w:pPr>
    </w:p>
    <w:p w:rsidR="007E4545" w:rsidRDefault="007E4545" w:rsidP="00ED4073">
      <w:pPr>
        <w:tabs>
          <w:tab w:val="clear" w:pos="1440"/>
          <w:tab w:val="num" w:pos="2160"/>
        </w:tabs>
        <w:ind w:left="2160" w:rightChars="266" w:right="745" w:hanging="720"/>
        <w:contextualSpacing/>
        <w:jc w:val="both"/>
        <w:rPr>
          <w:rFonts w:eastAsia="PMingLiU"/>
          <w:i/>
          <w:iCs/>
          <w:sz w:val="24"/>
          <w:szCs w:val="24"/>
          <w:lang w:val="en-GB"/>
        </w:rPr>
      </w:pPr>
      <w:r w:rsidRPr="00ED4073">
        <w:rPr>
          <w:rFonts w:eastAsia="PMingLiU"/>
          <w:i/>
          <w:iCs/>
          <w:sz w:val="24"/>
          <w:szCs w:val="24"/>
          <w:lang w:val="en-GB"/>
        </w:rPr>
        <w:t xml:space="preserve">(a) </w:t>
      </w:r>
      <w:r w:rsidR="00ED4073">
        <w:rPr>
          <w:rFonts w:eastAsia="PMingLiU"/>
          <w:i/>
          <w:iCs/>
          <w:sz w:val="24"/>
          <w:szCs w:val="24"/>
          <w:lang w:val="en-GB"/>
        </w:rPr>
        <w:tab/>
      </w:r>
      <w:r w:rsidRPr="00ED4073">
        <w:rPr>
          <w:rFonts w:eastAsia="PMingLiU"/>
          <w:i/>
          <w:iCs/>
          <w:sz w:val="24"/>
          <w:szCs w:val="24"/>
          <w:lang w:val="en-GB"/>
        </w:rPr>
        <w:t xml:space="preserve">the appeal has a reasonable prospect of success; or </w:t>
      </w:r>
    </w:p>
    <w:p w:rsidR="00ED4073" w:rsidRPr="00ED4073" w:rsidRDefault="00ED4073" w:rsidP="00ED4073">
      <w:pPr>
        <w:tabs>
          <w:tab w:val="clear" w:pos="1440"/>
          <w:tab w:val="num" w:pos="2160"/>
        </w:tabs>
        <w:ind w:left="2160" w:rightChars="266" w:right="745" w:hanging="720"/>
        <w:contextualSpacing/>
        <w:jc w:val="both"/>
        <w:rPr>
          <w:rFonts w:eastAsia="PMingLiU"/>
          <w:i/>
          <w:iCs/>
          <w:sz w:val="24"/>
          <w:szCs w:val="24"/>
          <w:lang w:val="en-GB"/>
        </w:rPr>
      </w:pPr>
    </w:p>
    <w:p w:rsidR="007E4545" w:rsidRPr="00ED4073" w:rsidRDefault="007E4545" w:rsidP="00ED4073">
      <w:pPr>
        <w:tabs>
          <w:tab w:val="clear" w:pos="1440"/>
          <w:tab w:val="num" w:pos="2160"/>
        </w:tabs>
        <w:ind w:left="2160" w:rightChars="266" w:right="745" w:hanging="720"/>
        <w:contextualSpacing/>
        <w:jc w:val="both"/>
        <w:rPr>
          <w:rFonts w:eastAsia="PMingLiU"/>
          <w:sz w:val="24"/>
          <w:szCs w:val="24"/>
        </w:rPr>
      </w:pPr>
      <w:r w:rsidRPr="00ED4073">
        <w:rPr>
          <w:rFonts w:eastAsia="PMingLiU"/>
          <w:i/>
          <w:iCs/>
          <w:sz w:val="24"/>
          <w:szCs w:val="24"/>
          <w:lang w:val="en-GB"/>
        </w:rPr>
        <w:t>(b)</w:t>
      </w:r>
      <w:r w:rsidR="00ED4073">
        <w:rPr>
          <w:rFonts w:eastAsia="PMingLiU"/>
          <w:i/>
          <w:iCs/>
          <w:sz w:val="24"/>
          <w:szCs w:val="24"/>
          <w:lang w:val="en-GB"/>
        </w:rPr>
        <w:tab/>
      </w:r>
      <w:r w:rsidRPr="00ED4073">
        <w:rPr>
          <w:rFonts w:eastAsia="PMingLiU"/>
          <w:i/>
          <w:iCs/>
          <w:sz w:val="24"/>
          <w:szCs w:val="24"/>
          <w:lang w:val="en-GB"/>
        </w:rPr>
        <w:t xml:space="preserve">there </w:t>
      </w:r>
      <w:bookmarkStart w:id="0" w:name="_Hlk102488128"/>
      <w:r w:rsidRPr="00ED4073">
        <w:rPr>
          <w:rFonts w:eastAsia="PMingLiU"/>
          <w:i/>
          <w:iCs/>
          <w:sz w:val="24"/>
          <w:szCs w:val="24"/>
          <w:lang w:val="en-GB"/>
        </w:rPr>
        <w:t>is some other reason in the interests of justice why the appeal should be heard</w:t>
      </w:r>
      <w:bookmarkEnd w:id="0"/>
      <w:r w:rsidRPr="00ED4073">
        <w:rPr>
          <w:rFonts w:eastAsia="PMingLiU"/>
          <w:i/>
          <w:iCs/>
          <w:sz w:val="24"/>
          <w:szCs w:val="24"/>
          <w:lang w:val="en-GB"/>
        </w:rPr>
        <w:t>.</w:t>
      </w:r>
      <w:r w:rsidRPr="00ED4073">
        <w:rPr>
          <w:rFonts w:eastAsia="PMingLiU"/>
          <w:i/>
          <w:iCs/>
          <w:sz w:val="24"/>
          <w:szCs w:val="24"/>
        </w:rPr>
        <w:t>”</w:t>
      </w:r>
      <w:r w:rsidRPr="00ED4073">
        <w:rPr>
          <w:rFonts w:eastAsia="PMingLiU"/>
          <w:sz w:val="24"/>
          <w:szCs w:val="24"/>
        </w:rPr>
        <w:t xml:space="preserve"> </w:t>
      </w:r>
    </w:p>
    <w:p w:rsidR="007E4545" w:rsidRPr="00905D42" w:rsidRDefault="007E4545" w:rsidP="00151318">
      <w:pPr>
        <w:tabs>
          <w:tab w:val="num" w:pos="1440"/>
        </w:tabs>
        <w:spacing w:line="360" w:lineRule="auto"/>
        <w:ind w:rightChars="335" w:right="938"/>
        <w:contextualSpacing/>
        <w:jc w:val="both"/>
        <w:rPr>
          <w:rFonts w:eastAsia="PMingLiU"/>
        </w:rPr>
      </w:pPr>
    </w:p>
    <w:p w:rsidR="007E4545" w:rsidRPr="00ED4073" w:rsidRDefault="007E4545" w:rsidP="00151318">
      <w:pPr>
        <w:numPr>
          <w:ilvl w:val="0"/>
          <w:numId w:val="31"/>
        </w:numPr>
        <w:tabs>
          <w:tab w:val="clear" w:pos="709"/>
          <w:tab w:val="clear" w:pos="4320"/>
          <w:tab w:val="clear" w:pos="9072"/>
          <w:tab w:val="num" w:pos="1440"/>
        </w:tabs>
        <w:snapToGrid/>
        <w:spacing w:line="360" w:lineRule="auto"/>
        <w:ind w:left="0" w:firstLine="0"/>
        <w:contextualSpacing/>
        <w:jc w:val="both"/>
        <w:rPr>
          <w:rFonts w:eastAsia="PMingLiU"/>
          <w:b/>
          <w:bCs/>
          <w:u w:val="single"/>
        </w:rPr>
      </w:pPr>
      <w:r>
        <w:rPr>
          <w:rFonts w:eastAsia="PMingLiU"/>
        </w:rPr>
        <w:t xml:space="preserve">The plaintiff relies upon </w:t>
      </w:r>
      <w:r w:rsidRPr="008253E5">
        <w:rPr>
          <w:rFonts w:eastAsia="PMingLiU"/>
          <w:i/>
          <w:iCs/>
        </w:rPr>
        <w:t>Wing Tat Haberdashery Company Limited v Elegance Development Industrial Co. Limited</w:t>
      </w:r>
      <w:r w:rsidRPr="008253E5">
        <w:rPr>
          <w:rFonts w:eastAsia="PMingLiU"/>
        </w:rPr>
        <w:t xml:space="preserve"> </w:t>
      </w:r>
      <w:r w:rsidRPr="00905D42">
        <w:rPr>
          <w:rFonts w:eastAsia="PMingLiU"/>
        </w:rPr>
        <w:t>(unrep, HCMP 357/2011, 8 July 2011, Hon Hartmann and Fok JJA),</w:t>
      </w:r>
      <w:r>
        <w:rPr>
          <w:rFonts w:eastAsia="PMingLiU"/>
        </w:rPr>
        <w:t xml:space="preserve"> where</w:t>
      </w:r>
      <w:r w:rsidRPr="00905D42">
        <w:rPr>
          <w:rFonts w:eastAsia="PMingLiU"/>
        </w:rPr>
        <w:t xml:space="preserve"> the Court of Appeal held that [§6]:</w:t>
      </w:r>
      <w:r w:rsidR="00ED4073">
        <w:rPr>
          <w:rFonts w:eastAsia="PMingLiU"/>
        </w:rPr>
        <w:t>-</w:t>
      </w:r>
    </w:p>
    <w:p w:rsidR="00ED4073" w:rsidRPr="00905D42" w:rsidRDefault="00ED4073" w:rsidP="00ED4073">
      <w:pPr>
        <w:tabs>
          <w:tab w:val="clear" w:pos="1440"/>
          <w:tab w:val="clear" w:pos="4320"/>
          <w:tab w:val="clear" w:pos="9072"/>
        </w:tabs>
        <w:snapToGrid/>
        <w:spacing w:line="360" w:lineRule="auto"/>
        <w:contextualSpacing/>
        <w:jc w:val="both"/>
        <w:rPr>
          <w:rFonts w:eastAsia="PMingLiU"/>
          <w:b/>
          <w:bCs/>
          <w:u w:val="single"/>
        </w:rPr>
      </w:pPr>
    </w:p>
    <w:p w:rsidR="007E4545" w:rsidRPr="00ED4073" w:rsidRDefault="007E4545" w:rsidP="00ED4073">
      <w:pPr>
        <w:tabs>
          <w:tab w:val="num" w:pos="1440"/>
        </w:tabs>
        <w:ind w:left="1440" w:rightChars="266" w:right="745"/>
        <w:contextualSpacing/>
        <w:jc w:val="both"/>
        <w:rPr>
          <w:rFonts w:eastAsia="PMingLiU"/>
          <w:b/>
          <w:bCs/>
          <w:sz w:val="24"/>
          <w:szCs w:val="24"/>
          <w:u w:val="single"/>
        </w:rPr>
      </w:pPr>
      <w:r w:rsidRPr="00ED4073">
        <w:rPr>
          <w:rFonts w:eastAsia="PMingLiU"/>
          <w:i/>
          <w:iCs/>
          <w:sz w:val="24"/>
          <w:szCs w:val="24"/>
        </w:rPr>
        <w:t>“</w:t>
      </w:r>
      <w:r w:rsidRPr="00ED4073">
        <w:rPr>
          <w:rFonts w:eastAsia="PMingLiU"/>
          <w:i/>
          <w:iCs/>
          <w:sz w:val="24"/>
          <w:szCs w:val="24"/>
          <w:lang w:val="en-GB"/>
        </w:rPr>
        <w:t>[…] A reasonable prospect of success therefore means an appeal with prospects that are more than ‘fanciful’ but which do not need to be shown to be ‘probable’</w:t>
      </w:r>
      <w:r w:rsidRPr="00ED4073">
        <w:rPr>
          <w:rFonts w:eastAsia="PMingLiU"/>
          <w:i/>
          <w:iCs/>
          <w:sz w:val="24"/>
          <w:szCs w:val="24"/>
        </w:rPr>
        <w:t>”</w:t>
      </w:r>
      <w:r w:rsidRPr="00ED4073">
        <w:rPr>
          <w:rFonts w:eastAsia="PMingLiU"/>
          <w:sz w:val="24"/>
          <w:szCs w:val="24"/>
        </w:rPr>
        <w:t xml:space="preserve"> </w:t>
      </w:r>
    </w:p>
    <w:p w:rsidR="007E4545" w:rsidRPr="004F60BC" w:rsidRDefault="007E4545" w:rsidP="00151318">
      <w:pPr>
        <w:tabs>
          <w:tab w:val="num" w:pos="1440"/>
        </w:tabs>
        <w:spacing w:line="360" w:lineRule="auto"/>
        <w:rPr>
          <w:lang w:val="en-GB"/>
        </w:rPr>
      </w:pPr>
    </w:p>
    <w:p w:rsidR="007E4545" w:rsidRPr="00AA2F90" w:rsidRDefault="007E4545" w:rsidP="00151318">
      <w:pPr>
        <w:tabs>
          <w:tab w:val="num" w:pos="1440"/>
        </w:tabs>
        <w:spacing w:line="360" w:lineRule="auto"/>
        <w:jc w:val="both"/>
        <w:rPr>
          <w:i/>
          <w:iCs/>
          <w:lang w:val="en-GB"/>
        </w:rPr>
      </w:pPr>
      <w:r w:rsidRPr="00AA2F90">
        <w:rPr>
          <w:i/>
          <w:iCs/>
          <w:lang w:val="en-GB"/>
        </w:rPr>
        <w:t xml:space="preserve">Overview of </w:t>
      </w:r>
      <w:r>
        <w:rPr>
          <w:i/>
          <w:iCs/>
          <w:lang w:val="en-GB"/>
        </w:rPr>
        <w:t>the plaintiff</w:t>
      </w:r>
      <w:r w:rsidRPr="00AA2F90">
        <w:rPr>
          <w:i/>
          <w:iCs/>
          <w:lang w:val="en-GB"/>
        </w:rPr>
        <w:t xml:space="preserve">’s </w:t>
      </w:r>
      <w:r>
        <w:rPr>
          <w:i/>
          <w:iCs/>
          <w:lang w:val="en-GB"/>
        </w:rPr>
        <w:t>i</w:t>
      </w:r>
      <w:r w:rsidRPr="00AA2F90">
        <w:rPr>
          <w:i/>
          <w:iCs/>
          <w:lang w:val="en-GB"/>
        </w:rPr>
        <w:t xml:space="preserve">ntended </w:t>
      </w:r>
      <w:r>
        <w:rPr>
          <w:i/>
          <w:iCs/>
          <w:lang w:val="en-GB"/>
        </w:rPr>
        <w:t>a</w:t>
      </w:r>
      <w:r w:rsidRPr="00AA2F90">
        <w:rPr>
          <w:i/>
          <w:iCs/>
          <w:lang w:val="en-GB"/>
        </w:rPr>
        <w:t>ppeal</w:t>
      </w:r>
    </w:p>
    <w:p w:rsidR="007E4545" w:rsidRPr="00130EBF" w:rsidRDefault="007E4545" w:rsidP="00151318">
      <w:pPr>
        <w:tabs>
          <w:tab w:val="num" w:pos="1440"/>
        </w:tabs>
        <w:spacing w:line="360" w:lineRule="auto"/>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The plaintiff</w:t>
      </w:r>
      <w:r w:rsidRPr="00AD6FA2">
        <w:rPr>
          <w:lang w:val="en-GB"/>
        </w:rPr>
        <w:t xml:space="preserve">’s claim is for common law damages </w:t>
      </w:r>
      <w:r>
        <w:rPr>
          <w:lang w:val="en-GB"/>
        </w:rPr>
        <w:t xml:space="preserve">for personal injury suffered following an accident where he fell </w:t>
      </w:r>
      <w:r w:rsidRPr="00AD6FA2">
        <w:rPr>
          <w:lang w:val="en-GB"/>
        </w:rPr>
        <w:t xml:space="preserve">off a ladder while carrying out air-conditioner maintenance work as </w:t>
      </w:r>
      <w:r>
        <w:rPr>
          <w:lang w:val="en-GB"/>
        </w:rPr>
        <w:t>the 1</w:t>
      </w:r>
      <w:r w:rsidRPr="00AA2F90">
        <w:rPr>
          <w:vertAlign w:val="superscript"/>
          <w:lang w:val="en-GB"/>
        </w:rPr>
        <w:t>st</w:t>
      </w:r>
      <w:r>
        <w:rPr>
          <w:lang w:val="en-GB"/>
        </w:rPr>
        <w:t xml:space="preserve"> defendant’s</w:t>
      </w:r>
      <w:r w:rsidRPr="00AD6FA2">
        <w:rPr>
          <w:lang w:val="en-GB"/>
        </w:rPr>
        <w:t xml:space="preserve"> employee on 16</w:t>
      </w:r>
      <w:r w:rsidR="00ED4073">
        <w:rPr>
          <w:lang w:val="en-GB"/>
        </w:rPr>
        <w:t xml:space="preserve"> May </w:t>
      </w:r>
      <w:r w:rsidRPr="00AD6FA2">
        <w:rPr>
          <w:lang w:val="en-GB"/>
        </w:rPr>
        <w:t xml:space="preserve">2015.  It is </w:t>
      </w:r>
      <w:r>
        <w:rPr>
          <w:lang w:val="en-GB"/>
        </w:rPr>
        <w:t xml:space="preserve">the plaintiff’s case </w:t>
      </w:r>
      <w:r w:rsidRPr="00AD6FA2">
        <w:rPr>
          <w:lang w:val="en-GB"/>
        </w:rPr>
        <w:t xml:space="preserve">that </w:t>
      </w:r>
      <w:r>
        <w:rPr>
          <w:lang w:val="en-GB"/>
        </w:rPr>
        <w:t>the 3</w:t>
      </w:r>
      <w:r w:rsidRPr="00AA2F90">
        <w:rPr>
          <w:vertAlign w:val="superscript"/>
          <w:lang w:val="en-GB"/>
        </w:rPr>
        <w:t>rd</w:t>
      </w:r>
      <w:r>
        <w:rPr>
          <w:lang w:val="en-GB"/>
        </w:rPr>
        <w:t xml:space="preserve"> defendant</w:t>
      </w:r>
      <w:r w:rsidRPr="00AD6FA2">
        <w:rPr>
          <w:lang w:val="en-GB"/>
        </w:rPr>
        <w:t xml:space="preserve"> was the principal contractor, </w:t>
      </w:r>
      <w:r>
        <w:rPr>
          <w:lang w:val="en-GB"/>
        </w:rPr>
        <w:t>the 2</w:t>
      </w:r>
      <w:r w:rsidRPr="00AA2F90">
        <w:rPr>
          <w:vertAlign w:val="superscript"/>
          <w:lang w:val="en-GB"/>
        </w:rPr>
        <w:t>nd</w:t>
      </w:r>
      <w:r>
        <w:rPr>
          <w:lang w:val="en-GB"/>
        </w:rPr>
        <w:t xml:space="preserve"> defendant</w:t>
      </w:r>
      <w:r w:rsidRPr="00AD6FA2">
        <w:rPr>
          <w:lang w:val="en-GB"/>
        </w:rPr>
        <w:t xml:space="preserve"> was the subcontractor, and</w:t>
      </w:r>
      <w:r>
        <w:rPr>
          <w:lang w:val="en-GB"/>
        </w:rPr>
        <w:t xml:space="preserve"> the 1</w:t>
      </w:r>
      <w:r w:rsidRPr="00AA2F90">
        <w:rPr>
          <w:vertAlign w:val="superscript"/>
          <w:lang w:val="en-GB"/>
        </w:rPr>
        <w:t>st</w:t>
      </w:r>
      <w:r>
        <w:rPr>
          <w:lang w:val="en-GB"/>
        </w:rPr>
        <w:t xml:space="preserve"> defendant</w:t>
      </w:r>
      <w:r w:rsidRPr="00AD6FA2">
        <w:rPr>
          <w:lang w:val="en-GB"/>
        </w:rPr>
        <w:t xml:space="preserve"> was the sub-sub-contractor of the relevant works.  </w:t>
      </w:r>
    </w:p>
    <w:p w:rsidR="007E4545" w:rsidRPr="001F60B9" w:rsidRDefault="007E4545" w:rsidP="00151318">
      <w:pPr>
        <w:tabs>
          <w:tab w:val="num" w:pos="1440"/>
        </w:tabs>
        <w:spacing w:line="360" w:lineRule="auto"/>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lastRenderedPageBreak/>
        <w:t>The plaintiff</w:t>
      </w:r>
      <w:r w:rsidRPr="00AD6FA2">
        <w:rPr>
          <w:lang w:val="en-GB"/>
        </w:rPr>
        <w:t xml:space="preserve">’s pleaded case on liability </w:t>
      </w:r>
      <w:r>
        <w:rPr>
          <w:lang w:val="en-GB"/>
        </w:rPr>
        <w:t>against the 2</w:t>
      </w:r>
      <w:r w:rsidRPr="00AA2F90">
        <w:rPr>
          <w:vertAlign w:val="superscript"/>
          <w:lang w:val="en-GB"/>
        </w:rPr>
        <w:t>nd</w:t>
      </w:r>
      <w:r>
        <w:rPr>
          <w:lang w:val="en-GB"/>
        </w:rPr>
        <w:t xml:space="preserve"> defendant</w:t>
      </w:r>
      <w:r w:rsidRPr="00AD6FA2">
        <w:rPr>
          <w:lang w:val="en-GB"/>
        </w:rPr>
        <w:t xml:space="preserve"> is </w:t>
      </w:r>
      <w:r>
        <w:rPr>
          <w:lang w:val="en-GB"/>
        </w:rPr>
        <w:t xml:space="preserve">based </w:t>
      </w:r>
      <w:r w:rsidRPr="00AD6FA2">
        <w:rPr>
          <w:lang w:val="en-GB"/>
        </w:rPr>
        <w:t>on negligence alone.</w:t>
      </w:r>
      <w:r w:rsidR="00ED4073">
        <w:rPr>
          <w:lang w:val="en-GB"/>
        </w:rPr>
        <w:t xml:space="preserve"> </w:t>
      </w:r>
      <w:r>
        <w:rPr>
          <w:lang w:val="en-GB"/>
        </w:rPr>
        <w:t xml:space="preserve"> The 2</w:t>
      </w:r>
      <w:r w:rsidRPr="00AA2F90">
        <w:rPr>
          <w:vertAlign w:val="superscript"/>
          <w:lang w:val="en-GB"/>
        </w:rPr>
        <w:t>nd</w:t>
      </w:r>
      <w:r>
        <w:rPr>
          <w:lang w:val="en-GB"/>
        </w:rPr>
        <w:t xml:space="preserve"> defendant denies that it owed any duty to the plaintiff, and sought to strike out his statement of claim and have the action against it dismissed both on the basis of </w:t>
      </w:r>
      <w:r w:rsidRPr="0090691B">
        <w:rPr>
          <w:i/>
          <w:lang w:val="en-GB"/>
        </w:rPr>
        <w:t>(i)</w:t>
      </w:r>
      <w:r>
        <w:rPr>
          <w:lang w:val="en-GB"/>
        </w:rPr>
        <w:t xml:space="preserve"> lack of a reasonable cause of action, and </w:t>
      </w:r>
      <w:r w:rsidRPr="0090691B">
        <w:rPr>
          <w:i/>
          <w:lang w:val="en-GB"/>
        </w:rPr>
        <w:t>(ii)</w:t>
      </w:r>
      <w:r>
        <w:rPr>
          <w:lang w:val="en-GB"/>
        </w:rPr>
        <w:t xml:space="preserve"> time bar.  In respect of the former ground, the Decision identified that </w:t>
      </w:r>
      <w:r w:rsidRPr="00AA2F90">
        <w:rPr>
          <w:lang w:val="en-GB"/>
        </w:rPr>
        <w:t>“</w:t>
      </w:r>
      <w:r w:rsidRPr="00AA2F90">
        <w:rPr>
          <w:i/>
          <w:iCs/>
          <w:lang w:val="en-GB"/>
        </w:rPr>
        <w:t>[the] real issue is whether, on the pleaded facts, the plaintiff can establish any relevant duty of care owed directly by [D2] to [P].</w:t>
      </w:r>
      <w:r w:rsidRPr="00AA2F90">
        <w:rPr>
          <w:lang w:val="en-GB"/>
        </w:rPr>
        <w:t>”</w:t>
      </w:r>
      <w:r>
        <w:rPr>
          <w:lang w:val="en-GB"/>
        </w:rPr>
        <w:t xml:space="preserve"> (§26 of the Decision).</w:t>
      </w:r>
    </w:p>
    <w:p w:rsidR="007E4545" w:rsidRPr="00906ADB" w:rsidRDefault="007E4545" w:rsidP="00151318">
      <w:pPr>
        <w:tabs>
          <w:tab w:val="num" w:pos="1440"/>
        </w:tabs>
        <w:spacing w:line="360" w:lineRule="auto"/>
        <w:jc w:val="both"/>
        <w:rPr>
          <w:lang w:val="en-GB"/>
        </w:rPr>
      </w:pPr>
    </w:p>
    <w:p w:rsidR="007E4545" w:rsidRPr="00AD6FA2"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sidRPr="00AD6FA2">
        <w:rPr>
          <w:lang w:val="en-GB"/>
        </w:rPr>
        <w:t xml:space="preserve">Central to the Decision </w:t>
      </w:r>
      <w:r>
        <w:rPr>
          <w:lang w:val="en-GB"/>
        </w:rPr>
        <w:t>were the holdings at §42 that</w:t>
      </w:r>
      <w:r w:rsidRPr="00AD6FA2">
        <w:rPr>
          <w:lang w:val="en-GB"/>
        </w:rPr>
        <w:t>:-</w:t>
      </w:r>
    </w:p>
    <w:p w:rsidR="007E4545" w:rsidRPr="00AD6FA2" w:rsidRDefault="007E4545" w:rsidP="00151318">
      <w:pPr>
        <w:tabs>
          <w:tab w:val="num" w:pos="1440"/>
        </w:tabs>
        <w:spacing w:line="360" w:lineRule="auto"/>
        <w:rPr>
          <w:lang w:val="en-GB"/>
        </w:rPr>
      </w:pPr>
    </w:p>
    <w:p w:rsidR="007E4545" w:rsidRPr="00AD6FA2" w:rsidRDefault="007E4545" w:rsidP="00ED4073">
      <w:pPr>
        <w:tabs>
          <w:tab w:val="num" w:pos="1440"/>
        </w:tabs>
        <w:ind w:left="1440" w:right="746"/>
        <w:jc w:val="both"/>
        <w:rPr>
          <w:sz w:val="24"/>
          <w:szCs w:val="24"/>
          <w:lang w:val="en-GB"/>
        </w:rPr>
      </w:pPr>
      <w:r w:rsidRPr="00AD6FA2">
        <w:rPr>
          <w:sz w:val="24"/>
          <w:szCs w:val="24"/>
          <w:lang w:val="en-GB"/>
        </w:rPr>
        <w:t>“</w:t>
      </w:r>
      <w:r w:rsidRPr="00AD6FA2">
        <w:rPr>
          <w:i/>
          <w:iCs/>
          <w:sz w:val="24"/>
          <w:szCs w:val="24"/>
          <w:lang w:val="en-GB"/>
        </w:rPr>
        <w:t xml:space="preserve">…. nowhere in the </w:t>
      </w:r>
      <w:r>
        <w:rPr>
          <w:i/>
          <w:iCs/>
          <w:sz w:val="24"/>
          <w:szCs w:val="24"/>
          <w:lang w:val="en-GB"/>
        </w:rPr>
        <w:t>SoC</w:t>
      </w:r>
      <w:r w:rsidRPr="00AD6FA2">
        <w:rPr>
          <w:i/>
          <w:iCs/>
          <w:sz w:val="24"/>
          <w:szCs w:val="24"/>
          <w:lang w:val="en-GB"/>
        </w:rPr>
        <w:t xml:space="preserve"> has the plaintiff identified </w:t>
      </w:r>
      <w:r w:rsidRPr="00AD6FA2">
        <w:rPr>
          <w:i/>
          <w:iCs/>
          <w:sz w:val="24"/>
          <w:szCs w:val="24"/>
        </w:rPr>
        <w:t>the facts upon which a duty on the part of the 2</w:t>
      </w:r>
      <w:r w:rsidRPr="00AD6FA2">
        <w:rPr>
          <w:i/>
          <w:iCs/>
          <w:sz w:val="24"/>
          <w:szCs w:val="24"/>
          <w:vertAlign w:val="superscript"/>
        </w:rPr>
        <w:t>nd</w:t>
      </w:r>
      <w:r w:rsidRPr="00AD6FA2">
        <w:rPr>
          <w:i/>
          <w:iCs/>
          <w:sz w:val="24"/>
          <w:szCs w:val="24"/>
        </w:rPr>
        <w:t> defendant owed to the plaintiff can arise.  What the plaintiff has pleaded against the 2</w:t>
      </w:r>
      <w:r w:rsidRPr="00AD6FA2">
        <w:rPr>
          <w:i/>
          <w:iCs/>
          <w:sz w:val="24"/>
          <w:szCs w:val="24"/>
          <w:vertAlign w:val="superscript"/>
        </w:rPr>
        <w:t>nd</w:t>
      </w:r>
      <w:r w:rsidRPr="00AD6FA2">
        <w:rPr>
          <w:i/>
          <w:iCs/>
          <w:sz w:val="24"/>
          <w:szCs w:val="24"/>
        </w:rPr>
        <w:t> defendant is that: (i) the 1</w:t>
      </w:r>
      <w:r w:rsidRPr="00AD6FA2">
        <w:rPr>
          <w:i/>
          <w:iCs/>
          <w:sz w:val="24"/>
          <w:szCs w:val="24"/>
          <w:vertAlign w:val="superscript"/>
        </w:rPr>
        <w:t>st</w:t>
      </w:r>
      <w:r w:rsidRPr="00AD6FA2">
        <w:rPr>
          <w:i/>
          <w:iCs/>
          <w:sz w:val="24"/>
          <w:szCs w:val="24"/>
        </w:rPr>
        <w:t xml:space="preserve"> defendant was the 2</w:t>
      </w:r>
      <w:r w:rsidRPr="00AD6FA2">
        <w:rPr>
          <w:i/>
          <w:iCs/>
          <w:sz w:val="24"/>
          <w:szCs w:val="24"/>
          <w:vertAlign w:val="superscript"/>
        </w:rPr>
        <w:t>nd</w:t>
      </w:r>
      <w:r w:rsidRPr="00AD6FA2">
        <w:rPr>
          <w:i/>
          <w:iCs/>
          <w:sz w:val="24"/>
          <w:szCs w:val="24"/>
        </w:rPr>
        <w:t> defendant’s sub-contractor; and (ii) the ladder the plaintiff fell from was provided by the 2</w:t>
      </w:r>
      <w:r w:rsidRPr="00AD6FA2">
        <w:rPr>
          <w:i/>
          <w:iCs/>
          <w:sz w:val="24"/>
          <w:szCs w:val="24"/>
          <w:vertAlign w:val="superscript"/>
        </w:rPr>
        <w:t>nd</w:t>
      </w:r>
      <w:r w:rsidRPr="00AD6FA2">
        <w:rPr>
          <w:i/>
          <w:iCs/>
          <w:sz w:val="24"/>
          <w:szCs w:val="24"/>
        </w:rPr>
        <w:t xml:space="preserve"> defendant.  </w:t>
      </w:r>
      <w:r w:rsidRPr="001F60B9">
        <w:rPr>
          <w:b/>
          <w:bCs/>
          <w:i/>
          <w:iCs/>
          <w:sz w:val="24"/>
          <w:szCs w:val="24"/>
        </w:rPr>
        <w:t>The authorities make it clear that neither (i) nor (ii), individually or combined, establishes a relevant duty of care on the part of the 2</w:t>
      </w:r>
      <w:r w:rsidRPr="001F60B9">
        <w:rPr>
          <w:b/>
          <w:bCs/>
          <w:i/>
          <w:iCs/>
          <w:sz w:val="24"/>
          <w:szCs w:val="24"/>
          <w:vertAlign w:val="superscript"/>
        </w:rPr>
        <w:t>nd</w:t>
      </w:r>
      <w:r w:rsidRPr="001F60B9">
        <w:rPr>
          <w:b/>
          <w:bCs/>
          <w:i/>
          <w:iCs/>
          <w:sz w:val="24"/>
          <w:szCs w:val="24"/>
        </w:rPr>
        <w:t> defendant.  Something more is required.  The facts pleaded by the plaintiff fail to establish a relevant duty of care.</w:t>
      </w:r>
      <w:r w:rsidRPr="00AD6FA2">
        <w:rPr>
          <w:i/>
          <w:iCs/>
          <w:sz w:val="24"/>
          <w:szCs w:val="24"/>
        </w:rPr>
        <w:t xml:space="preserve"> Therefore I hold that the SoC discloses no reasonable cause of action against the 2</w:t>
      </w:r>
      <w:r w:rsidRPr="00AD6FA2">
        <w:rPr>
          <w:i/>
          <w:iCs/>
          <w:sz w:val="24"/>
          <w:szCs w:val="24"/>
          <w:vertAlign w:val="superscript"/>
        </w:rPr>
        <w:t>nd</w:t>
      </w:r>
      <w:r w:rsidRPr="00AD6FA2">
        <w:rPr>
          <w:i/>
          <w:iCs/>
          <w:sz w:val="24"/>
          <w:szCs w:val="24"/>
        </w:rPr>
        <w:t> defendant.</w:t>
      </w:r>
      <w:r w:rsidRPr="00AD6FA2">
        <w:rPr>
          <w:sz w:val="24"/>
          <w:szCs w:val="24"/>
        </w:rPr>
        <w:t>”</w:t>
      </w:r>
      <w:r>
        <w:rPr>
          <w:sz w:val="24"/>
          <w:szCs w:val="24"/>
        </w:rPr>
        <w:t xml:space="preserve"> (emphasis added)</w:t>
      </w:r>
    </w:p>
    <w:p w:rsidR="007E4545" w:rsidRPr="00FF3022" w:rsidRDefault="007E4545" w:rsidP="00151318">
      <w:pPr>
        <w:tabs>
          <w:tab w:val="num" w:pos="1440"/>
        </w:tabs>
        <w:spacing w:line="360" w:lineRule="auto"/>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w:t>
      </w:r>
      <w:r>
        <w:rPr>
          <w:i/>
          <w:iCs/>
          <w:lang w:val="en-GB"/>
        </w:rPr>
        <w:t>The authorities</w:t>
      </w:r>
      <w:r>
        <w:rPr>
          <w:lang w:val="en-GB"/>
        </w:rPr>
        <w:t xml:space="preserve">” refer, firstly, to the judgment of the CFA in </w:t>
      </w:r>
      <w:r>
        <w:rPr>
          <w:i/>
          <w:iCs/>
          <w:lang w:val="en-GB"/>
        </w:rPr>
        <w:t xml:space="preserve">Luen Hing Fat Coating &amp; Finishing Factory Ltd v Waan Chuen Ming </w:t>
      </w:r>
      <w:r w:rsidRPr="00B920AC">
        <w:rPr>
          <w:lang w:val="en-GB"/>
        </w:rPr>
        <w:t>(2011) 14 HKCFAR 14</w:t>
      </w:r>
      <w:r>
        <w:rPr>
          <w:lang w:val="en-GB"/>
        </w:rPr>
        <w:t xml:space="preserve"> which laid down authoritative guidance on when a duty of care is owed by a person to an employee of his independent contractor (</w:t>
      </w:r>
      <w:r w:rsidRPr="001F60B9">
        <w:rPr>
          <w:lang w:val="en-GB"/>
        </w:rPr>
        <w:t>§21 of the Decision</w:t>
      </w:r>
      <w:r>
        <w:rPr>
          <w:lang w:val="en-GB"/>
        </w:rPr>
        <w:t>).  As cited at §21(4) of the Decision:-</w:t>
      </w:r>
    </w:p>
    <w:p w:rsidR="007E4545" w:rsidRDefault="007E4545" w:rsidP="00151318">
      <w:pPr>
        <w:pStyle w:val="ListParagraph"/>
        <w:tabs>
          <w:tab w:val="num" w:pos="1440"/>
        </w:tabs>
        <w:spacing w:line="360" w:lineRule="auto"/>
        <w:ind w:left="0"/>
        <w:jc w:val="both"/>
        <w:rPr>
          <w:sz w:val="24"/>
          <w:szCs w:val="24"/>
          <w:lang w:val="en-GB"/>
        </w:rPr>
      </w:pPr>
    </w:p>
    <w:p w:rsidR="007E4545" w:rsidRPr="00906ADB" w:rsidRDefault="007E4545" w:rsidP="00ED4073">
      <w:pPr>
        <w:pStyle w:val="ListParagraph"/>
        <w:tabs>
          <w:tab w:val="num" w:pos="1440"/>
        </w:tabs>
        <w:ind w:left="1440" w:right="746"/>
        <w:jc w:val="both"/>
        <w:rPr>
          <w:sz w:val="24"/>
          <w:szCs w:val="24"/>
          <w:lang w:val="en-GB"/>
        </w:rPr>
      </w:pPr>
      <w:r w:rsidRPr="00906ADB">
        <w:rPr>
          <w:sz w:val="24"/>
          <w:szCs w:val="24"/>
          <w:lang w:val="en-GB"/>
        </w:rPr>
        <w:t>“</w:t>
      </w:r>
      <w:r>
        <w:rPr>
          <w:i/>
          <w:iCs/>
          <w:sz w:val="24"/>
          <w:szCs w:val="24"/>
          <w:lang w:val="en-GB"/>
        </w:rPr>
        <w:t xml:space="preserve">(4) A person will owe a duty of care to the employee of his independent contractor if: (1) he lends the independent contractor equipment; (2) </w:t>
      </w:r>
      <w:r w:rsidRPr="00C570AD">
        <w:rPr>
          <w:b/>
          <w:bCs/>
          <w:i/>
          <w:iCs/>
          <w:sz w:val="24"/>
          <w:szCs w:val="24"/>
          <w:lang w:val="en-GB"/>
        </w:rPr>
        <w:t xml:space="preserve">as </w:t>
      </w:r>
      <w:r w:rsidRPr="00906ADB">
        <w:rPr>
          <w:b/>
          <w:bCs/>
          <w:i/>
          <w:iCs/>
          <w:sz w:val="24"/>
          <w:szCs w:val="24"/>
          <w:lang w:val="en-GB"/>
        </w:rPr>
        <w:t>he knew or ought reasonably to have known would happen, the independent contractor uses that equipment to do the work by a method which is unsafe</w:t>
      </w:r>
      <w:r>
        <w:rPr>
          <w:i/>
          <w:iCs/>
          <w:sz w:val="24"/>
          <w:szCs w:val="24"/>
          <w:lang w:val="en-GB"/>
        </w:rPr>
        <w:t xml:space="preserve">; </w:t>
      </w:r>
      <w:r>
        <w:rPr>
          <w:i/>
          <w:iCs/>
          <w:sz w:val="24"/>
          <w:szCs w:val="24"/>
          <w:lang w:val="en-GB"/>
        </w:rPr>
        <w:lastRenderedPageBreak/>
        <w:t>and (3) the employee is injured as a result (§§2, 47)</w:t>
      </w:r>
      <w:r w:rsidRPr="00906ADB">
        <w:rPr>
          <w:sz w:val="24"/>
          <w:szCs w:val="24"/>
          <w:lang w:val="en-GB"/>
        </w:rPr>
        <w:t>”</w:t>
      </w:r>
      <w:r>
        <w:rPr>
          <w:sz w:val="24"/>
          <w:szCs w:val="24"/>
          <w:lang w:val="en-GB"/>
        </w:rPr>
        <w:t xml:space="preserve"> (emphasis added)</w:t>
      </w:r>
    </w:p>
    <w:p w:rsidR="007E4545" w:rsidRPr="00614CA4" w:rsidRDefault="007E4545" w:rsidP="00151318">
      <w:pPr>
        <w:tabs>
          <w:tab w:val="num" w:pos="1440"/>
        </w:tabs>
        <w:spacing w:line="360" w:lineRule="auto"/>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The “</w:t>
      </w:r>
      <w:r w:rsidRPr="00F7082A">
        <w:rPr>
          <w:i/>
          <w:iCs/>
          <w:lang w:val="en-GB"/>
        </w:rPr>
        <w:t>other authorities</w:t>
      </w:r>
      <w:r>
        <w:rPr>
          <w:lang w:val="en-GB"/>
        </w:rPr>
        <w:t>” refer to the English and Hong Kong cases listed under §28 of the Decision</w:t>
      </w:r>
      <w:r>
        <w:rPr>
          <w:rStyle w:val="FootnoteReference"/>
          <w:lang w:val="en-GB"/>
        </w:rPr>
        <w:footnoteReference w:id="1"/>
      </w:r>
      <w:r>
        <w:rPr>
          <w:lang w:val="en-GB"/>
        </w:rPr>
        <w:t xml:space="preserve">.  These support the well-established principle that a principal contractor does not </w:t>
      </w:r>
      <w:r>
        <w:rPr>
          <w:i/>
          <w:iCs/>
          <w:lang w:val="en-GB"/>
        </w:rPr>
        <w:t>per se</w:t>
      </w:r>
      <w:r>
        <w:rPr>
          <w:lang w:val="en-GB"/>
        </w:rPr>
        <w:t xml:space="preserve"> owe a duty to take care of his independent contractor’s employees.  </w:t>
      </w:r>
      <w:r w:rsidRPr="00AA2F90">
        <w:rPr>
          <w:lang w:val="en-GB"/>
        </w:rPr>
        <w:t>Something more is needed.</w:t>
      </w:r>
      <w:r>
        <w:rPr>
          <w:lang w:val="en-GB"/>
        </w:rPr>
        <w:t xml:space="preserve">  In order for such a duty to arise, the principal contractor must be shown to possess </w:t>
      </w:r>
      <w:r w:rsidRPr="003B5349">
        <w:rPr>
          <w:i/>
          <w:iCs/>
          <w:lang w:val="en-GB"/>
        </w:rPr>
        <w:t>knowledge</w:t>
      </w:r>
      <w:r>
        <w:rPr>
          <w:lang w:val="en-GB"/>
        </w:rPr>
        <w:t xml:space="preserve"> of the relevant danger and/or defects.</w:t>
      </w:r>
    </w:p>
    <w:p w:rsidR="007E4545" w:rsidRPr="00F012EA" w:rsidRDefault="007E4545" w:rsidP="00151318">
      <w:pPr>
        <w:tabs>
          <w:tab w:val="num" w:pos="1440"/>
        </w:tabs>
        <w:spacing w:line="360" w:lineRule="auto"/>
        <w:rPr>
          <w:lang w:val="en-GB"/>
        </w:rPr>
      </w:pPr>
    </w:p>
    <w:p w:rsidR="007E4545" w:rsidRPr="00C917D2"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sidRPr="006E1B0A">
        <w:rPr>
          <w:lang w:val="en-GB"/>
        </w:rPr>
        <w:t xml:space="preserve">P’s Submissions do </w:t>
      </w:r>
      <w:r w:rsidRPr="00AA2F90">
        <w:rPr>
          <w:lang w:val="en-GB"/>
        </w:rPr>
        <w:t>not</w:t>
      </w:r>
      <w:r w:rsidRPr="006E1B0A">
        <w:rPr>
          <w:lang w:val="en-GB"/>
        </w:rPr>
        <w:t xml:space="preserve"> suggest that</w:t>
      </w:r>
      <w:r>
        <w:rPr>
          <w:lang w:val="en-GB"/>
        </w:rPr>
        <w:t xml:space="preserve"> any of</w:t>
      </w:r>
      <w:r w:rsidRPr="006E1B0A">
        <w:rPr>
          <w:lang w:val="en-GB"/>
        </w:rPr>
        <w:t xml:space="preserve"> the foregoing principles are wrong as a matter of law.</w:t>
      </w:r>
      <w:r>
        <w:rPr>
          <w:lang w:val="en-GB"/>
        </w:rPr>
        <w:t xml:space="preserve">  Specifically in response to both </w:t>
      </w:r>
      <w:r>
        <w:rPr>
          <w:i/>
          <w:iCs/>
          <w:lang w:val="en-GB"/>
        </w:rPr>
        <w:t>Luen Hing Fat</w:t>
      </w:r>
      <w:r>
        <w:rPr>
          <w:lang w:val="en-GB"/>
        </w:rPr>
        <w:t xml:space="preserve"> and the other authorities, the plaintiff argues t</w:t>
      </w:r>
      <w:r w:rsidRPr="00E938EB">
        <w:rPr>
          <w:lang w:val="en-GB"/>
        </w:rPr>
        <w:t>hat</w:t>
      </w:r>
      <w:r>
        <w:rPr>
          <w:lang w:val="en-GB"/>
        </w:rPr>
        <w:t xml:space="preserve"> </w:t>
      </w:r>
      <w:r w:rsidRPr="006B331A">
        <w:rPr>
          <w:lang w:val="en-GB"/>
        </w:rPr>
        <w:t xml:space="preserve">I </w:t>
      </w:r>
      <w:r w:rsidRPr="002D06B5">
        <w:rPr>
          <w:lang w:val="en-GB"/>
        </w:rPr>
        <w:t xml:space="preserve">erred in </w:t>
      </w:r>
      <w:r>
        <w:rPr>
          <w:lang w:val="en-GB"/>
        </w:rPr>
        <w:t xml:space="preserve">the </w:t>
      </w:r>
      <w:r w:rsidRPr="002D06B5">
        <w:rPr>
          <w:lang w:val="en-GB"/>
        </w:rPr>
        <w:t>way I applied</w:t>
      </w:r>
      <w:r w:rsidRPr="00A55835">
        <w:rPr>
          <w:lang w:val="en-GB"/>
        </w:rPr>
        <w:t xml:space="preserve"> these</w:t>
      </w:r>
      <w:r w:rsidRPr="00E938EB">
        <w:rPr>
          <w:lang w:val="en-GB"/>
        </w:rPr>
        <w:t xml:space="preserve"> case</w:t>
      </w:r>
      <w:r>
        <w:rPr>
          <w:lang w:val="en-GB"/>
        </w:rPr>
        <w:t>s</w:t>
      </w:r>
      <w:r w:rsidRPr="00E938EB">
        <w:rPr>
          <w:lang w:val="en-GB"/>
        </w:rPr>
        <w:t>, or that they are “</w:t>
      </w:r>
      <w:r w:rsidRPr="00E938EB">
        <w:rPr>
          <w:i/>
          <w:iCs/>
          <w:lang w:val="en-GB"/>
        </w:rPr>
        <w:t>irrelevant</w:t>
      </w:r>
      <w:r w:rsidRPr="00E938EB">
        <w:rPr>
          <w:lang w:val="en-GB"/>
        </w:rPr>
        <w:t>”, or that they are “</w:t>
      </w:r>
      <w:r w:rsidRPr="00E938EB">
        <w:rPr>
          <w:i/>
          <w:iCs/>
          <w:lang w:val="en-GB"/>
        </w:rPr>
        <w:t>distinguishable on the facts</w:t>
      </w:r>
      <w:r w:rsidRPr="00E938EB">
        <w:rPr>
          <w:lang w:val="en-GB"/>
        </w:rPr>
        <w:t>”</w:t>
      </w:r>
      <w:r w:rsidRPr="00C917D2">
        <w:rPr>
          <w:lang w:val="en-GB"/>
        </w:rPr>
        <w:t>.</w:t>
      </w:r>
    </w:p>
    <w:p w:rsidR="007E4545" w:rsidRPr="00494199" w:rsidRDefault="007E4545" w:rsidP="00151318">
      <w:pPr>
        <w:tabs>
          <w:tab w:val="num" w:pos="1440"/>
        </w:tabs>
        <w:spacing w:line="360" w:lineRule="auto"/>
        <w:jc w:val="both"/>
        <w:rPr>
          <w:lang w:val="en-GB"/>
        </w:rPr>
      </w:pPr>
    </w:p>
    <w:p w:rsidR="007E4545" w:rsidRPr="005222D6"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The plaintiff</w:t>
      </w:r>
      <w:r w:rsidRPr="006E1B0A">
        <w:rPr>
          <w:lang w:val="en-GB"/>
        </w:rPr>
        <w:t xml:space="preserve"> </w:t>
      </w:r>
      <w:r>
        <w:rPr>
          <w:lang w:val="en-GB"/>
        </w:rPr>
        <w:t xml:space="preserve">further </w:t>
      </w:r>
      <w:r w:rsidRPr="006E1B0A">
        <w:rPr>
          <w:lang w:val="en-GB"/>
        </w:rPr>
        <w:t>prays in aid two additional authorities</w:t>
      </w:r>
      <w:r>
        <w:rPr>
          <w:rStyle w:val="FootnoteReference"/>
          <w:lang w:val="en-GB"/>
        </w:rPr>
        <w:footnoteReference w:id="2"/>
      </w:r>
      <w:r>
        <w:rPr>
          <w:lang w:val="en-GB"/>
        </w:rPr>
        <w:t xml:space="preserve">, </w:t>
      </w:r>
      <w:r w:rsidRPr="00AA2F90">
        <w:rPr>
          <w:lang w:val="en-GB"/>
        </w:rPr>
        <w:t>neither</w:t>
      </w:r>
      <w:r w:rsidRPr="00D31190">
        <w:rPr>
          <w:lang w:val="en-GB"/>
        </w:rPr>
        <w:t xml:space="preserve"> </w:t>
      </w:r>
      <w:r>
        <w:rPr>
          <w:lang w:val="en-GB"/>
        </w:rPr>
        <w:t>of which was cited before me, said to support his case that the 2</w:t>
      </w:r>
      <w:r w:rsidRPr="00AA2F90">
        <w:rPr>
          <w:vertAlign w:val="superscript"/>
          <w:lang w:val="en-GB"/>
        </w:rPr>
        <w:t>nd</w:t>
      </w:r>
      <w:r>
        <w:rPr>
          <w:lang w:val="en-GB"/>
        </w:rPr>
        <w:t xml:space="preserve"> defendant owed a direct duty of care to him on the facts.</w:t>
      </w:r>
    </w:p>
    <w:p w:rsidR="007E4545" w:rsidRPr="005833D8" w:rsidRDefault="007E4545" w:rsidP="00151318">
      <w:pPr>
        <w:tabs>
          <w:tab w:val="num" w:pos="1440"/>
        </w:tabs>
        <w:spacing w:line="360" w:lineRule="auto"/>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sidRPr="006E1B0A">
        <w:rPr>
          <w:lang w:val="en-GB"/>
        </w:rPr>
        <w:t xml:space="preserve">Finally, </w:t>
      </w:r>
      <w:r>
        <w:rPr>
          <w:lang w:val="en-GB"/>
        </w:rPr>
        <w:t>the plaintiff</w:t>
      </w:r>
      <w:r w:rsidRPr="006E1B0A">
        <w:rPr>
          <w:lang w:val="en-GB"/>
        </w:rPr>
        <w:t xml:space="preserve"> </w:t>
      </w:r>
      <w:r>
        <w:rPr>
          <w:lang w:val="en-GB"/>
        </w:rPr>
        <w:t xml:space="preserve">relies on </w:t>
      </w:r>
      <w:r w:rsidRPr="006E1B0A">
        <w:rPr>
          <w:lang w:val="en-GB"/>
        </w:rPr>
        <w:t xml:space="preserve">the </w:t>
      </w:r>
      <w:r w:rsidRPr="003B5349">
        <w:rPr>
          <w:lang w:val="en-GB"/>
        </w:rPr>
        <w:t>Master’s</w:t>
      </w:r>
      <w:r w:rsidRPr="006E1B0A">
        <w:rPr>
          <w:lang w:val="en-GB"/>
        </w:rPr>
        <w:t xml:space="preserve"> finding</w:t>
      </w:r>
      <w:r>
        <w:rPr>
          <w:lang w:val="en-GB"/>
        </w:rPr>
        <w:t xml:space="preserve"> that “</w:t>
      </w:r>
      <w:r>
        <w:rPr>
          <w:i/>
          <w:iCs/>
          <w:lang w:val="en-GB"/>
        </w:rPr>
        <w:t>§1&amp;5 of the [statement of claim] duly provided for the role of [D2] to the Work shows that [P’s] case against [D2] is a clear one concerning failure to provide proper equipment, training, manpower and supervision</w:t>
      </w:r>
      <w:r>
        <w:rPr>
          <w:lang w:val="en-GB"/>
        </w:rPr>
        <w:t xml:space="preserve">” in </w:t>
      </w:r>
      <w:r w:rsidRPr="00AA2F90">
        <w:rPr>
          <w:lang w:val="en-GB"/>
        </w:rPr>
        <w:lastRenderedPageBreak/>
        <w:t>support</w:t>
      </w:r>
      <w:r>
        <w:rPr>
          <w:lang w:val="en-GB"/>
        </w:rPr>
        <w:t xml:space="preserve"> of his argument that “</w:t>
      </w:r>
      <w:r>
        <w:rPr>
          <w:i/>
          <w:iCs/>
          <w:lang w:val="en-GB"/>
        </w:rPr>
        <w:t>this is not a plain and obvious case for striking out.</w:t>
      </w:r>
      <w:r>
        <w:rPr>
          <w:lang w:val="en-GB"/>
        </w:rPr>
        <w:t>”.</w:t>
      </w:r>
    </w:p>
    <w:p w:rsidR="007E4545" w:rsidRPr="00D6512E" w:rsidRDefault="007E4545" w:rsidP="00151318">
      <w:pPr>
        <w:tabs>
          <w:tab w:val="num" w:pos="1440"/>
        </w:tabs>
        <w:spacing w:line="360" w:lineRule="auto"/>
        <w:rPr>
          <w:lang w:val="en-GB"/>
        </w:rPr>
      </w:pPr>
    </w:p>
    <w:p w:rsidR="007E4545" w:rsidRPr="00D31190"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The 2</w:t>
      </w:r>
      <w:r w:rsidRPr="00AA2F90">
        <w:rPr>
          <w:vertAlign w:val="superscript"/>
          <w:lang w:val="en-GB"/>
        </w:rPr>
        <w:t>nd</w:t>
      </w:r>
      <w:r>
        <w:rPr>
          <w:lang w:val="en-GB"/>
        </w:rPr>
        <w:t xml:space="preserve"> defendant submits that none of the plaintiff’s arguments have any merit. </w:t>
      </w:r>
      <w:r w:rsidR="00CE2836">
        <w:rPr>
          <w:lang w:val="en-GB"/>
        </w:rPr>
        <w:t xml:space="preserve"> </w:t>
      </w:r>
      <w:r>
        <w:rPr>
          <w:lang w:val="en-GB"/>
        </w:rPr>
        <w:t>The plaintiff has failed to show that “</w:t>
      </w:r>
      <w:r>
        <w:rPr>
          <w:i/>
          <w:iCs/>
          <w:lang w:val="en-GB"/>
        </w:rPr>
        <w:t>there was an error in law, or misapprehension of material facts, or the judge had failed to take into account relevant matters, or had taken into account irrelevant matters, or the decision was plainly wrong</w:t>
      </w:r>
      <w:r>
        <w:rPr>
          <w:lang w:val="en-GB"/>
        </w:rPr>
        <w:t xml:space="preserve">”: </w:t>
      </w:r>
      <w:r w:rsidRPr="00867423">
        <w:rPr>
          <w:i/>
          <w:lang w:val="en-GB"/>
        </w:rPr>
        <w:t>Tan Shaun Zhi Ming v Euromoney Institutional Investor (Jersey) Ltd</w:t>
      </w:r>
      <w:r w:rsidRPr="00F81EF1">
        <w:rPr>
          <w:lang w:val="en-GB"/>
        </w:rPr>
        <w:t xml:space="preserve"> (</w:t>
      </w:r>
      <w:r>
        <w:rPr>
          <w:lang w:val="en-GB"/>
        </w:rPr>
        <w:t>unrep,</w:t>
      </w:r>
      <w:r w:rsidRPr="00F81EF1">
        <w:rPr>
          <w:lang w:val="en-GB"/>
        </w:rPr>
        <w:t xml:space="preserve"> CACV351/2018</w:t>
      </w:r>
      <w:r>
        <w:rPr>
          <w:lang w:val="en-GB"/>
        </w:rPr>
        <w:t xml:space="preserve">, </w:t>
      </w:r>
      <w:r w:rsidRPr="00F81EF1">
        <w:rPr>
          <w:lang w:val="en-GB"/>
        </w:rPr>
        <w:t>15</w:t>
      </w:r>
      <w:r>
        <w:rPr>
          <w:lang w:val="en-GB"/>
        </w:rPr>
        <w:t>.</w:t>
      </w:r>
      <w:r w:rsidRPr="00F81EF1">
        <w:rPr>
          <w:lang w:val="en-GB"/>
        </w:rPr>
        <w:t>5</w:t>
      </w:r>
      <w:r>
        <w:rPr>
          <w:lang w:val="en-GB"/>
        </w:rPr>
        <w:t>.</w:t>
      </w:r>
      <w:r w:rsidRPr="00F81EF1">
        <w:rPr>
          <w:lang w:val="en-GB"/>
        </w:rPr>
        <w:t>2019) [2019] HKCA 523</w:t>
      </w:r>
      <w:r>
        <w:rPr>
          <w:b/>
          <w:bCs/>
          <w:lang w:val="en-GB"/>
        </w:rPr>
        <w:t xml:space="preserve"> </w:t>
      </w:r>
      <w:r w:rsidRPr="00B45472">
        <w:rPr>
          <w:i/>
          <w:lang w:val="en-GB"/>
        </w:rPr>
        <w:t>per</w:t>
      </w:r>
      <w:r>
        <w:rPr>
          <w:lang w:val="en-GB"/>
        </w:rPr>
        <w:t xml:space="preserve"> Yuen JA at §16, which is the applicable test when the plaintiff is seeking to appeal against an exercise of discretion by a judge in a striking out application. The 2</w:t>
      </w:r>
      <w:r w:rsidRPr="00AA2F90">
        <w:rPr>
          <w:vertAlign w:val="superscript"/>
          <w:lang w:val="en-GB"/>
        </w:rPr>
        <w:t>nd</w:t>
      </w:r>
      <w:r>
        <w:rPr>
          <w:lang w:val="en-GB"/>
        </w:rPr>
        <w:t xml:space="preserve"> defendant</w:t>
      </w:r>
      <w:r w:rsidRPr="00D31190">
        <w:rPr>
          <w:lang w:val="en-GB"/>
        </w:rPr>
        <w:t xml:space="preserve"> submits </w:t>
      </w:r>
      <w:r>
        <w:rPr>
          <w:lang w:val="en-GB"/>
        </w:rPr>
        <w:t>the plaintiff</w:t>
      </w:r>
      <w:r w:rsidRPr="00D31190">
        <w:rPr>
          <w:lang w:val="en-GB"/>
        </w:rPr>
        <w:t>’s leave application should accordingly be dismissed with costs.</w:t>
      </w:r>
    </w:p>
    <w:p w:rsidR="007E4545" w:rsidRPr="00282787" w:rsidRDefault="007E4545" w:rsidP="00151318">
      <w:pPr>
        <w:tabs>
          <w:tab w:val="num" w:pos="1440"/>
        </w:tabs>
        <w:spacing w:line="360" w:lineRule="auto"/>
        <w:rPr>
          <w:lang w:val="en-GB"/>
        </w:rPr>
      </w:pPr>
    </w:p>
    <w:p w:rsidR="007E4545" w:rsidRPr="00AA2F90" w:rsidRDefault="007E4545" w:rsidP="00151318">
      <w:pPr>
        <w:tabs>
          <w:tab w:val="num" w:pos="1440"/>
        </w:tabs>
        <w:spacing w:line="360" w:lineRule="auto"/>
        <w:jc w:val="both"/>
        <w:rPr>
          <w:i/>
          <w:iCs/>
          <w:lang w:val="en-GB"/>
        </w:rPr>
      </w:pPr>
      <w:r w:rsidRPr="00AA2F90">
        <w:rPr>
          <w:i/>
          <w:iCs/>
          <w:lang w:val="en-GB"/>
        </w:rPr>
        <w:t>Luen Hing Fat and “other authorities”</w:t>
      </w:r>
    </w:p>
    <w:p w:rsidR="007E4545" w:rsidRDefault="007E4545" w:rsidP="00151318">
      <w:pPr>
        <w:tabs>
          <w:tab w:val="num" w:pos="1440"/>
        </w:tabs>
        <w:spacing w:line="360" w:lineRule="auto"/>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 xml:space="preserve">The Summons states the ground of appeal is that I erred in application of </w:t>
      </w:r>
      <w:r w:rsidRPr="00AA2F90">
        <w:rPr>
          <w:i/>
          <w:iCs/>
          <w:lang w:val="en-GB"/>
        </w:rPr>
        <w:t>Luen Hing Fat</w:t>
      </w:r>
      <w:r>
        <w:rPr>
          <w:lang w:val="en-GB"/>
        </w:rPr>
        <w:t xml:space="preserve"> on the facts, which is distinguishable. </w:t>
      </w:r>
      <w:r w:rsidR="00CE2836">
        <w:rPr>
          <w:lang w:val="en-GB"/>
        </w:rPr>
        <w:t xml:space="preserve"> </w:t>
      </w:r>
      <w:r>
        <w:rPr>
          <w:lang w:val="en-GB"/>
        </w:rPr>
        <w:t>P’s Submissions refer to additional grounds. Under the first ground of intended appeal, the plaintiff contends:-</w:t>
      </w:r>
    </w:p>
    <w:p w:rsidR="007E4545" w:rsidRPr="00AF6EA0" w:rsidRDefault="007E4545" w:rsidP="00151318">
      <w:pPr>
        <w:tabs>
          <w:tab w:val="num" w:pos="1440"/>
        </w:tabs>
        <w:spacing w:line="360" w:lineRule="auto"/>
        <w:rPr>
          <w:lang w:val="en-GB"/>
        </w:rPr>
      </w:pPr>
    </w:p>
    <w:p w:rsidR="007E4545" w:rsidRDefault="007E4545" w:rsidP="00126C54">
      <w:pPr>
        <w:pStyle w:val="ListParagraph"/>
        <w:numPr>
          <w:ilvl w:val="1"/>
          <w:numId w:val="31"/>
        </w:numPr>
        <w:tabs>
          <w:tab w:val="clear" w:pos="1418"/>
          <w:tab w:val="clear" w:pos="4320"/>
          <w:tab w:val="clear" w:pos="9072"/>
          <w:tab w:val="left" w:pos="2160"/>
        </w:tabs>
        <w:snapToGrid/>
        <w:spacing w:line="360" w:lineRule="auto"/>
        <w:ind w:left="2160" w:hanging="720"/>
        <w:contextualSpacing/>
        <w:jc w:val="both"/>
        <w:rPr>
          <w:lang w:val="en-GB"/>
        </w:rPr>
      </w:pPr>
      <w:r>
        <w:rPr>
          <w:i/>
          <w:iCs/>
          <w:lang w:val="en-GB"/>
        </w:rPr>
        <w:t>Luen Hing Fat</w:t>
      </w:r>
      <w:r>
        <w:rPr>
          <w:lang w:val="en-GB"/>
        </w:rPr>
        <w:t xml:space="preserve"> was distinguishable from the present case since the equipment provided by the principal contractor there was “</w:t>
      </w:r>
      <w:r>
        <w:rPr>
          <w:i/>
          <w:iCs/>
          <w:lang w:val="en-GB"/>
        </w:rPr>
        <w:t>not intrinsically dangerous or faulty</w:t>
      </w:r>
      <w:r>
        <w:rPr>
          <w:lang w:val="en-GB"/>
        </w:rPr>
        <w:t>”, whereas the ladder supplied by the 2</w:t>
      </w:r>
      <w:r w:rsidRPr="00AA2F90">
        <w:rPr>
          <w:vertAlign w:val="superscript"/>
          <w:lang w:val="en-GB"/>
        </w:rPr>
        <w:t>nd</w:t>
      </w:r>
      <w:r>
        <w:rPr>
          <w:lang w:val="en-GB"/>
        </w:rPr>
        <w:t xml:space="preserve"> defendant to the plaintiff of the 1</w:t>
      </w:r>
      <w:r w:rsidRPr="00AA2F90">
        <w:rPr>
          <w:vertAlign w:val="superscript"/>
          <w:lang w:val="en-GB"/>
        </w:rPr>
        <w:t>st</w:t>
      </w:r>
      <w:r>
        <w:rPr>
          <w:lang w:val="en-GB"/>
        </w:rPr>
        <w:t xml:space="preserve"> defendant was “</w:t>
      </w:r>
      <w:r>
        <w:rPr>
          <w:i/>
          <w:iCs/>
          <w:lang w:val="en-GB"/>
        </w:rPr>
        <w:t>clearly pleaded to be not safe and proper</w:t>
      </w:r>
      <w:r>
        <w:rPr>
          <w:lang w:val="en-GB"/>
        </w:rPr>
        <w:t>”;</w:t>
      </w:r>
    </w:p>
    <w:p w:rsidR="007E4545" w:rsidRDefault="007E4545" w:rsidP="00126C54">
      <w:pPr>
        <w:pStyle w:val="ListParagraph"/>
        <w:tabs>
          <w:tab w:val="clear" w:pos="1440"/>
          <w:tab w:val="left" w:pos="2160"/>
        </w:tabs>
        <w:spacing w:line="360" w:lineRule="auto"/>
        <w:ind w:left="2160" w:hanging="720"/>
        <w:rPr>
          <w:lang w:val="en-GB"/>
        </w:rPr>
      </w:pPr>
    </w:p>
    <w:p w:rsidR="007E4545" w:rsidRDefault="007E4545" w:rsidP="00126C54">
      <w:pPr>
        <w:pStyle w:val="ListParagraph"/>
        <w:numPr>
          <w:ilvl w:val="1"/>
          <w:numId w:val="31"/>
        </w:numPr>
        <w:tabs>
          <w:tab w:val="clear" w:pos="1418"/>
          <w:tab w:val="clear" w:pos="4320"/>
          <w:tab w:val="clear" w:pos="9072"/>
          <w:tab w:val="left" w:pos="2160"/>
        </w:tabs>
        <w:snapToGrid/>
        <w:spacing w:line="360" w:lineRule="auto"/>
        <w:ind w:left="2160" w:hanging="720"/>
        <w:contextualSpacing/>
        <w:jc w:val="both"/>
        <w:rPr>
          <w:lang w:val="en-GB"/>
        </w:rPr>
      </w:pPr>
      <w:r>
        <w:rPr>
          <w:lang w:val="en-GB"/>
        </w:rPr>
        <w:t xml:space="preserve">In </w:t>
      </w:r>
      <w:r>
        <w:rPr>
          <w:i/>
          <w:iCs/>
          <w:lang w:val="en-GB"/>
        </w:rPr>
        <w:t>Luen Hing Fat</w:t>
      </w:r>
      <w:r>
        <w:rPr>
          <w:lang w:val="en-GB"/>
        </w:rPr>
        <w:t>, the lending of “</w:t>
      </w:r>
      <w:r>
        <w:rPr>
          <w:i/>
          <w:iCs/>
          <w:lang w:val="en-GB"/>
        </w:rPr>
        <w:t>unsuitable</w:t>
      </w:r>
      <w:r>
        <w:rPr>
          <w:lang w:val="en-GB"/>
        </w:rPr>
        <w:t>” equipment was held (at §16) to impose a duty of care “</w:t>
      </w:r>
      <w:r>
        <w:rPr>
          <w:i/>
          <w:iCs/>
          <w:lang w:val="en-GB"/>
        </w:rPr>
        <w:t>by reason of having had a hand in the creation of the danger which flowed from the use of unsuitable equipment and then failing to take any steps to put a stop to or even warn against such use before it resulted in an accident</w:t>
      </w:r>
      <w:r>
        <w:rPr>
          <w:lang w:val="en-GB"/>
        </w:rPr>
        <w:t>”;</w:t>
      </w:r>
    </w:p>
    <w:p w:rsidR="007E4545" w:rsidRPr="00C73BA1" w:rsidRDefault="007E4545" w:rsidP="00126C54">
      <w:pPr>
        <w:pStyle w:val="ListParagraph"/>
        <w:tabs>
          <w:tab w:val="clear" w:pos="1440"/>
          <w:tab w:val="left" w:pos="2160"/>
        </w:tabs>
        <w:spacing w:line="360" w:lineRule="auto"/>
        <w:ind w:left="2160" w:hanging="720"/>
        <w:rPr>
          <w:lang w:val="en-GB"/>
        </w:rPr>
      </w:pPr>
    </w:p>
    <w:p w:rsidR="007E4545" w:rsidRDefault="007E4545" w:rsidP="00126C54">
      <w:pPr>
        <w:pStyle w:val="ListParagraph"/>
        <w:numPr>
          <w:ilvl w:val="1"/>
          <w:numId w:val="31"/>
        </w:numPr>
        <w:tabs>
          <w:tab w:val="clear" w:pos="1418"/>
          <w:tab w:val="clear" w:pos="4320"/>
          <w:tab w:val="clear" w:pos="9072"/>
          <w:tab w:val="left" w:pos="2160"/>
        </w:tabs>
        <w:snapToGrid/>
        <w:spacing w:line="360" w:lineRule="auto"/>
        <w:ind w:left="2160" w:hanging="720"/>
        <w:contextualSpacing/>
        <w:jc w:val="both"/>
        <w:rPr>
          <w:lang w:val="en-GB"/>
        </w:rPr>
      </w:pPr>
      <w:r>
        <w:rPr>
          <w:lang w:val="en-GB"/>
        </w:rPr>
        <w:t xml:space="preserve">The plaintiff further contends that in the SoC, the plaintiff has pleaded that </w:t>
      </w:r>
      <w:r w:rsidRPr="00062521">
        <w:rPr>
          <w:i/>
          <w:lang w:val="en-GB"/>
        </w:rPr>
        <w:t>(i)</w:t>
      </w:r>
      <w:r>
        <w:rPr>
          <w:lang w:val="en-GB"/>
        </w:rPr>
        <w:t xml:space="preserve"> the ladder provided by the 2</w:t>
      </w:r>
      <w:r w:rsidRPr="00AA2F90">
        <w:rPr>
          <w:vertAlign w:val="superscript"/>
          <w:lang w:val="en-GB"/>
        </w:rPr>
        <w:t>nd</w:t>
      </w:r>
      <w:r>
        <w:rPr>
          <w:lang w:val="en-GB"/>
        </w:rPr>
        <w:t xml:space="preserve"> defendant was “</w:t>
      </w:r>
      <w:r>
        <w:rPr>
          <w:i/>
          <w:iCs/>
          <w:lang w:val="en-GB"/>
        </w:rPr>
        <w:t>not safe and proper for the work</w:t>
      </w:r>
      <w:r>
        <w:rPr>
          <w:lang w:val="en-GB"/>
        </w:rPr>
        <w:t xml:space="preserve">”; </w:t>
      </w:r>
      <w:r w:rsidRPr="00062521">
        <w:rPr>
          <w:i/>
          <w:lang w:val="en-GB"/>
        </w:rPr>
        <w:t>(ii)</w:t>
      </w:r>
      <w:r>
        <w:rPr>
          <w:lang w:val="en-GB"/>
        </w:rPr>
        <w:t xml:space="preserve"> the 2</w:t>
      </w:r>
      <w:r w:rsidRPr="00AA2F90">
        <w:rPr>
          <w:vertAlign w:val="superscript"/>
          <w:lang w:val="en-GB"/>
        </w:rPr>
        <w:t>nd</w:t>
      </w:r>
      <w:r>
        <w:rPr>
          <w:lang w:val="en-GB"/>
        </w:rPr>
        <w:t xml:space="preserve"> defendant has failed to provide the relevant training, manpower, supervision and instruction.</w:t>
      </w:r>
    </w:p>
    <w:p w:rsidR="007E4545" w:rsidRPr="003E09C7" w:rsidRDefault="007E4545" w:rsidP="00151318">
      <w:pPr>
        <w:tabs>
          <w:tab w:val="num" w:pos="1440"/>
        </w:tabs>
        <w:spacing w:line="360" w:lineRule="auto"/>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 xml:space="preserve">In my view the plaintiff’s above contentions suffer from the fundamental flaw </w:t>
      </w:r>
      <w:r w:rsidRPr="00217EBC">
        <w:rPr>
          <w:lang w:val="en-GB"/>
        </w:rPr>
        <w:t xml:space="preserve">that </w:t>
      </w:r>
      <w:r>
        <w:rPr>
          <w:lang w:val="en-GB"/>
        </w:rPr>
        <w:t xml:space="preserve">the plaintiff </w:t>
      </w:r>
      <w:r w:rsidRPr="00AA2F90">
        <w:rPr>
          <w:lang w:val="en-GB"/>
        </w:rPr>
        <w:t>has failed to plead the necessary facts that would give rise to a duty of care in the first place</w:t>
      </w:r>
      <w:r w:rsidRPr="00217EBC">
        <w:rPr>
          <w:lang w:val="en-GB"/>
        </w:rPr>
        <w:t xml:space="preserve">.  What </w:t>
      </w:r>
      <w:r>
        <w:rPr>
          <w:lang w:val="en-GB"/>
        </w:rPr>
        <w:t xml:space="preserve">he </w:t>
      </w:r>
      <w:r w:rsidRPr="00217EBC">
        <w:rPr>
          <w:lang w:val="en-GB"/>
        </w:rPr>
        <w:t xml:space="preserve">has pleaded </w:t>
      </w:r>
      <w:r w:rsidRPr="00982460">
        <w:rPr>
          <w:lang w:val="en-GB"/>
        </w:rPr>
        <w:t xml:space="preserve">falls </w:t>
      </w:r>
      <w:r w:rsidRPr="00AA2F90">
        <w:rPr>
          <w:lang w:val="en-GB"/>
        </w:rPr>
        <w:t>clearly</w:t>
      </w:r>
      <w:r w:rsidRPr="002D06B5">
        <w:rPr>
          <w:strike/>
          <w:lang w:val="en-GB"/>
        </w:rPr>
        <w:t xml:space="preserve"> </w:t>
      </w:r>
      <w:r w:rsidRPr="003478EC">
        <w:rPr>
          <w:lang w:val="en-GB"/>
        </w:rPr>
        <w:t>short of what is required for a duty to arise.  In particular:-</w:t>
      </w:r>
    </w:p>
    <w:p w:rsidR="007E4545" w:rsidRPr="00A06EE5" w:rsidRDefault="007E4545" w:rsidP="00151318">
      <w:pPr>
        <w:tabs>
          <w:tab w:val="num" w:pos="1440"/>
        </w:tabs>
        <w:spacing w:line="360" w:lineRule="auto"/>
        <w:jc w:val="both"/>
        <w:rPr>
          <w:lang w:val="en-GB"/>
        </w:rPr>
      </w:pPr>
    </w:p>
    <w:p w:rsidR="007E4545" w:rsidRDefault="007E4545" w:rsidP="00126C54">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It is wrong for the plaintiff to rely on the matters pleaded in §5 of the SoC to argue the existence of a duty of care owed by the 2</w:t>
      </w:r>
      <w:r w:rsidRPr="00AA2F90">
        <w:rPr>
          <w:vertAlign w:val="superscript"/>
          <w:lang w:val="en-GB"/>
        </w:rPr>
        <w:t>nd</w:t>
      </w:r>
      <w:r>
        <w:rPr>
          <w:lang w:val="en-GB"/>
        </w:rPr>
        <w:t xml:space="preserve"> defendant to the plaintiff.  What is pleaded at §5 are “</w:t>
      </w:r>
      <w:r>
        <w:rPr>
          <w:i/>
          <w:iCs/>
          <w:lang w:val="en-GB"/>
        </w:rPr>
        <w:t>particulars of negligence</w:t>
      </w:r>
      <w:r>
        <w:rPr>
          <w:lang w:val="en-GB"/>
        </w:rPr>
        <w:t xml:space="preserve">”.  These relate to the question of </w:t>
      </w:r>
      <w:r w:rsidRPr="00266581">
        <w:rPr>
          <w:i/>
          <w:iCs/>
          <w:lang w:val="en-GB"/>
        </w:rPr>
        <w:t>breach</w:t>
      </w:r>
      <w:r>
        <w:rPr>
          <w:lang w:val="en-GB"/>
        </w:rPr>
        <w:t xml:space="preserve">, </w:t>
      </w:r>
      <w:r w:rsidRPr="00AA2F90">
        <w:rPr>
          <w:lang w:val="en-GB"/>
        </w:rPr>
        <w:t>not</w:t>
      </w:r>
      <w:r w:rsidRPr="000130F8">
        <w:rPr>
          <w:lang w:val="en-GB"/>
        </w:rPr>
        <w:t xml:space="preserve"> </w:t>
      </w:r>
      <w:r>
        <w:rPr>
          <w:lang w:val="en-GB"/>
        </w:rPr>
        <w:t>the prior question of duty of care owed by the 2</w:t>
      </w:r>
      <w:r w:rsidRPr="00AA2F90">
        <w:rPr>
          <w:vertAlign w:val="superscript"/>
          <w:lang w:val="en-GB"/>
        </w:rPr>
        <w:t>nd</w:t>
      </w:r>
      <w:r>
        <w:rPr>
          <w:lang w:val="en-GB"/>
        </w:rPr>
        <w:t xml:space="preserve"> defendant.  In the absence of the existence of any duty of care owed by the 2</w:t>
      </w:r>
      <w:r w:rsidRPr="00AA2F90">
        <w:rPr>
          <w:vertAlign w:val="superscript"/>
          <w:lang w:val="en-GB"/>
        </w:rPr>
        <w:t>nd</w:t>
      </w:r>
      <w:r>
        <w:rPr>
          <w:lang w:val="en-GB"/>
        </w:rPr>
        <w:t xml:space="preserve"> defendant to the plaintiff in the first place, there </w:t>
      </w:r>
      <w:r>
        <w:rPr>
          <w:lang w:val="en-GB"/>
        </w:rPr>
        <w:lastRenderedPageBreak/>
        <w:t>is simply no question of breach by the 2</w:t>
      </w:r>
      <w:r w:rsidRPr="00AA2F90">
        <w:rPr>
          <w:vertAlign w:val="superscript"/>
          <w:lang w:val="en-GB"/>
        </w:rPr>
        <w:t>nd</w:t>
      </w:r>
      <w:r>
        <w:rPr>
          <w:lang w:val="en-GB"/>
        </w:rPr>
        <w:t xml:space="preserve"> defendant arising.  It was held at §37 of the Decision, “</w:t>
      </w:r>
      <w:r>
        <w:rPr>
          <w:i/>
          <w:iCs/>
          <w:lang w:val="en-GB"/>
        </w:rPr>
        <w:t>[if] the plaintiff has not pleaded the relevant duty owed by [D2] to [P] a necessary averment is missing.</w:t>
      </w:r>
      <w:r w:rsidR="00AC4307">
        <w:rPr>
          <w:i/>
          <w:iCs/>
          <w:lang w:val="en-GB"/>
        </w:rPr>
        <w:t xml:space="preserve"> </w:t>
      </w:r>
      <w:r>
        <w:rPr>
          <w:i/>
          <w:iCs/>
          <w:lang w:val="en-GB"/>
        </w:rPr>
        <w:t xml:space="preserve"> Pleading breach would not save the pleading of negligence.</w:t>
      </w:r>
      <w:r>
        <w:rPr>
          <w:lang w:val="en-GB"/>
        </w:rPr>
        <w:t>”  The plaintiff does not suggest that holding was wrong.  The 2</w:t>
      </w:r>
      <w:r w:rsidRPr="00AA2F90">
        <w:rPr>
          <w:vertAlign w:val="superscript"/>
          <w:lang w:val="en-GB"/>
        </w:rPr>
        <w:t>nd</w:t>
      </w:r>
      <w:r>
        <w:rPr>
          <w:lang w:val="en-GB"/>
        </w:rPr>
        <w:t xml:space="preserve"> defendant submits hence, any reliance by the plaintiff on the matters pleaded at §5 of the SoC fails </w:t>
      </w:r>
      <w:r>
        <w:rPr>
          <w:i/>
          <w:iCs/>
          <w:lang w:val="en-GB"/>
        </w:rPr>
        <w:t>in limine</w:t>
      </w:r>
      <w:r>
        <w:rPr>
          <w:lang w:val="en-GB"/>
        </w:rPr>
        <w:t xml:space="preserve">. </w:t>
      </w:r>
      <w:r w:rsidR="00AC4307">
        <w:rPr>
          <w:lang w:val="en-GB"/>
        </w:rPr>
        <w:t xml:space="preserve"> </w:t>
      </w:r>
      <w:r>
        <w:rPr>
          <w:lang w:val="en-GB"/>
        </w:rPr>
        <w:t>The P’s Reply Submissions argue that one should not separate pleadings of duty and breach, as the provision of unsafe equipment is sufficient to establish a duty of care, “</w:t>
      </w:r>
      <w:r w:rsidRPr="002008E1">
        <w:rPr>
          <w:i/>
          <w:iCs/>
          <w:lang w:val="en-GB"/>
        </w:rPr>
        <w:t>in other words the so-called pleadings of breach are in effect pleadings of duty-cum-breach.</w:t>
      </w:r>
      <w:r>
        <w:rPr>
          <w:lang w:val="en-GB"/>
        </w:rPr>
        <w:t xml:space="preserve">”. </w:t>
      </w:r>
      <w:r w:rsidR="00AC4307">
        <w:rPr>
          <w:lang w:val="en-GB"/>
        </w:rPr>
        <w:t xml:space="preserve"> </w:t>
      </w:r>
      <w:r>
        <w:rPr>
          <w:lang w:val="en-GB"/>
        </w:rPr>
        <w:t>The plaintiff continues that the 2</w:t>
      </w:r>
      <w:r w:rsidRPr="00AA2F90">
        <w:rPr>
          <w:vertAlign w:val="superscript"/>
          <w:lang w:val="en-GB"/>
        </w:rPr>
        <w:t>nd</w:t>
      </w:r>
      <w:r>
        <w:rPr>
          <w:lang w:val="en-GB"/>
        </w:rPr>
        <w:t xml:space="preserve"> defendant’s interpretation wrongly focuses on the form such as the title of “</w:t>
      </w:r>
      <w:r w:rsidRPr="00974C66">
        <w:rPr>
          <w:i/>
          <w:iCs/>
          <w:lang w:val="en-GB"/>
        </w:rPr>
        <w:t>particulars of negligence</w:t>
      </w:r>
      <w:r>
        <w:rPr>
          <w:lang w:val="en-GB"/>
        </w:rPr>
        <w:t xml:space="preserve">”, instead of the substance of the pleaded case. </w:t>
      </w:r>
      <w:r w:rsidR="00AC4307">
        <w:rPr>
          <w:lang w:val="en-GB"/>
        </w:rPr>
        <w:t xml:space="preserve"> </w:t>
      </w:r>
      <w:r>
        <w:rPr>
          <w:lang w:val="en-GB"/>
        </w:rPr>
        <w:t xml:space="preserve">I reject that argument. </w:t>
      </w:r>
      <w:r w:rsidR="00AC4307">
        <w:rPr>
          <w:lang w:val="en-GB"/>
        </w:rPr>
        <w:t xml:space="preserve"> </w:t>
      </w:r>
      <w:r>
        <w:rPr>
          <w:lang w:val="en-GB"/>
        </w:rPr>
        <w:t>The issue was not determined on the basis of headings or the paragraph numbers in the SoC. Rather, the substance, reading the actual averments and words used to plead the case against the 2</w:t>
      </w:r>
      <w:r w:rsidRPr="00AA2F90">
        <w:rPr>
          <w:vertAlign w:val="superscript"/>
          <w:lang w:val="en-GB"/>
        </w:rPr>
        <w:t>nd</w:t>
      </w:r>
      <w:r>
        <w:rPr>
          <w:lang w:val="en-GB"/>
        </w:rPr>
        <w:t xml:space="preserve"> defendant. </w:t>
      </w:r>
      <w:r w:rsidR="00AC4307">
        <w:rPr>
          <w:lang w:val="en-GB"/>
        </w:rPr>
        <w:t xml:space="preserve"> </w:t>
      </w:r>
      <w:r>
        <w:rPr>
          <w:lang w:val="en-GB"/>
        </w:rPr>
        <w:t>The plaintiff must plead each of the elements of the cause of action relied upon.</w:t>
      </w:r>
      <w:r w:rsidR="00AC4307">
        <w:rPr>
          <w:lang w:val="en-GB"/>
        </w:rPr>
        <w:t xml:space="preserve"> </w:t>
      </w:r>
      <w:r>
        <w:rPr>
          <w:lang w:val="en-GB"/>
        </w:rPr>
        <w:t xml:space="preserve"> They are necessary averments. </w:t>
      </w:r>
    </w:p>
    <w:p w:rsidR="007E4545" w:rsidRDefault="007E4545" w:rsidP="00126C54">
      <w:pPr>
        <w:pStyle w:val="ListParagraph"/>
        <w:tabs>
          <w:tab w:val="clear" w:pos="1440"/>
          <w:tab w:val="num" w:pos="2160"/>
        </w:tabs>
        <w:spacing w:line="360" w:lineRule="auto"/>
        <w:ind w:left="2160" w:hanging="720"/>
        <w:jc w:val="both"/>
        <w:rPr>
          <w:lang w:val="en-GB"/>
        </w:rPr>
      </w:pPr>
    </w:p>
    <w:p w:rsidR="007E4545" w:rsidRDefault="007E4545" w:rsidP="00126C54">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 xml:space="preserve">The </w:t>
      </w:r>
      <w:r w:rsidRPr="008F7932">
        <w:rPr>
          <w:lang w:val="en-GB"/>
        </w:rPr>
        <w:t>P</w:t>
      </w:r>
      <w:r w:rsidR="00F31F7A" w:rsidRPr="008F7932">
        <w:rPr>
          <w:lang w:val="en-GB"/>
        </w:rPr>
        <w:t>’</w:t>
      </w:r>
      <w:r w:rsidRPr="008F7932">
        <w:rPr>
          <w:lang w:val="en-GB"/>
        </w:rPr>
        <w:t>s R</w:t>
      </w:r>
      <w:r>
        <w:rPr>
          <w:lang w:val="en-GB"/>
        </w:rPr>
        <w:t>eply Submissions state that “</w:t>
      </w:r>
      <w:r w:rsidRPr="00974C66">
        <w:rPr>
          <w:i/>
          <w:iCs/>
          <w:lang w:val="en-GB"/>
        </w:rPr>
        <w:t>despite that the plaintiff did not expressly plead the Ladder was too short and unsteady for the Work</w:t>
      </w:r>
      <w:r>
        <w:rPr>
          <w:lang w:val="en-GB"/>
        </w:rPr>
        <w:t>” a reasonable reader can understand the pleading in §4 of the SoC as such.</w:t>
      </w:r>
      <w:r w:rsidR="00AC4307">
        <w:rPr>
          <w:lang w:val="en-GB"/>
        </w:rPr>
        <w:t xml:space="preserve"> </w:t>
      </w:r>
      <w:r>
        <w:rPr>
          <w:lang w:val="en-GB"/>
        </w:rPr>
        <w:t xml:space="preserve"> </w:t>
      </w:r>
      <w:r>
        <w:rPr>
          <w:lang w:val="en-GB"/>
        </w:rPr>
        <w:lastRenderedPageBreak/>
        <w:t>Further, that it is undisputed that the ladder that was not safe for the Work was provided by the 2</w:t>
      </w:r>
      <w:r w:rsidRPr="002D2E91">
        <w:rPr>
          <w:vertAlign w:val="superscript"/>
          <w:lang w:val="en-GB"/>
        </w:rPr>
        <w:t>nd</w:t>
      </w:r>
      <w:r>
        <w:rPr>
          <w:lang w:val="en-GB"/>
        </w:rPr>
        <w:t xml:space="preserve"> defendant. </w:t>
      </w:r>
      <w:r w:rsidR="00AC4307">
        <w:rPr>
          <w:lang w:val="en-GB"/>
        </w:rPr>
        <w:t xml:space="preserve"> </w:t>
      </w:r>
      <w:r>
        <w:rPr>
          <w:lang w:val="en-GB"/>
        </w:rPr>
        <w:t>However, the SoC does not plead that “</w:t>
      </w:r>
      <w:r w:rsidRPr="00974C66">
        <w:rPr>
          <w:i/>
          <w:iCs/>
          <w:lang w:val="en-GB"/>
        </w:rPr>
        <w:t xml:space="preserve">the </w:t>
      </w:r>
      <w:r>
        <w:rPr>
          <w:i/>
          <w:iCs/>
          <w:lang w:val="en-GB"/>
        </w:rPr>
        <w:t>l</w:t>
      </w:r>
      <w:r w:rsidRPr="00974C66">
        <w:rPr>
          <w:i/>
          <w:iCs/>
          <w:lang w:val="en-GB"/>
        </w:rPr>
        <w:t>adder was not safe for the Work</w:t>
      </w:r>
      <w:r>
        <w:rPr>
          <w:lang w:val="en-GB"/>
        </w:rPr>
        <w:t>”.</w:t>
      </w:r>
      <w:r w:rsidR="00AC4307">
        <w:rPr>
          <w:lang w:val="en-GB"/>
        </w:rPr>
        <w:t xml:space="preserve"> </w:t>
      </w:r>
      <w:r>
        <w:rPr>
          <w:lang w:val="en-GB"/>
        </w:rPr>
        <w:t xml:space="preserve"> The plaintiff seeks to rely on the pleading at §5(f) of the SoC, “</w:t>
      </w:r>
      <w:r w:rsidRPr="00974C66">
        <w:rPr>
          <w:i/>
          <w:iCs/>
          <w:lang w:val="en-GB"/>
        </w:rPr>
        <w:t>Failing to provide a safe and proper working platform for the plaintiff to carry out his work at height</w:t>
      </w:r>
      <w:r>
        <w:rPr>
          <w:lang w:val="en-GB"/>
        </w:rPr>
        <w:t>” because it “</w:t>
      </w:r>
      <w:r w:rsidRPr="00974C66">
        <w:rPr>
          <w:i/>
          <w:iCs/>
          <w:lang w:val="en-GB"/>
        </w:rPr>
        <w:t>supports that the plaintiff was referring to the unsafeness of the Ladder</w:t>
      </w:r>
      <w:r>
        <w:rPr>
          <w:lang w:val="en-GB"/>
        </w:rPr>
        <w:t xml:space="preserve">”. </w:t>
      </w:r>
      <w:r w:rsidR="00AC4307">
        <w:rPr>
          <w:lang w:val="en-GB"/>
        </w:rPr>
        <w:t xml:space="preserve"> </w:t>
      </w:r>
      <w:r>
        <w:rPr>
          <w:lang w:val="en-GB"/>
        </w:rPr>
        <w:t xml:space="preserve">The plaintiff argues that reading </w:t>
      </w:r>
      <w:bookmarkStart w:id="1" w:name="_Hlk102573798"/>
      <w:r>
        <w:rPr>
          <w:lang w:val="en-GB"/>
        </w:rPr>
        <w:t xml:space="preserve">§4 and §5(f) </w:t>
      </w:r>
      <w:bookmarkEnd w:id="1"/>
      <w:r>
        <w:rPr>
          <w:lang w:val="en-GB"/>
        </w:rPr>
        <w:t>of the SoC together means that the plaintiff’s case is that the ladder was an unsafe and improper working platform provided by the 2</w:t>
      </w:r>
      <w:r w:rsidRPr="00030E24">
        <w:rPr>
          <w:vertAlign w:val="superscript"/>
          <w:lang w:val="en-GB"/>
        </w:rPr>
        <w:t>nd</w:t>
      </w:r>
      <w:r>
        <w:rPr>
          <w:lang w:val="en-GB"/>
        </w:rPr>
        <w:t xml:space="preserve"> defendant.</w:t>
      </w:r>
      <w:r w:rsidR="00AC4307">
        <w:rPr>
          <w:lang w:val="en-GB"/>
        </w:rPr>
        <w:t xml:space="preserve"> </w:t>
      </w:r>
      <w:r>
        <w:rPr>
          <w:lang w:val="en-GB"/>
        </w:rPr>
        <w:t xml:space="preserve"> I am not satisfied that §4 and §5(f) of the SoC can be read as a pleading that the 2</w:t>
      </w:r>
      <w:r w:rsidRPr="003D07A7">
        <w:rPr>
          <w:vertAlign w:val="superscript"/>
          <w:lang w:val="en-GB"/>
        </w:rPr>
        <w:t>nd</w:t>
      </w:r>
      <w:r>
        <w:rPr>
          <w:lang w:val="en-GB"/>
        </w:rPr>
        <w:t xml:space="preserve"> defendant owed the plaintiff a duty of care as required, on any basis. </w:t>
      </w:r>
      <w:r w:rsidR="00AC4307">
        <w:rPr>
          <w:lang w:val="en-GB"/>
        </w:rPr>
        <w:t xml:space="preserve"> </w:t>
      </w:r>
      <w:r>
        <w:rPr>
          <w:lang w:val="en-GB"/>
        </w:rPr>
        <w:t>The plaintiff has not suggested that any part or parts of the SoC, whether read alone or together, plead any knowledge on the part of the 2</w:t>
      </w:r>
      <w:r w:rsidRPr="00030E24">
        <w:rPr>
          <w:vertAlign w:val="superscript"/>
          <w:lang w:val="en-GB"/>
        </w:rPr>
        <w:t>nd</w:t>
      </w:r>
      <w:r>
        <w:rPr>
          <w:lang w:val="en-GB"/>
        </w:rPr>
        <w:t xml:space="preserve"> defendant that the working platform or ladder was improper or unsafe.</w:t>
      </w:r>
    </w:p>
    <w:p w:rsidR="007E4545" w:rsidRPr="005D22B0" w:rsidRDefault="007E4545" w:rsidP="00126C54">
      <w:pPr>
        <w:tabs>
          <w:tab w:val="clear" w:pos="1440"/>
          <w:tab w:val="num" w:pos="2160"/>
        </w:tabs>
        <w:spacing w:line="360" w:lineRule="auto"/>
        <w:ind w:left="2160" w:hanging="720"/>
        <w:jc w:val="both"/>
        <w:rPr>
          <w:lang w:val="en-GB"/>
        </w:rPr>
      </w:pPr>
    </w:p>
    <w:p w:rsidR="007E4545" w:rsidRDefault="007E4545" w:rsidP="00126C54">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Even if the plaintiff could rely on the §5 particulars of breach to find also a pleading that the 2</w:t>
      </w:r>
      <w:r w:rsidRPr="00AA2F90">
        <w:rPr>
          <w:vertAlign w:val="superscript"/>
          <w:lang w:val="en-GB"/>
        </w:rPr>
        <w:t>nd</w:t>
      </w:r>
      <w:r>
        <w:rPr>
          <w:lang w:val="en-GB"/>
        </w:rPr>
        <w:t xml:space="preserve"> defendant owed a duty to the plaintiff</w:t>
      </w:r>
      <w:bookmarkStart w:id="2" w:name="_Hlk102483938"/>
      <w:r>
        <w:rPr>
          <w:lang w:val="en-GB"/>
        </w:rPr>
        <w:t xml:space="preserve"> :</w:t>
      </w:r>
      <w:bookmarkEnd w:id="2"/>
      <w:r>
        <w:rPr>
          <w:lang w:val="en-GB"/>
        </w:rPr>
        <w:t>-</w:t>
      </w:r>
    </w:p>
    <w:p w:rsidR="007E4545" w:rsidRPr="00DC4F8C" w:rsidRDefault="007E4545" w:rsidP="00126C54">
      <w:pPr>
        <w:tabs>
          <w:tab w:val="clear" w:pos="1440"/>
          <w:tab w:val="num" w:pos="2160"/>
        </w:tabs>
        <w:spacing w:line="360" w:lineRule="auto"/>
        <w:ind w:left="2160" w:hanging="720"/>
        <w:rPr>
          <w:lang w:val="en-GB"/>
        </w:rPr>
      </w:pPr>
    </w:p>
    <w:p w:rsidR="007E4545" w:rsidRDefault="007E4545" w:rsidP="00AC4307">
      <w:pPr>
        <w:pStyle w:val="ListParagraph"/>
        <w:numPr>
          <w:ilvl w:val="0"/>
          <w:numId w:val="32"/>
        </w:numPr>
        <w:tabs>
          <w:tab w:val="clear" w:pos="1440"/>
          <w:tab w:val="clear" w:pos="1985"/>
          <w:tab w:val="clear" w:pos="4320"/>
          <w:tab w:val="clear" w:pos="9072"/>
          <w:tab w:val="num" w:pos="2880"/>
        </w:tabs>
        <w:snapToGrid/>
        <w:spacing w:line="360" w:lineRule="auto"/>
        <w:ind w:left="2880" w:hanging="720"/>
        <w:contextualSpacing/>
        <w:jc w:val="both"/>
        <w:rPr>
          <w:lang w:val="en-GB"/>
        </w:rPr>
      </w:pPr>
      <w:r w:rsidRPr="00B27393">
        <w:rPr>
          <w:lang w:val="en-GB"/>
        </w:rPr>
        <w:t>While it</w:t>
      </w:r>
      <w:r>
        <w:rPr>
          <w:lang w:val="en-GB"/>
        </w:rPr>
        <w:t xml:space="preserve"> is pleaded, that the ladder was “</w:t>
      </w:r>
      <w:r>
        <w:rPr>
          <w:i/>
          <w:iCs/>
          <w:lang w:val="en-GB"/>
        </w:rPr>
        <w:t xml:space="preserve">provided </w:t>
      </w:r>
      <w:r w:rsidRPr="0081615D">
        <w:rPr>
          <w:i/>
          <w:iCs/>
          <w:lang w:val="en-GB"/>
        </w:rPr>
        <w:t>by</w:t>
      </w:r>
      <w:r>
        <w:rPr>
          <w:lang w:val="en-GB"/>
        </w:rPr>
        <w:t>” the 2</w:t>
      </w:r>
      <w:r w:rsidRPr="00AA2F90">
        <w:rPr>
          <w:vertAlign w:val="superscript"/>
          <w:lang w:val="en-GB"/>
        </w:rPr>
        <w:t>nd</w:t>
      </w:r>
      <w:r>
        <w:rPr>
          <w:lang w:val="en-GB"/>
        </w:rPr>
        <w:t xml:space="preserve"> defendant,</w:t>
      </w:r>
      <w:r w:rsidRPr="00634603">
        <w:rPr>
          <w:lang w:val="en-GB"/>
        </w:rPr>
        <w:t xml:space="preserve"> </w:t>
      </w:r>
      <w:r w:rsidRPr="00AA2F90">
        <w:rPr>
          <w:lang w:val="en-GB"/>
        </w:rPr>
        <w:t>nowhere</w:t>
      </w:r>
      <w:r>
        <w:rPr>
          <w:lang w:val="en-GB"/>
        </w:rPr>
        <w:t xml:space="preserve"> does the rest of §4 or §5 allege that the specific ladder was </w:t>
      </w:r>
      <w:r>
        <w:rPr>
          <w:lang w:val="en-GB"/>
        </w:rPr>
        <w:lastRenderedPageBreak/>
        <w:t>“</w:t>
      </w:r>
      <w:r>
        <w:rPr>
          <w:i/>
          <w:iCs/>
          <w:lang w:val="en-GB"/>
        </w:rPr>
        <w:t>unsuitable</w:t>
      </w:r>
      <w:r>
        <w:rPr>
          <w:lang w:val="en-GB"/>
        </w:rPr>
        <w:t>”, “</w:t>
      </w:r>
      <w:r w:rsidRPr="0039397C">
        <w:rPr>
          <w:i/>
          <w:iCs/>
          <w:lang w:val="en-GB"/>
        </w:rPr>
        <w:t>unsafe</w:t>
      </w:r>
      <w:r>
        <w:rPr>
          <w:lang w:val="en-GB"/>
        </w:rPr>
        <w:t>”, “</w:t>
      </w:r>
      <w:r w:rsidRPr="0039397C">
        <w:rPr>
          <w:i/>
          <w:iCs/>
          <w:lang w:val="en-GB"/>
        </w:rPr>
        <w:t>improper</w:t>
      </w:r>
      <w:r>
        <w:rPr>
          <w:lang w:val="en-GB"/>
        </w:rPr>
        <w:t>”, or “</w:t>
      </w:r>
      <w:r>
        <w:rPr>
          <w:i/>
          <w:iCs/>
          <w:lang w:val="en-GB"/>
        </w:rPr>
        <w:t>dangerous</w:t>
      </w:r>
      <w:r>
        <w:rPr>
          <w:lang w:val="en-GB"/>
        </w:rPr>
        <w:t>”, let alone explain why that was so;</w:t>
      </w:r>
    </w:p>
    <w:p w:rsidR="007E4545" w:rsidRDefault="007E4545" w:rsidP="00AC4307">
      <w:pPr>
        <w:pStyle w:val="ListParagraph"/>
        <w:tabs>
          <w:tab w:val="clear" w:pos="1440"/>
          <w:tab w:val="num" w:pos="2880"/>
        </w:tabs>
        <w:spacing w:line="360" w:lineRule="auto"/>
        <w:ind w:left="2880" w:hanging="720"/>
        <w:jc w:val="both"/>
        <w:rPr>
          <w:lang w:val="en-GB"/>
        </w:rPr>
      </w:pPr>
    </w:p>
    <w:p w:rsidR="007E4545" w:rsidRDefault="007E4545" w:rsidP="00AC4307">
      <w:pPr>
        <w:pStyle w:val="ListParagraph"/>
        <w:numPr>
          <w:ilvl w:val="0"/>
          <w:numId w:val="32"/>
        </w:numPr>
        <w:tabs>
          <w:tab w:val="clear" w:pos="1440"/>
          <w:tab w:val="clear" w:pos="1985"/>
          <w:tab w:val="clear" w:pos="4320"/>
          <w:tab w:val="clear" w:pos="9072"/>
          <w:tab w:val="num" w:pos="2880"/>
        </w:tabs>
        <w:snapToGrid/>
        <w:spacing w:line="360" w:lineRule="auto"/>
        <w:ind w:left="2880" w:hanging="720"/>
        <w:contextualSpacing/>
        <w:jc w:val="both"/>
        <w:rPr>
          <w:lang w:val="en-GB"/>
        </w:rPr>
      </w:pPr>
      <w:r>
        <w:rPr>
          <w:lang w:val="en-GB"/>
        </w:rPr>
        <w:t>Similarly, while an allegation of breach by “</w:t>
      </w:r>
      <w:r>
        <w:rPr>
          <w:i/>
          <w:iCs/>
          <w:lang w:val="en-GB"/>
        </w:rPr>
        <w:t>[failing] to provide a safe and proper working platform</w:t>
      </w:r>
      <w:r>
        <w:rPr>
          <w:lang w:val="en-GB"/>
        </w:rPr>
        <w:t xml:space="preserve">” is pleaded at </w:t>
      </w:r>
      <w:bookmarkStart w:id="3" w:name="_Hlk102572722"/>
      <w:r>
        <w:rPr>
          <w:lang w:val="en-GB"/>
        </w:rPr>
        <w:t>§5(f) of the SoC,</w:t>
      </w:r>
      <w:bookmarkEnd w:id="3"/>
      <w:r>
        <w:rPr>
          <w:lang w:val="en-GB"/>
        </w:rPr>
        <w:t xml:space="preserve"> it does </w:t>
      </w:r>
      <w:r w:rsidRPr="00AA2F90">
        <w:rPr>
          <w:lang w:val="en-GB"/>
        </w:rPr>
        <w:t>not</w:t>
      </w:r>
      <w:r w:rsidRPr="00634603">
        <w:rPr>
          <w:lang w:val="en-GB"/>
        </w:rPr>
        <w:t xml:space="preserve"> allege</w:t>
      </w:r>
      <w:r>
        <w:rPr>
          <w:lang w:val="en-GB"/>
        </w:rPr>
        <w:t xml:space="preserve"> that the specific ladder was “</w:t>
      </w:r>
      <w:r>
        <w:rPr>
          <w:i/>
          <w:iCs/>
          <w:lang w:val="en-GB"/>
        </w:rPr>
        <w:t>unsuitable</w:t>
      </w:r>
      <w:r>
        <w:rPr>
          <w:lang w:val="en-GB"/>
        </w:rPr>
        <w:t>”, “</w:t>
      </w:r>
      <w:r w:rsidRPr="0039397C">
        <w:rPr>
          <w:i/>
          <w:iCs/>
          <w:lang w:val="en-GB"/>
        </w:rPr>
        <w:t>unsafe</w:t>
      </w:r>
      <w:r>
        <w:rPr>
          <w:lang w:val="en-GB"/>
        </w:rPr>
        <w:t>”, “</w:t>
      </w:r>
      <w:r w:rsidRPr="0039397C">
        <w:rPr>
          <w:i/>
          <w:iCs/>
          <w:lang w:val="en-GB"/>
        </w:rPr>
        <w:t>improper</w:t>
      </w:r>
      <w:r>
        <w:rPr>
          <w:lang w:val="en-GB"/>
        </w:rPr>
        <w:t>”, or “</w:t>
      </w:r>
      <w:r>
        <w:rPr>
          <w:i/>
          <w:iCs/>
          <w:lang w:val="en-GB"/>
        </w:rPr>
        <w:t>dangerous</w:t>
      </w:r>
      <w:r>
        <w:rPr>
          <w:lang w:val="en-GB"/>
        </w:rPr>
        <w:t>”.  Alleging a failure to provide a safe and proper working platform is quite different from alleging the provision of something that is unsafe and improper, which averment is missing;</w:t>
      </w:r>
    </w:p>
    <w:p w:rsidR="007E4545" w:rsidRPr="005224B6" w:rsidRDefault="007E4545" w:rsidP="00AC4307">
      <w:pPr>
        <w:tabs>
          <w:tab w:val="clear" w:pos="1440"/>
          <w:tab w:val="num" w:pos="2880"/>
        </w:tabs>
        <w:spacing w:line="360" w:lineRule="auto"/>
        <w:ind w:left="2880" w:hanging="720"/>
        <w:jc w:val="both"/>
        <w:rPr>
          <w:lang w:val="en-GB"/>
        </w:rPr>
      </w:pPr>
    </w:p>
    <w:p w:rsidR="007E4545" w:rsidRPr="006A5631" w:rsidRDefault="007E4545" w:rsidP="00AC4307">
      <w:pPr>
        <w:pStyle w:val="ListParagraph"/>
        <w:numPr>
          <w:ilvl w:val="0"/>
          <w:numId w:val="32"/>
        </w:numPr>
        <w:tabs>
          <w:tab w:val="clear" w:pos="1440"/>
          <w:tab w:val="clear" w:pos="1985"/>
          <w:tab w:val="clear" w:pos="4320"/>
          <w:tab w:val="clear" w:pos="9072"/>
          <w:tab w:val="num" w:pos="2880"/>
        </w:tabs>
        <w:snapToGrid/>
        <w:spacing w:line="360" w:lineRule="auto"/>
        <w:ind w:left="2880" w:hanging="720"/>
        <w:contextualSpacing/>
        <w:jc w:val="both"/>
        <w:rPr>
          <w:lang w:val="en-GB"/>
        </w:rPr>
      </w:pPr>
      <w:r>
        <w:rPr>
          <w:lang w:val="en-GB"/>
        </w:rPr>
        <w:t xml:space="preserve">In any event, the plaintiff has ignored the </w:t>
      </w:r>
      <w:r w:rsidRPr="00AA2F90">
        <w:rPr>
          <w:i/>
          <w:iCs/>
          <w:lang w:val="en-GB"/>
        </w:rPr>
        <w:t>essential</w:t>
      </w:r>
      <w:r>
        <w:rPr>
          <w:lang w:val="en-GB"/>
        </w:rPr>
        <w:t xml:space="preserve"> element of the 2</w:t>
      </w:r>
      <w:r w:rsidRPr="00AA2F90">
        <w:rPr>
          <w:vertAlign w:val="superscript"/>
          <w:lang w:val="en-GB"/>
        </w:rPr>
        <w:t>nd</w:t>
      </w:r>
      <w:r>
        <w:rPr>
          <w:lang w:val="en-GB"/>
        </w:rPr>
        <w:t xml:space="preserve"> defendant’s state </w:t>
      </w:r>
      <w:r w:rsidRPr="00413CBC">
        <w:rPr>
          <w:lang w:val="en-GB"/>
        </w:rPr>
        <w:t>of</w:t>
      </w:r>
      <w:r w:rsidRPr="00AA2F90">
        <w:rPr>
          <w:i/>
          <w:iCs/>
          <w:lang w:val="en-GB"/>
        </w:rPr>
        <w:t xml:space="preserve"> knowledge</w:t>
      </w:r>
      <w:r>
        <w:rPr>
          <w:lang w:val="en-GB"/>
        </w:rPr>
        <w:t xml:space="preserve"> in order for a duty of care owed to the plaintiff to arise in the first place.  Significantly, </w:t>
      </w:r>
      <w:r w:rsidRPr="00AA2F90">
        <w:rPr>
          <w:i/>
          <w:iCs/>
          <w:lang w:val="en-GB"/>
        </w:rPr>
        <w:t>nothing</w:t>
      </w:r>
      <w:r>
        <w:rPr>
          <w:lang w:val="en-GB"/>
        </w:rPr>
        <w:t xml:space="preserve"> is pleaded to the effect that the 2</w:t>
      </w:r>
      <w:r w:rsidRPr="00AA2F90">
        <w:rPr>
          <w:vertAlign w:val="superscript"/>
          <w:lang w:val="en-GB"/>
        </w:rPr>
        <w:t>nd</w:t>
      </w:r>
      <w:r>
        <w:rPr>
          <w:lang w:val="en-GB"/>
        </w:rPr>
        <w:t xml:space="preserve"> defendant</w:t>
      </w:r>
      <w:r w:rsidRPr="00942B5F">
        <w:rPr>
          <w:lang w:val="en-GB"/>
        </w:rPr>
        <w:t xml:space="preserve"> “</w:t>
      </w:r>
      <w:r w:rsidRPr="00942B5F">
        <w:rPr>
          <w:i/>
          <w:iCs/>
          <w:lang w:val="en-GB"/>
        </w:rPr>
        <w:t>knew or ought reasonably to have known</w:t>
      </w:r>
      <w:r>
        <w:rPr>
          <w:lang w:val="en-GB"/>
        </w:rPr>
        <w:t>”</w:t>
      </w:r>
      <w:r w:rsidRPr="00942B5F">
        <w:rPr>
          <w:i/>
          <w:iCs/>
          <w:lang w:val="en-GB"/>
        </w:rPr>
        <w:t xml:space="preserve"> </w:t>
      </w:r>
      <w:r>
        <w:rPr>
          <w:lang w:val="en-GB"/>
        </w:rPr>
        <w:t>that the plaintiff would use the ladder “</w:t>
      </w:r>
      <w:r w:rsidRPr="00942B5F">
        <w:rPr>
          <w:i/>
          <w:iCs/>
          <w:lang w:val="en-GB"/>
        </w:rPr>
        <w:t>to do the work by a method which is unsafe</w:t>
      </w:r>
      <w:r w:rsidRPr="00942B5F">
        <w:rPr>
          <w:lang w:val="en-GB"/>
        </w:rPr>
        <w:t>” (</w:t>
      </w:r>
      <w:r w:rsidRPr="00942B5F">
        <w:rPr>
          <w:i/>
          <w:lang w:val="en-GB"/>
        </w:rPr>
        <w:t>see</w:t>
      </w:r>
      <w:r w:rsidRPr="00942B5F">
        <w:rPr>
          <w:lang w:val="en-GB"/>
        </w:rPr>
        <w:t xml:space="preserve"> above</w:t>
      </w:r>
      <w:r>
        <w:rPr>
          <w:lang w:val="en-GB"/>
        </w:rPr>
        <w:t xml:space="preserve"> on </w:t>
      </w:r>
      <w:r w:rsidRPr="00942B5F">
        <w:rPr>
          <w:i/>
          <w:iCs/>
          <w:lang w:val="en-GB"/>
        </w:rPr>
        <w:t>Luen Hing Fat</w:t>
      </w:r>
      <w:r w:rsidRPr="00942B5F">
        <w:rPr>
          <w:lang w:val="en-GB"/>
        </w:rPr>
        <w:t>).</w:t>
      </w:r>
      <w:r>
        <w:rPr>
          <w:lang w:val="en-GB"/>
        </w:rPr>
        <w:t xml:space="preserve">  Absent such knowledge, the 2</w:t>
      </w:r>
      <w:r w:rsidRPr="00AA2F90">
        <w:rPr>
          <w:vertAlign w:val="superscript"/>
          <w:lang w:val="en-GB"/>
        </w:rPr>
        <w:t>nd</w:t>
      </w:r>
      <w:r>
        <w:rPr>
          <w:lang w:val="en-GB"/>
        </w:rPr>
        <w:t xml:space="preserve"> defendant would not owe a duty to the plaintiff by having merely provided the ladder. Bokhary PJ in </w:t>
      </w:r>
      <w:r>
        <w:rPr>
          <w:i/>
          <w:iCs/>
          <w:lang w:val="en-GB"/>
        </w:rPr>
        <w:t xml:space="preserve">Luen Hing Fat </w:t>
      </w:r>
      <w:r>
        <w:rPr>
          <w:lang w:val="en-GB"/>
        </w:rPr>
        <w:t xml:space="preserve">held at </w:t>
      </w:r>
      <w:r w:rsidRPr="006A5631">
        <w:rPr>
          <w:lang w:val="en-GB"/>
        </w:rPr>
        <w:t>§46:-</w:t>
      </w:r>
    </w:p>
    <w:p w:rsidR="007E4545" w:rsidRDefault="007E4545" w:rsidP="00AC4307">
      <w:pPr>
        <w:pStyle w:val="ListParagraph"/>
        <w:tabs>
          <w:tab w:val="clear" w:pos="1440"/>
          <w:tab w:val="num" w:pos="2880"/>
        </w:tabs>
        <w:spacing w:line="360" w:lineRule="auto"/>
        <w:ind w:left="2880" w:hanging="720"/>
        <w:jc w:val="both"/>
        <w:rPr>
          <w:lang w:val="en-GB"/>
        </w:rPr>
      </w:pPr>
    </w:p>
    <w:p w:rsidR="007E4545" w:rsidRPr="009D56D9" w:rsidRDefault="007E4545" w:rsidP="00AC4307">
      <w:pPr>
        <w:pStyle w:val="ListParagraph"/>
        <w:tabs>
          <w:tab w:val="clear" w:pos="1440"/>
          <w:tab w:val="num" w:pos="3600"/>
        </w:tabs>
        <w:ind w:left="3600" w:right="746"/>
        <w:jc w:val="both"/>
        <w:rPr>
          <w:sz w:val="24"/>
          <w:szCs w:val="24"/>
          <w:lang w:val="en-GB"/>
        </w:rPr>
      </w:pPr>
      <w:r w:rsidRPr="009D56D9">
        <w:rPr>
          <w:sz w:val="24"/>
          <w:szCs w:val="24"/>
          <w:lang w:val="en-GB"/>
        </w:rPr>
        <w:t>“</w:t>
      </w:r>
      <w:r w:rsidRPr="003F1DB4">
        <w:rPr>
          <w:i/>
          <w:iCs/>
          <w:sz w:val="24"/>
          <w:szCs w:val="24"/>
          <w:lang w:val="en-GB"/>
        </w:rPr>
        <w:t>46.</w:t>
      </w:r>
      <w:r>
        <w:rPr>
          <w:sz w:val="24"/>
          <w:szCs w:val="24"/>
          <w:lang w:val="en-GB"/>
        </w:rPr>
        <w:t xml:space="preserve"> </w:t>
      </w:r>
      <w:r w:rsidRPr="00BB333B">
        <w:rPr>
          <w:i/>
          <w:iCs/>
          <w:sz w:val="24"/>
          <w:szCs w:val="24"/>
          <w:lang w:val="en-GB"/>
        </w:rPr>
        <w:t xml:space="preserve">Moreover the Factory Operator’s </w:t>
      </w:r>
      <w:bookmarkStart w:id="4" w:name="_Hlk102575232"/>
      <w:r w:rsidRPr="00BB333B">
        <w:rPr>
          <w:i/>
          <w:iCs/>
          <w:sz w:val="24"/>
          <w:szCs w:val="24"/>
          <w:lang w:val="en-GB"/>
        </w:rPr>
        <w:t xml:space="preserve">position is adversely affected by </w:t>
      </w:r>
      <w:r w:rsidRPr="00BB333B">
        <w:rPr>
          <w:i/>
          <w:iCs/>
          <w:sz w:val="24"/>
          <w:szCs w:val="24"/>
          <w:lang w:val="en-GB"/>
        </w:rPr>
        <w:lastRenderedPageBreak/>
        <w:t xml:space="preserve">something besides its employee Mr Ip’s omission. </w:t>
      </w:r>
      <w:r w:rsidRPr="00886BE6">
        <w:rPr>
          <w:b/>
          <w:bCs/>
          <w:i/>
          <w:iCs/>
          <w:sz w:val="24"/>
          <w:szCs w:val="24"/>
          <w:lang w:val="en-GB"/>
        </w:rPr>
        <w:t xml:space="preserve">It had taken a positive part, thus assuming a positive role, in the creation of the danger, doing so by lending the Factory Operator equipment which it </w:t>
      </w:r>
      <w:r w:rsidRPr="003A5D25">
        <w:rPr>
          <w:b/>
          <w:bCs/>
          <w:i/>
          <w:iCs/>
          <w:sz w:val="24"/>
          <w:szCs w:val="24"/>
          <w:u w:val="single"/>
          <w:lang w:val="en-GB"/>
        </w:rPr>
        <w:t>knew or ought reasonably to have known would be used to do the work by an unsafe method</w:t>
      </w:r>
      <w:r w:rsidRPr="00BB333B">
        <w:rPr>
          <w:i/>
          <w:iCs/>
          <w:sz w:val="24"/>
          <w:szCs w:val="24"/>
          <w:lang w:val="en-GB"/>
        </w:rPr>
        <w:t>. Such participation, too, goes to it being fair, just and reasonable to hold that the Factory Operator owed the Worker a duty of care</w:t>
      </w:r>
      <w:bookmarkEnd w:id="4"/>
      <w:r w:rsidRPr="00BB333B">
        <w:rPr>
          <w:i/>
          <w:iCs/>
          <w:sz w:val="24"/>
          <w:szCs w:val="24"/>
          <w:lang w:val="en-GB"/>
        </w:rPr>
        <w:t>. Indeed, such participation lies at the heart of the Worker’s case against the Factory Operator in negligence, and justifies the result reached by the majority in the Court of Appeal.</w:t>
      </w:r>
      <w:r w:rsidRPr="009D56D9">
        <w:rPr>
          <w:sz w:val="24"/>
          <w:szCs w:val="24"/>
          <w:lang w:val="en-GB"/>
        </w:rPr>
        <w:t xml:space="preserve">” </w:t>
      </w:r>
      <w:r>
        <w:rPr>
          <w:sz w:val="24"/>
          <w:szCs w:val="24"/>
          <w:lang w:val="en-GB"/>
        </w:rPr>
        <w:t>(emphasis added)</w:t>
      </w:r>
    </w:p>
    <w:p w:rsidR="007E4545" w:rsidRDefault="007E4545" w:rsidP="00AC4307">
      <w:pPr>
        <w:pStyle w:val="ListParagraph"/>
        <w:tabs>
          <w:tab w:val="clear" w:pos="1440"/>
          <w:tab w:val="num" w:pos="2880"/>
        </w:tabs>
        <w:spacing w:line="360" w:lineRule="auto"/>
        <w:ind w:left="2880" w:hanging="720"/>
        <w:rPr>
          <w:lang w:val="en-GB"/>
        </w:rPr>
      </w:pPr>
    </w:p>
    <w:p w:rsidR="007E4545" w:rsidRDefault="007E4545" w:rsidP="00AC4307">
      <w:pPr>
        <w:pStyle w:val="ListParagraph"/>
        <w:numPr>
          <w:ilvl w:val="0"/>
          <w:numId w:val="32"/>
        </w:numPr>
        <w:tabs>
          <w:tab w:val="clear" w:pos="1440"/>
          <w:tab w:val="clear" w:pos="1985"/>
          <w:tab w:val="clear" w:pos="4320"/>
          <w:tab w:val="clear" w:pos="9072"/>
          <w:tab w:val="num" w:pos="2880"/>
        </w:tabs>
        <w:snapToGrid/>
        <w:spacing w:line="360" w:lineRule="auto"/>
        <w:ind w:left="2880" w:hanging="720"/>
        <w:contextualSpacing/>
        <w:jc w:val="both"/>
        <w:rPr>
          <w:lang w:val="en-GB"/>
        </w:rPr>
      </w:pPr>
      <w:r>
        <w:rPr>
          <w:lang w:val="en-GB"/>
        </w:rPr>
        <w:t xml:space="preserve">As to the plaintiff’s reliance on the alleged failure </w:t>
      </w:r>
      <w:r w:rsidRPr="009A46FB">
        <w:rPr>
          <w:lang w:val="en-GB"/>
        </w:rPr>
        <w:t>to provide the relevant training, manpower, supervision and instruction</w:t>
      </w:r>
      <w:r>
        <w:rPr>
          <w:lang w:val="en-GB"/>
        </w:rPr>
        <w:t xml:space="preserve"> (at §5(c), §5(d) and §5(h) of the SoC, the Ps Submissions have no foundation as there is no pleaded basis to explain why, despite not having the said knowledge, the 2</w:t>
      </w:r>
      <w:r w:rsidRPr="00AA2F90">
        <w:rPr>
          <w:vertAlign w:val="superscript"/>
          <w:lang w:val="en-GB"/>
        </w:rPr>
        <w:t>nd</w:t>
      </w:r>
      <w:r>
        <w:rPr>
          <w:lang w:val="en-GB"/>
        </w:rPr>
        <w:t xml:space="preserve"> defendant would even owe such duty to the plaintiff when the 2</w:t>
      </w:r>
      <w:r w:rsidRPr="00AA2F90">
        <w:rPr>
          <w:vertAlign w:val="superscript"/>
          <w:lang w:val="en-GB"/>
        </w:rPr>
        <w:t>nd</w:t>
      </w:r>
      <w:r>
        <w:rPr>
          <w:lang w:val="en-GB"/>
        </w:rPr>
        <w:t xml:space="preserve"> defendant has subcontracted the work to an independent contractor, the 1</w:t>
      </w:r>
      <w:r w:rsidRPr="00AA2F90">
        <w:rPr>
          <w:vertAlign w:val="superscript"/>
          <w:lang w:val="en-GB"/>
        </w:rPr>
        <w:t>st</w:t>
      </w:r>
      <w:r>
        <w:rPr>
          <w:lang w:val="en-GB"/>
        </w:rPr>
        <w:t xml:space="preserve"> defendant. At §3 of the SoC the plaintiff has pleaded the 1</w:t>
      </w:r>
      <w:r w:rsidRPr="00AA2F90">
        <w:rPr>
          <w:vertAlign w:val="superscript"/>
          <w:lang w:val="en-GB"/>
        </w:rPr>
        <w:t>st</w:t>
      </w:r>
      <w:r>
        <w:rPr>
          <w:lang w:val="en-GB"/>
        </w:rPr>
        <w:t xml:space="preserve"> defendant employer’s duties, </w:t>
      </w:r>
      <w:r w:rsidRPr="00AA2F90">
        <w:rPr>
          <w:i/>
          <w:iCs/>
          <w:lang w:val="en-GB"/>
        </w:rPr>
        <w:t>inter alia</w:t>
      </w:r>
      <w:r>
        <w:rPr>
          <w:lang w:val="en-GB"/>
        </w:rPr>
        <w:t>, to provide training, manpower, supervision and instruction implied under the contract of employment.</w:t>
      </w:r>
    </w:p>
    <w:p w:rsidR="007E4545" w:rsidRDefault="007E4545" w:rsidP="00151318">
      <w:pPr>
        <w:tabs>
          <w:tab w:val="num" w:pos="1440"/>
        </w:tabs>
        <w:spacing w:line="360" w:lineRule="auto"/>
        <w:rPr>
          <w:lang w:val="en-GB"/>
        </w:rPr>
      </w:pPr>
    </w:p>
    <w:p w:rsidR="007E4545" w:rsidRDefault="007E4545" w:rsidP="00AC4307">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Dealing with the plaintiff</w:t>
      </w:r>
      <w:r w:rsidRPr="006D5620">
        <w:rPr>
          <w:lang w:val="en-GB"/>
        </w:rPr>
        <w:t xml:space="preserve">’s </w:t>
      </w:r>
      <w:r>
        <w:rPr>
          <w:lang w:val="en-GB"/>
        </w:rPr>
        <w:t>points</w:t>
      </w:r>
      <w:r w:rsidRPr="006D5620">
        <w:rPr>
          <w:lang w:val="en-GB"/>
        </w:rPr>
        <w:t xml:space="preserve"> </w:t>
      </w:r>
      <w:r>
        <w:rPr>
          <w:lang w:val="en-GB"/>
        </w:rPr>
        <w:t xml:space="preserve">regarding </w:t>
      </w:r>
      <w:r w:rsidRPr="006D5620">
        <w:rPr>
          <w:lang w:val="en-GB"/>
        </w:rPr>
        <w:t>the “</w:t>
      </w:r>
      <w:r w:rsidRPr="006D5620">
        <w:rPr>
          <w:i/>
          <w:iCs/>
          <w:lang w:val="en-GB"/>
        </w:rPr>
        <w:t>other authorities</w:t>
      </w:r>
      <w:r w:rsidRPr="006D5620">
        <w:rPr>
          <w:lang w:val="en-GB"/>
        </w:rPr>
        <w:t>”</w:t>
      </w:r>
      <w:r>
        <w:rPr>
          <w:lang w:val="en-GB"/>
        </w:rPr>
        <w:t>:-</w:t>
      </w:r>
    </w:p>
    <w:p w:rsidR="007E4545" w:rsidRPr="009A4D21" w:rsidRDefault="007E4545" w:rsidP="00151318">
      <w:pPr>
        <w:tabs>
          <w:tab w:val="num" w:pos="1440"/>
        </w:tabs>
        <w:spacing w:line="360" w:lineRule="auto"/>
        <w:rPr>
          <w:lang w:val="en-GB"/>
        </w:rPr>
      </w:pPr>
    </w:p>
    <w:p w:rsidR="007E4545" w:rsidRDefault="007E4545" w:rsidP="00AC4307">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Those other authorities relied upon by the 2</w:t>
      </w:r>
      <w:r w:rsidRPr="00AA2F90">
        <w:rPr>
          <w:vertAlign w:val="superscript"/>
          <w:lang w:val="en-GB"/>
        </w:rPr>
        <w:t>nd</w:t>
      </w:r>
      <w:r>
        <w:rPr>
          <w:lang w:val="en-GB"/>
        </w:rPr>
        <w:t xml:space="preserve"> defendant were cited in support of the general </w:t>
      </w:r>
      <w:r w:rsidRPr="00AA2F90">
        <w:rPr>
          <w:i/>
          <w:iCs/>
          <w:lang w:val="en-GB"/>
        </w:rPr>
        <w:t>legal</w:t>
      </w:r>
      <w:r>
        <w:rPr>
          <w:lang w:val="en-GB"/>
        </w:rPr>
        <w:t xml:space="preserve"> proposition that “</w:t>
      </w:r>
      <w:r>
        <w:rPr>
          <w:i/>
          <w:iCs/>
          <w:lang w:val="en-GB"/>
        </w:rPr>
        <w:t>something more is needed</w:t>
      </w:r>
      <w:r>
        <w:rPr>
          <w:lang w:val="en-GB"/>
        </w:rPr>
        <w:t>” in order to affix a principal contractor with a duty to take care of his independent contractor’s employees;</w:t>
      </w:r>
    </w:p>
    <w:p w:rsidR="007E4545" w:rsidRPr="00FB139B" w:rsidRDefault="007E4545" w:rsidP="00AC4307">
      <w:pPr>
        <w:tabs>
          <w:tab w:val="clear" w:pos="1440"/>
          <w:tab w:val="num" w:pos="2160"/>
        </w:tabs>
        <w:spacing w:line="360" w:lineRule="auto"/>
        <w:ind w:left="2160" w:hanging="720"/>
        <w:jc w:val="both"/>
        <w:rPr>
          <w:lang w:val="en-GB"/>
        </w:rPr>
      </w:pPr>
    </w:p>
    <w:p w:rsidR="007E4545" w:rsidRPr="00FB139B" w:rsidRDefault="007E4545" w:rsidP="00AC4307">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sidRPr="00FB139B">
        <w:rPr>
          <w:lang w:val="en-GB"/>
        </w:rPr>
        <w:t xml:space="preserve">Similar to </w:t>
      </w:r>
      <w:bookmarkStart w:id="5" w:name="_Hlk102487699"/>
      <w:r w:rsidRPr="00FB139B">
        <w:rPr>
          <w:i/>
          <w:iCs/>
          <w:lang w:val="en-GB"/>
        </w:rPr>
        <w:t>Luen Hing Fat</w:t>
      </w:r>
      <w:bookmarkEnd w:id="5"/>
      <w:r w:rsidRPr="00FB139B">
        <w:rPr>
          <w:lang w:val="en-GB"/>
        </w:rPr>
        <w:t xml:space="preserve">, the emphasis is on whether the principal contractor possessed </w:t>
      </w:r>
      <w:r>
        <w:rPr>
          <w:lang w:val="en-GB"/>
        </w:rPr>
        <w:t>the relevant</w:t>
      </w:r>
      <w:r w:rsidRPr="00AA2F90">
        <w:rPr>
          <w:i/>
          <w:iCs/>
          <w:lang w:val="en-GB"/>
        </w:rPr>
        <w:t xml:space="preserve"> knowledge</w:t>
      </w:r>
      <w:r>
        <w:rPr>
          <w:lang w:val="en-GB"/>
        </w:rPr>
        <w:t>;</w:t>
      </w:r>
    </w:p>
    <w:p w:rsidR="007E4545" w:rsidRPr="00BD1187" w:rsidRDefault="007E4545" w:rsidP="00AC4307">
      <w:pPr>
        <w:tabs>
          <w:tab w:val="clear" w:pos="1440"/>
          <w:tab w:val="num" w:pos="2160"/>
        </w:tabs>
        <w:spacing w:line="360" w:lineRule="auto"/>
        <w:ind w:left="2160" w:hanging="720"/>
        <w:jc w:val="both"/>
        <w:rPr>
          <w:lang w:val="en-GB"/>
        </w:rPr>
      </w:pPr>
    </w:p>
    <w:p w:rsidR="007E4545" w:rsidRDefault="007E4545" w:rsidP="00AC4307">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The plaintiff has</w:t>
      </w:r>
      <w:r w:rsidRPr="00546F25">
        <w:rPr>
          <w:lang w:val="en-GB"/>
        </w:rPr>
        <w:t xml:space="preserve"> </w:t>
      </w:r>
      <w:r w:rsidRPr="00AA2F90">
        <w:rPr>
          <w:lang w:val="en-GB"/>
        </w:rPr>
        <w:t>not</w:t>
      </w:r>
      <w:r>
        <w:rPr>
          <w:lang w:val="en-GB"/>
        </w:rPr>
        <w:t xml:space="preserve"> suggested that these principles are wrong as general propositions of law, </w:t>
      </w:r>
      <w:r w:rsidRPr="00AA2F90">
        <w:rPr>
          <w:lang w:val="en-GB"/>
        </w:rPr>
        <w:t>nor</w:t>
      </w:r>
      <w:r w:rsidRPr="00546F25">
        <w:rPr>
          <w:lang w:val="en-GB"/>
        </w:rPr>
        <w:t xml:space="preserve"> </w:t>
      </w:r>
      <w:r>
        <w:rPr>
          <w:lang w:val="en-GB"/>
        </w:rPr>
        <w:t>has it been satisfactorily explained why these principles of law would be “</w:t>
      </w:r>
      <w:r w:rsidRPr="00B21E1E">
        <w:rPr>
          <w:i/>
          <w:iCs/>
          <w:lang w:val="en-GB"/>
        </w:rPr>
        <w:t>irrelevant</w:t>
      </w:r>
      <w:r>
        <w:rPr>
          <w:lang w:val="en-GB"/>
        </w:rPr>
        <w:t xml:space="preserve">” or inapplicable </w:t>
      </w:r>
      <w:r w:rsidRPr="00B21E1E">
        <w:rPr>
          <w:lang w:val="en-GB"/>
        </w:rPr>
        <w:t>to</w:t>
      </w:r>
      <w:r>
        <w:rPr>
          <w:lang w:val="en-GB"/>
        </w:rPr>
        <w:t xml:space="preserve"> the present dispute;</w:t>
      </w:r>
    </w:p>
    <w:p w:rsidR="007E4545" w:rsidRPr="00BD1187" w:rsidRDefault="007E4545" w:rsidP="00AC4307">
      <w:pPr>
        <w:pStyle w:val="ListParagraph"/>
        <w:tabs>
          <w:tab w:val="clear" w:pos="1440"/>
          <w:tab w:val="num" w:pos="2160"/>
        </w:tabs>
        <w:spacing w:line="360" w:lineRule="auto"/>
        <w:ind w:left="2160" w:hanging="720"/>
        <w:rPr>
          <w:lang w:val="en-GB"/>
        </w:rPr>
      </w:pPr>
    </w:p>
    <w:p w:rsidR="007E4545" w:rsidRPr="001E50E7" w:rsidRDefault="007E4545" w:rsidP="00AC4307">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In these circumstances, it</w:t>
      </w:r>
      <w:r w:rsidRPr="001E50E7">
        <w:rPr>
          <w:lang w:val="en-GB"/>
        </w:rPr>
        <w:t xml:space="preserve"> is beside the point</w:t>
      </w:r>
      <w:r>
        <w:rPr>
          <w:lang w:val="en-GB"/>
        </w:rPr>
        <w:t xml:space="preserve">, </w:t>
      </w:r>
      <w:r w:rsidRPr="001E50E7">
        <w:rPr>
          <w:lang w:val="en-GB"/>
        </w:rPr>
        <w:t>for</w:t>
      </w:r>
      <w:r>
        <w:rPr>
          <w:lang w:val="en-GB"/>
        </w:rPr>
        <w:t xml:space="preserve"> the plaintiff</w:t>
      </w:r>
      <w:r w:rsidRPr="001E50E7">
        <w:rPr>
          <w:lang w:val="en-GB"/>
        </w:rPr>
        <w:t xml:space="preserve"> to “</w:t>
      </w:r>
      <w:r w:rsidRPr="001E50E7">
        <w:rPr>
          <w:i/>
          <w:iCs/>
          <w:lang w:val="en-GB"/>
        </w:rPr>
        <w:t>distinguish</w:t>
      </w:r>
      <w:r w:rsidRPr="001E50E7">
        <w:rPr>
          <w:lang w:val="en-GB"/>
        </w:rPr>
        <w:t>” th</w:t>
      </w:r>
      <w:r w:rsidRPr="004D2384">
        <w:rPr>
          <w:lang w:val="en-GB"/>
        </w:rPr>
        <w:t xml:space="preserve">e </w:t>
      </w:r>
      <w:r w:rsidRPr="00AA2F90">
        <w:rPr>
          <w:lang w:val="en-GB"/>
        </w:rPr>
        <w:t>facts</w:t>
      </w:r>
      <w:r w:rsidRPr="001E50E7">
        <w:rPr>
          <w:lang w:val="en-GB"/>
        </w:rPr>
        <w:t xml:space="preserve"> </w:t>
      </w:r>
      <w:r>
        <w:rPr>
          <w:lang w:val="en-GB"/>
        </w:rPr>
        <w:t xml:space="preserve">of </w:t>
      </w:r>
      <w:r w:rsidRPr="001E50E7">
        <w:rPr>
          <w:lang w:val="en-GB"/>
        </w:rPr>
        <w:t>these authorities</w:t>
      </w:r>
      <w:r>
        <w:rPr>
          <w:lang w:val="en-GB"/>
        </w:rPr>
        <w:t xml:space="preserve"> from the present case</w:t>
      </w:r>
      <w:r w:rsidRPr="001E50E7">
        <w:rPr>
          <w:lang w:val="en-GB"/>
        </w:rPr>
        <w:t xml:space="preserve">. </w:t>
      </w:r>
      <w:r w:rsidR="00AC4307">
        <w:rPr>
          <w:lang w:val="en-GB"/>
        </w:rPr>
        <w:t xml:space="preserve"> </w:t>
      </w:r>
      <w:r>
        <w:rPr>
          <w:lang w:val="en-GB"/>
        </w:rPr>
        <w:t>These legal principles governing the existence of a duty of care owed by a person to the employee of his independent contractor are not “</w:t>
      </w:r>
      <w:r w:rsidRPr="00D00B95">
        <w:rPr>
          <w:i/>
          <w:iCs/>
          <w:lang w:val="en-GB"/>
        </w:rPr>
        <w:t>irrelevant</w:t>
      </w:r>
      <w:r>
        <w:rPr>
          <w:lang w:val="en-GB"/>
        </w:rPr>
        <w:t>” to the issue.</w:t>
      </w:r>
    </w:p>
    <w:p w:rsidR="007E4545" w:rsidRPr="007D3F08" w:rsidRDefault="007E4545" w:rsidP="00151318">
      <w:pPr>
        <w:tabs>
          <w:tab w:val="num" w:pos="1440"/>
        </w:tabs>
        <w:spacing w:line="360" w:lineRule="auto"/>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 xml:space="preserve">As noted at §29 of the Decision, the plaintiff has failed to plead, </w:t>
      </w:r>
      <w:r>
        <w:rPr>
          <w:i/>
          <w:iCs/>
          <w:lang w:val="en-GB"/>
        </w:rPr>
        <w:t>inter alia</w:t>
      </w:r>
      <w:r>
        <w:rPr>
          <w:lang w:val="en-GB"/>
        </w:rPr>
        <w:t xml:space="preserve">, that </w:t>
      </w:r>
      <w:r w:rsidRPr="0001154D">
        <w:rPr>
          <w:i/>
          <w:iCs/>
          <w:lang w:val="en-GB"/>
        </w:rPr>
        <w:t>(i)</w:t>
      </w:r>
      <w:r>
        <w:rPr>
          <w:lang w:val="en-GB"/>
        </w:rPr>
        <w:t xml:space="preserve"> the ladder was defective; or </w:t>
      </w:r>
      <w:r w:rsidRPr="0001154D">
        <w:rPr>
          <w:i/>
          <w:iCs/>
          <w:lang w:val="en-GB"/>
        </w:rPr>
        <w:t>(ii)</w:t>
      </w:r>
      <w:r>
        <w:rPr>
          <w:lang w:val="en-GB"/>
        </w:rPr>
        <w:t xml:space="preserve"> the 2</w:t>
      </w:r>
      <w:r w:rsidRPr="00AA2F90">
        <w:rPr>
          <w:vertAlign w:val="superscript"/>
          <w:lang w:val="en-GB"/>
        </w:rPr>
        <w:t>nd</w:t>
      </w:r>
      <w:r>
        <w:rPr>
          <w:lang w:val="en-GB"/>
        </w:rPr>
        <w:t xml:space="preserve"> defendant provided the ladder knowing that it would be used in an unsafe way; or </w:t>
      </w:r>
      <w:r w:rsidRPr="005D5906">
        <w:rPr>
          <w:i/>
          <w:iCs/>
          <w:lang w:val="en-GB"/>
        </w:rPr>
        <w:t>(iii)</w:t>
      </w:r>
      <w:r>
        <w:rPr>
          <w:lang w:val="en-GB"/>
        </w:rPr>
        <w:t xml:space="preserve"> the 2</w:t>
      </w:r>
      <w:r w:rsidRPr="00AA2F90">
        <w:rPr>
          <w:vertAlign w:val="superscript"/>
          <w:lang w:val="en-GB"/>
        </w:rPr>
        <w:t>nd</w:t>
      </w:r>
      <w:r>
        <w:rPr>
          <w:lang w:val="en-GB"/>
        </w:rPr>
        <w:t xml:space="preserve"> defendant knew that the 1</w:t>
      </w:r>
      <w:r w:rsidRPr="00AA2F90">
        <w:rPr>
          <w:vertAlign w:val="superscript"/>
          <w:lang w:val="en-GB"/>
        </w:rPr>
        <w:t>st</w:t>
      </w:r>
      <w:r>
        <w:rPr>
          <w:lang w:val="en-GB"/>
        </w:rPr>
        <w:t xml:space="preserve"> defendant used a defective system of </w:t>
      </w:r>
      <w:r>
        <w:rPr>
          <w:lang w:val="en-GB"/>
        </w:rPr>
        <w:lastRenderedPageBreak/>
        <w:t xml:space="preserve">work; or </w:t>
      </w:r>
      <w:r w:rsidRPr="002A3313">
        <w:rPr>
          <w:i/>
          <w:iCs/>
          <w:lang w:val="en-GB"/>
        </w:rPr>
        <w:t>(iv)</w:t>
      </w:r>
      <w:r>
        <w:rPr>
          <w:lang w:val="en-GB"/>
        </w:rPr>
        <w:t xml:space="preserve"> the 2</w:t>
      </w:r>
      <w:r w:rsidRPr="00AA2F90">
        <w:rPr>
          <w:vertAlign w:val="superscript"/>
          <w:lang w:val="en-GB"/>
        </w:rPr>
        <w:t>nd</w:t>
      </w:r>
      <w:r>
        <w:rPr>
          <w:lang w:val="en-GB"/>
        </w:rPr>
        <w:t xml:space="preserve"> defendant had any control over the 1</w:t>
      </w:r>
      <w:r w:rsidRPr="00AA2F90">
        <w:rPr>
          <w:vertAlign w:val="superscript"/>
          <w:lang w:val="en-GB"/>
        </w:rPr>
        <w:t>st</w:t>
      </w:r>
      <w:r>
        <w:rPr>
          <w:lang w:val="en-GB"/>
        </w:rPr>
        <w:t xml:space="preserve"> defendant’s system of work.  The 2</w:t>
      </w:r>
      <w:r w:rsidRPr="00AA2F90">
        <w:rPr>
          <w:vertAlign w:val="superscript"/>
          <w:lang w:val="en-GB"/>
        </w:rPr>
        <w:t>nd</w:t>
      </w:r>
      <w:r>
        <w:rPr>
          <w:lang w:val="en-GB"/>
        </w:rPr>
        <w:t xml:space="preserve"> defendant submits that t</w:t>
      </w:r>
      <w:r w:rsidRPr="001C0C3E">
        <w:rPr>
          <w:lang w:val="en-GB"/>
        </w:rPr>
        <w:t xml:space="preserve">he finding that no duty of care arose from the pleaded facts was thus plainly </w:t>
      </w:r>
      <w:r w:rsidRPr="00AA2F90">
        <w:rPr>
          <w:lang w:val="en-GB"/>
        </w:rPr>
        <w:t>correct</w:t>
      </w:r>
      <w:r w:rsidRPr="004D2384">
        <w:rPr>
          <w:lang w:val="en-GB"/>
        </w:rPr>
        <w:t xml:space="preserve">. </w:t>
      </w:r>
      <w:r w:rsidR="00AC4307">
        <w:rPr>
          <w:lang w:val="en-GB"/>
        </w:rPr>
        <w:t xml:space="preserve"> </w:t>
      </w:r>
      <w:r>
        <w:rPr>
          <w:lang w:val="en-GB"/>
        </w:rPr>
        <w:t xml:space="preserve">In my view the plaintiff has not shown why that may be wrong. </w:t>
      </w:r>
      <w:r w:rsidR="00AC4307">
        <w:rPr>
          <w:lang w:val="en-GB"/>
        </w:rPr>
        <w:t xml:space="preserve"> </w:t>
      </w:r>
      <w:r>
        <w:rPr>
          <w:lang w:val="en-GB"/>
        </w:rPr>
        <w:t>Therefore I am not satisfied that the first ground of the proposed appeal has a reasonable prospect of success.</w:t>
      </w:r>
    </w:p>
    <w:p w:rsidR="007E4545" w:rsidRDefault="007E4545" w:rsidP="00151318">
      <w:pPr>
        <w:tabs>
          <w:tab w:val="num" w:pos="1440"/>
        </w:tabs>
        <w:spacing w:line="360" w:lineRule="auto"/>
        <w:rPr>
          <w:lang w:val="en-GB"/>
        </w:rPr>
      </w:pPr>
    </w:p>
    <w:p w:rsidR="007E4545" w:rsidRPr="00AA2F90" w:rsidRDefault="007E4545" w:rsidP="00151318">
      <w:pPr>
        <w:tabs>
          <w:tab w:val="num" w:pos="1440"/>
        </w:tabs>
        <w:spacing w:line="360" w:lineRule="auto"/>
        <w:jc w:val="both"/>
        <w:rPr>
          <w:i/>
          <w:iCs/>
          <w:lang w:val="en-GB"/>
        </w:rPr>
      </w:pPr>
      <w:r w:rsidRPr="00AA2F90">
        <w:rPr>
          <w:i/>
          <w:iCs/>
          <w:lang w:val="en-GB"/>
        </w:rPr>
        <w:t>McGarvey and Toner</w:t>
      </w:r>
    </w:p>
    <w:p w:rsidR="007E4545" w:rsidRDefault="007E4545" w:rsidP="00151318">
      <w:pPr>
        <w:tabs>
          <w:tab w:val="num" w:pos="1440"/>
        </w:tabs>
        <w:spacing w:line="360" w:lineRule="auto"/>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 xml:space="preserve">P’s Submissions second ground of intended appeal is based on </w:t>
      </w:r>
      <w:r>
        <w:rPr>
          <w:i/>
          <w:iCs/>
          <w:lang w:val="en-GB"/>
        </w:rPr>
        <w:t>McGarvey v Eve NCI Ltd</w:t>
      </w:r>
      <w:r>
        <w:rPr>
          <w:lang w:val="en-GB"/>
        </w:rPr>
        <w:t xml:space="preserve"> and </w:t>
      </w:r>
      <w:r>
        <w:rPr>
          <w:i/>
          <w:iCs/>
          <w:lang w:val="en-GB"/>
        </w:rPr>
        <w:t>Toner v George Morrison Builders.</w:t>
      </w:r>
      <w:r>
        <w:rPr>
          <w:lang w:val="en-GB"/>
        </w:rPr>
        <w:t xml:space="preserve"> </w:t>
      </w:r>
    </w:p>
    <w:p w:rsidR="007E4545" w:rsidRPr="003231B1" w:rsidRDefault="007E4545" w:rsidP="00151318">
      <w:pPr>
        <w:tabs>
          <w:tab w:val="num" w:pos="1440"/>
        </w:tabs>
        <w:spacing w:line="360" w:lineRule="auto"/>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sidRPr="006E126D">
        <w:rPr>
          <w:lang w:val="en-GB"/>
        </w:rPr>
        <w:t>Apart from th</w:t>
      </w:r>
      <w:r>
        <w:rPr>
          <w:lang w:val="en-GB"/>
        </w:rPr>
        <w:t xml:space="preserve">e fact that </w:t>
      </w:r>
      <w:r w:rsidRPr="006E126D">
        <w:rPr>
          <w:lang w:val="en-GB"/>
        </w:rPr>
        <w:t xml:space="preserve">these cases were not </w:t>
      </w:r>
      <w:r>
        <w:rPr>
          <w:lang w:val="en-GB"/>
        </w:rPr>
        <w:t xml:space="preserve">cited previously </w:t>
      </w:r>
      <w:r w:rsidRPr="006E126D">
        <w:rPr>
          <w:lang w:val="en-GB"/>
        </w:rPr>
        <w:t>and</w:t>
      </w:r>
      <w:r>
        <w:rPr>
          <w:lang w:val="en-GB"/>
        </w:rPr>
        <w:t xml:space="preserve"> the plaintiff is not saying t</w:t>
      </w:r>
      <w:r w:rsidRPr="006E126D">
        <w:rPr>
          <w:lang w:val="en-GB"/>
        </w:rPr>
        <w:t xml:space="preserve">he judge </w:t>
      </w:r>
      <w:r>
        <w:rPr>
          <w:lang w:val="en-GB"/>
        </w:rPr>
        <w:t xml:space="preserve">was wrong </w:t>
      </w:r>
      <w:r w:rsidRPr="006E126D">
        <w:rPr>
          <w:lang w:val="en-GB"/>
        </w:rPr>
        <w:t xml:space="preserve">in </w:t>
      </w:r>
      <w:r>
        <w:rPr>
          <w:lang w:val="en-GB"/>
        </w:rPr>
        <w:t xml:space="preserve">failing to consider </w:t>
      </w:r>
      <w:r w:rsidRPr="006E126D">
        <w:rPr>
          <w:lang w:val="en-GB"/>
        </w:rPr>
        <w:t>the</w:t>
      </w:r>
      <w:r>
        <w:rPr>
          <w:lang w:val="en-GB"/>
        </w:rPr>
        <w:t>m</w:t>
      </w:r>
      <w:r w:rsidRPr="006E126D">
        <w:rPr>
          <w:lang w:val="en-GB"/>
        </w:rPr>
        <w:t>,</w:t>
      </w:r>
      <w:r>
        <w:rPr>
          <w:lang w:val="en-GB"/>
        </w:rPr>
        <w:t xml:space="preserve"> the 2</w:t>
      </w:r>
      <w:r w:rsidRPr="00AA2F90">
        <w:rPr>
          <w:vertAlign w:val="superscript"/>
          <w:lang w:val="en-GB"/>
        </w:rPr>
        <w:t>nd</w:t>
      </w:r>
      <w:r>
        <w:rPr>
          <w:lang w:val="en-GB"/>
        </w:rPr>
        <w:t xml:space="preserve"> defendant submits that </w:t>
      </w:r>
      <w:r>
        <w:rPr>
          <w:i/>
          <w:iCs/>
          <w:lang w:val="en-GB"/>
        </w:rPr>
        <w:t xml:space="preserve">(i) </w:t>
      </w:r>
      <w:r w:rsidRPr="006E126D">
        <w:rPr>
          <w:i/>
          <w:iCs/>
          <w:lang w:val="en-GB"/>
        </w:rPr>
        <w:t xml:space="preserve">McGarvey </w:t>
      </w:r>
      <w:r>
        <w:rPr>
          <w:lang w:val="en-GB"/>
        </w:rPr>
        <w:t xml:space="preserve">in fact supports it’s position that the plaintiff’s claim ought to be struck out; and </w:t>
      </w:r>
      <w:r>
        <w:rPr>
          <w:i/>
          <w:iCs/>
          <w:lang w:val="en-GB"/>
        </w:rPr>
        <w:t>(ii)</w:t>
      </w:r>
      <w:r>
        <w:rPr>
          <w:lang w:val="en-GB"/>
        </w:rPr>
        <w:t xml:space="preserve"> </w:t>
      </w:r>
      <w:r w:rsidRPr="006E126D">
        <w:rPr>
          <w:i/>
          <w:iCs/>
          <w:lang w:val="en-GB"/>
        </w:rPr>
        <w:t>Toner</w:t>
      </w:r>
      <w:r>
        <w:rPr>
          <w:i/>
          <w:iCs/>
          <w:lang w:val="en-GB"/>
        </w:rPr>
        <w:t xml:space="preserve"> </w:t>
      </w:r>
      <w:r w:rsidRPr="006E126D">
        <w:rPr>
          <w:lang w:val="en-GB"/>
        </w:rPr>
        <w:t xml:space="preserve">has </w:t>
      </w:r>
      <w:r>
        <w:rPr>
          <w:lang w:val="en-GB"/>
        </w:rPr>
        <w:t>no relevance whatsoever to the present case.</w:t>
      </w:r>
    </w:p>
    <w:p w:rsidR="007E4545" w:rsidRDefault="007E4545" w:rsidP="00151318">
      <w:pPr>
        <w:tabs>
          <w:tab w:val="num" w:pos="1440"/>
        </w:tabs>
        <w:spacing w:line="360" w:lineRule="auto"/>
        <w:jc w:val="both"/>
        <w:rPr>
          <w:lang w:val="en-GB"/>
        </w:rPr>
      </w:pPr>
    </w:p>
    <w:p w:rsidR="007E4545" w:rsidRPr="00AB600C"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 xml:space="preserve">In </w:t>
      </w:r>
      <w:r w:rsidRPr="00547ABF">
        <w:rPr>
          <w:i/>
          <w:iCs/>
          <w:lang w:val="en-GB"/>
        </w:rPr>
        <w:t>McGarvey</w:t>
      </w:r>
      <w:r w:rsidRPr="000F26EF">
        <w:rPr>
          <w:b/>
          <w:bCs/>
          <w:lang w:val="en-GB"/>
        </w:rPr>
        <w:t xml:space="preserve"> </w:t>
      </w:r>
      <w:r>
        <w:rPr>
          <w:lang w:val="en-GB"/>
        </w:rPr>
        <w:t xml:space="preserve">the </w:t>
      </w:r>
      <w:r w:rsidRPr="00AB600C">
        <w:rPr>
          <w:lang w:val="en-GB"/>
        </w:rPr>
        <w:t xml:space="preserve">claimant was injured </w:t>
      </w:r>
      <w:r>
        <w:rPr>
          <w:lang w:val="en-GB"/>
        </w:rPr>
        <w:t>after falling</w:t>
      </w:r>
      <w:r w:rsidRPr="00AB600C">
        <w:rPr>
          <w:lang w:val="en-GB"/>
        </w:rPr>
        <w:t xml:space="preserve"> from a </w:t>
      </w:r>
      <w:r w:rsidRPr="00547ABF">
        <w:rPr>
          <w:lang w:val="en-GB"/>
        </w:rPr>
        <w:t>ladder while doing work for his employer which was sub-contracted by the appellant</w:t>
      </w:r>
      <w:r w:rsidRPr="00AB600C">
        <w:rPr>
          <w:lang w:val="en-GB"/>
        </w:rPr>
        <w:t xml:space="preserve"> (§2).  </w:t>
      </w:r>
      <w:r>
        <w:rPr>
          <w:lang w:val="en-GB"/>
        </w:rPr>
        <w:t xml:space="preserve">He </w:t>
      </w:r>
      <w:r w:rsidRPr="00AB600C">
        <w:rPr>
          <w:lang w:val="en-GB"/>
        </w:rPr>
        <w:t xml:space="preserve">was assigned by his employer to report to the appellant’s foreman (§3), who provided him with the ladder and told him to use it to do the work (§4).  The ladder turned out </w:t>
      </w:r>
      <w:r>
        <w:rPr>
          <w:lang w:val="en-GB"/>
        </w:rPr>
        <w:t xml:space="preserve">to </w:t>
      </w:r>
      <w:r w:rsidRPr="00AB600C">
        <w:rPr>
          <w:lang w:val="en-GB"/>
        </w:rPr>
        <w:t xml:space="preserve">be inappropriate and dangerous </w:t>
      </w:r>
      <w:r w:rsidRPr="00441F7A">
        <w:rPr>
          <w:lang w:val="en-GB"/>
        </w:rPr>
        <w:t>for being too long (§6).</w:t>
      </w:r>
    </w:p>
    <w:p w:rsidR="007E4545" w:rsidRPr="00727FDC" w:rsidRDefault="007E4545" w:rsidP="00151318">
      <w:pPr>
        <w:tabs>
          <w:tab w:val="num" w:pos="1440"/>
        </w:tabs>
        <w:spacing w:line="360" w:lineRule="auto"/>
        <w:jc w:val="both"/>
        <w:rPr>
          <w:lang w:val="en-GB"/>
        </w:rPr>
      </w:pPr>
    </w:p>
    <w:p w:rsidR="007E4545" w:rsidRPr="004B757E"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 xml:space="preserve">The trial judge found the appellant negligent on the grounds that </w:t>
      </w:r>
      <w:r w:rsidRPr="004B757E">
        <w:rPr>
          <w:lang w:val="en-GB"/>
        </w:rPr>
        <w:t>“</w:t>
      </w:r>
      <w:r w:rsidRPr="004B757E">
        <w:rPr>
          <w:i/>
          <w:iCs/>
          <w:lang w:val="en-GB"/>
        </w:rPr>
        <w:t>a wholly inappropriate ladder was given to [the claimant], and he was told, in effect, to get on with it</w:t>
      </w:r>
      <w:r w:rsidRPr="004B757E">
        <w:rPr>
          <w:lang w:val="en-GB"/>
        </w:rPr>
        <w:t>” (§8)</w:t>
      </w:r>
      <w:r>
        <w:rPr>
          <w:lang w:val="en-GB"/>
        </w:rPr>
        <w:t>, and that the ladder was “</w:t>
      </w:r>
      <w:r>
        <w:rPr>
          <w:i/>
          <w:iCs/>
          <w:lang w:val="en-GB"/>
        </w:rPr>
        <w:t xml:space="preserve">too long. </w:t>
      </w:r>
      <w:r>
        <w:rPr>
          <w:i/>
          <w:iCs/>
          <w:lang w:val="en-GB"/>
        </w:rPr>
        <w:lastRenderedPageBreak/>
        <w:t xml:space="preserve">It could not be used for this purpose. </w:t>
      </w:r>
      <w:r w:rsidR="00A130FF">
        <w:rPr>
          <w:i/>
          <w:iCs/>
          <w:lang w:val="en-GB"/>
        </w:rPr>
        <w:t xml:space="preserve"> </w:t>
      </w:r>
      <w:r>
        <w:rPr>
          <w:i/>
          <w:iCs/>
          <w:lang w:val="en-GB"/>
        </w:rPr>
        <w:t>It was something [the appellant’s foreman] should have known, and [the claimant] had, clearly, been left in his presence to take instructions from him, and he told him to use that ladder</w:t>
      </w:r>
      <w:r>
        <w:rPr>
          <w:lang w:val="en-GB"/>
        </w:rPr>
        <w:t>” (§12).</w:t>
      </w:r>
    </w:p>
    <w:p w:rsidR="007E4545" w:rsidRDefault="007E4545" w:rsidP="00151318">
      <w:pPr>
        <w:pStyle w:val="ListParagraph"/>
        <w:tabs>
          <w:tab w:val="num" w:pos="1440"/>
        </w:tabs>
        <w:spacing w:line="360" w:lineRule="auto"/>
        <w:ind w:left="0"/>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 xml:space="preserve">The English Court of Appeal in </w:t>
      </w:r>
      <w:r>
        <w:rPr>
          <w:i/>
          <w:iCs/>
          <w:lang w:val="en-GB"/>
        </w:rPr>
        <w:t xml:space="preserve">McGarvey </w:t>
      </w:r>
      <w:r>
        <w:rPr>
          <w:lang w:val="en-GB"/>
        </w:rPr>
        <w:t>agreed, holding that the appellant’s foreman assumed responsibility for the claimant’s safety when he instructed him to use the ladder that could not have been used safely at all for the work which he knew the claimant was to do alone (§15). Here there is no pleading that any employee of the 2</w:t>
      </w:r>
      <w:r w:rsidRPr="00AA2F90">
        <w:rPr>
          <w:vertAlign w:val="superscript"/>
          <w:lang w:val="en-GB"/>
        </w:rPr>
        <w:t>nd</w:t>
      </w:r>
      <w:r>
        <w:rPr>
          <w:lang w:val="en-GB"/>
        </w:rPr>
        <w:t xml:space="preserve"> defendant instructed or had anything to do with the plaintiff.  </w:t>
      </w:r>
    </w:p>
    <w:p w:rsidR="007E4545" w:rsidRDefault="007E4545" w:rsidP="00151318">
      <w:pPr>
        <w:tabs>
          <w:tab w:val="num" w:pos="1440"/>
        </w:tabs>
        <w:spacing w:line="360" w:lineRule="auto"/>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However, based on the aforesaid, the plaintiff argues:-</w:t>
      </w:r>
    </w:p>
    <w:p w:rsidR="007E4545" w:rsidRPr="0031143D" w:rsidRDefault="007E4545" w:rsidP="00151318">
      <w:pPr>
        <w:pStyle w:val="ListParagraph"/>
        <w:tabs>
          <w:tab w:val="num" w:pos="1440"/>
        </w:tabs>
        <w:spacing w:line="360" w:lineRule="auto"/>
        <w:ind w:left="0"/>
        <w:rPr>
          <w:lang w:val="en-GB"/>
        </w:rPr>
      </w:pPr>
    </w:p>
    <w:p w:rsidR="007E4545" w:rsidRDefault="007E4545" w:rsidP="00A130FF">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First, the plaintiff has pleaded, at §4 of the SoC, that immediately before the accident, he “</w:t>
      </w:r>
      <w:r>
        <w:rPr>
          <w:i/>
          <w:iCs/>
          <w:lang w:val="en-GB"/>
        </w:rPr>
        <w:t>had to stand on the top rung of the ladder</w:t>
      </w:r>
      <w:r>
        <w:rPr>
          <w:lang w:val="en-GB"/>
        </w:rPr>
        <w:t>” hence suggesting that “</w:t>
      </w:r>
      <w:r>
        <w:rPr>
          <w:i/>
          <w:iCs/>
          <w:lang w:val="en-GB"/>
        </w:rPr>
        <w:t>the ladder was obviously too short for the Work</w:t>
      </w:r>
      <w:r>
        <w:rPr>
          <w:lang w:val="en-GB"/>
        </w:rPr>
        <w:t>”;</w:t>
      </w:r>
    </w:p>
    <w:p w:rsidR="007E4545" w:rsidRPr="00FE492D" w:rsidRDefault="007E4545" w:rsidP="00A130FF">
      <w:pPr>
        <w:tabs>
          <w:tab w:val="clear" w:pos="1440"/>
          <w:tab w:val="num" w:pos="2160"/>
        </w:tabs>
        <w:spacing w:line="360" w:lineRule="auto"/>
        <w:ind w:left="2160" w:hanging="720"/>
        <w:jc w:val="both"/>
        <w:rPr>
          <w:lang w:val="en-GB"/>
        </w:rPr>
      </w:pPr>
    </w:p>
    <w:p w:rsidR="007E4545" w:rsidRDefault="007E4545" w:rsidP="00A130FF">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 xml:space="preserve">Second, the plaintiff relies on </w:t>
      </w:r>
      <w:r>
        <w:rPr>
          <w:i/>
          <w:iCs/>
          <w:lang w:val="en-GB"/>
        </w:rPr>
        <w:t xml:space="preserve">res ipsa </w:t>
      </w:r>
      <w:r w:rsidRPr="0011044E">
        <w:rPr>
          <w:i/>
          <w:lang w:val="en-GB"/>
        </w:rPr>
        <w:t>loquitur</w:t>
      </w:r>
      <w:r>
        <w:rPr>
          <w:lang w:val="en-GB"/>
        </w:rPr>
        <w:t xml:space="preserve">, pleaded </w:t>
      </w:r>
      <w:r w:rsidRPr="00D75A54">
        <w:rPr>
          <w:lang w:val="en-GB"/>
        </w:rPr>
        <w:t>at</w:t>
      </w:r>
      <w:r>
        <w:rPr>
          <w:lang w:val="en-GB"/>
        </w:rPr>
        <w:t xml:space="preserve"> §9 of the SoC;</w:t>
      </w:r>
    </w:p>
    <w:p w:rsidR="007E4545" w:rsidRPr="00D75A54" w:rsidRDefault="007E4545" w:rsidP="00A130FF">
      <w:pPr>
        <w:pStyle w:val="ListParagraph"/>
        <w:tabs>
          <w:tab w:val="clear" w:pos="1440"/>
          <w:tab w:val="num" w:pos="2160"/>
        </w:tabs>
        <w:spacing w:line="360" w:lineRule="auto"/>
        <w:ind w:left="2160" w:hanging="720"/>
        <w:rPr>
          <w:lang w:val="en-GB"/>
        </w:rPr>
      </w:pPr>
    </w:p>
    <w:p w:rsidR="007E4545" w:rsidRDefault="007E4545" w:rsidP="00A130FF">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It follows that the ladder provided by the 2</w:t>
      </w:r>
      <w:r w:rsidRPr="00AA2F90">
        <w:rPr>
          <w:vertAlign w:val="superscript"/>
          <w:lang w:val="en-GB"/>
        </w:rPr>
        <w:t>nd</w:t>
      </w:r>
      <w:r>
        <w:rPr>
          <w:lang w:val="en-GB"/>
        </w:rPr>
        <w:t xml:space="preserve"> defendant “</w:t>
      </w:r>
      <w:r>
        <w:rPr>
          <w:i/>
          <w:iCs/>
          <w:lang w:val="en-GB"/>
        </w:rPr>
        <w:t>was not a safe and proper working platform</w:t>
      </w:r>
      <w:r>
        <w:rPr>
          <w:lang w:val="en-GB"/>
        </w:rPr>
        <w:t>”, pleaded in §§4 and 5(f) of the SoC.</w:t>
      </w:r>
    </w:p>
    <w:p w:rsidR="007E4545" w:rsidRDefault="007E4545" w:rsidP="00151318">
      <w:pPr>
        <w:tabs>
          <w:tab w:val="num" w:pos="1440"/>
        </w:tabs>
        <w:spacing w:line="360" w:lineRule="auto"/>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rPr>
          <w:lang w:val="en-GB"/>
        </w:rPr>
      </w:pPr>
      <w:r>
        <w:rPr>
          <w:lang w:val="en-GB"/>
        </w:rPr>
        <w:t>The 2</w:t>
      </w:r>
      <w:r w:rsidRPr="00AA2F90">
        <w:rPr>
          <w:vertAlign w:val="superscript"/>
          <w:lang w:val="en-GB"/>
        </w:rPr>
        <w:t>nd</w:t>
      </w:r>
      <w:r>
        <w:rPr>
          <w:lang w:val="en-GB"/>
        </w:rPr>
        <w:t xml:space="preserve"> defendant submits that none of these arguments has any merit:-</w:t>
      </w:r>
    </w:p>
    <w:p w:rsidR="007E4545" w:rsidRDefault="007E4545" w:rsidP="00151318">
      <w:pPr>
        <w:pStyle w:val="ListParagraph"/>
        <w:tabs>
          <w:tab w:val="num" w:pos="1440"/>
        </w:tabs>
        <w:spacing w:line="360" w:lineRule="auto"/>
        <w:ind w:left="0"/>
        <w:rPr>
          <w:lang w:val="en-GB"/>
        </w:rPr>
      </w:pPr>
    </w:p>
    <w:p w:rsidR="007E4545" w:rsidRDefault="007E4545" w:rsidP="00A130FF">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To begin with, it is plainly a quantum leap for the plaintiff to contend that the ladder “</w:t>
      </w:r>
      <w:r>
        <w:rPr>
          <w:i/>
          <w:iCs/>
          <w:lang w:val="en-GB"/>
        </w:rPr>
        <w:t>was obviously too short for the Work</w:t>
      </w:r>
      <w:r>
        <w:rPr>
          <w:lang w:val="en-GB"/>
        </w:rPr>
        <w:t xml:space="preserve">”, which is </w:t>
      </w:r>
      <w:r w:rsidRPr="00AA2F90">
        <w:rPr>
          <w:lang w:val="en-GB"/>
        </w:rPr>
        <w:t>not</w:t>
      </w:r>
      <w:r w:rsidRPr="003E2D9A">
        <w:rPr>
          <w:lang w:val="en-GB"/>
        </w:rPr>
        <w:t xml:space="preserve"> </w:t>
      </w:r>
      <w:r>
        <w:rPr>
          <w:lang w:val="en-GB"/>
        </w:rPr>
        <w:t>pleaded, from the pleaded fact that he “</w:t>
      </w:r>
      <w:r>
        <w:rPr>
          <w:i/>
          <w:iCs/>
          <w:lang w:val="en-GB"/>
        </w:rPr>
        <w:t>had to stand on the top rung</w:t>
      </w:r>
      <w:r>
        <w:rPr>
          <w:lang w:val="en-GB"/>
        </w:rPr>
        <w:t xml:space="preserve">”; </w:t>
      </w:r>
    </w:p>
    <w:p w:rsidR="007E4545" w:rsidRDefault="007E4545" w:rsidP="00A130FF">
      <w:pPr>
        <w:pStyle w:val="ListParagraph"/>
        <w:tabs>
          <w:tab w:val="clear" w:pos="1440"/>
          <w:tab w:val="num" w:pos="2160"/>
        </w:tabs>
        <w:spacing w:line="360" w:lineRule="auto"/>
        <w:ind w:left="2160" w:hanging="720"/>
        <w:rPr>
          <w:lang w:val="en-GB"/>
        </w:rPr>
      </w:pPr>
    </w:p>
    <w:p w:rsidR="007E4545" w:rsidRDefault="007E4545" w:rsidP="00A130FF">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This is clear from what the plaintiff has admitted in his Witness Statement:-</w:t>
      </w:r>
    </w:p>
    <w:p w:rsidR="007E4545" w:rsidRPr="004102C3" w:rsidRDefault="007E4545" w:rsidP="00A130FF">
      <w:pPr>
        <w:pStyle w:val="ListParagraph"/>
        <w:tabs>
          <w:tab w:val="clear" w:pos="1440"/>
          <w:tab w:val="num" w:pos="2160"/>
        </w:tabs>
        <w:spacing w:line="360" w:lineRule="auto"/>
        <w:ind w:left="2160" w:hanging="720"/>
        <w:rPr>
          <w:lang w:val="en-GB"/>
        </w:rPr>
      </w:pPr>
    </w:p>
    <w:p w:rsidR="007E4545" w:rsidRDefault="007E4545" w:rsidP="00A130FF">
      <w:pPr>
        <w:pStyle w:val="ListParagraph"/>
        <w:numPr>
          <w:ilvl w:val="0"/>
          <w:numId w:val="37"/>
        </w:numPr>
        <w:tabs>
          <w:tab w:val="clear" w:pos="1440"/>
          <w:tab w:val="clear" w:pos="1985"/>
          <w:tab w:val="clear" w:pos="4320"/>
          <w:tab w:val="clear" w:pos="9072"/>
          <w:tab w:val="num" w:pos="2880"/>
        </w:tabs>
        <w:snapToGrid/>
        <w:spacing w:line="360" w:lineRule="auto"/>
        <w:ind w:left="2880" w:hanging="720"/>
        <w:contextualSpacing/>
        <w:jc w:val="both"/>
        <w:rPr>
          <w:lang w:val="en-GB"/>
        </w:rPr>
      </w:pPr>
      <w:r w:rsidRPr="00D85D6B">
        <w:rPr>
          <w:lang w:val="en-GB"/>
        </w:rPr>
        <w:t>“</w:t>
      </w:r>
      <w:r>
        <w:rPr>
          <w:i/>
          <w:iCs/>
          <w:lang w:val="en-GB"/>
        </w:rPr>
        <w:t xml:space="preserve">… </w:t>
      </w:r>
      <w:r w:rsidRPr="00D85D6B">
        <w:rPr>
          <w:i/>
          <w:iCs/>
          <w:lang w:val="en-GB"/>
        </w:rPr>
        <w:t xml:space="preserve">the </w:t>
      </w:r>
      <w:r>
        <w:rPr>
          <w:i/>
          <w:iCs/>
          <w:lang w:val="en-GB"/>
        </w:rPr>
        <w:t>L</w:t>
      </w:r>
      <w:r w:rsidRPr="00D85D6B">
        <w:rPr>
          <w:i/>
          <w:iCs/>
          <w:lang w:val="en-GB"/>
        </w:rPr>
        <w:t xml:space="preserve">adder was the </w:t>
      </w:r>
      <w:r w:rsidRPr="00AA2F90">
        <w:rPr>
          <w:i/>
          <w:iCs/>
          <w:lang w:val="en-GB"/>
        </w:rPr>
        <w:t>most suitable ladder</w:t>
      </w:r>
      <w:r w:rsidRPr="00D85D6B">
        <w:rPr>
          <w:i/>
          <w:iCs/>
          <w:lang w:val="en-GB"/>
        </w:rPr>
        <w:t xml:space="preserve"> I could fi</w:t>
      </w:r>
      <w:r w:rsidRPr="00A27AE5">
        <w:rPr>
          <w:i/>
          <w:iCs/>
          <w:lang w:val="en-GB"/>
        </w:rPr>
        <w:t>nd at the Place of Accident</w:t>
      </w:r>
      <w:r w:rsidRPr="00A27AE5">
        <w:rPr>
          <w:lang w:val="en-GB"/>
        </w:rPr>
        <w:t xml:space="preserve">” </w:t>
      </w:r>
      <w:r w:rsidRPr="00A27AE5">
        <w:rPr>
          <w:b/>
          <w:bCs/>
          <w:lang w:val="en-GB"/>
        </w:rPr>
        <w:t>[</w:t>
      </w:r>
      <w:r w:rsidRPr="00C70DB9">
        <w:rPr>
          <w:lang w:val="en-GB"/>
        </w:rPr>
        <w:t>D2B/42-43/§22];</w:t>
      </w:r>
    </w:p>
    <w:p w:rsidR="007E4545" w:rsidRPr="004102C3" w:rsidRDefault="007E4545" w:rsidP="00A130FF">
      <w:pPr>
        <w:tabs>
          <w:tab w:val="clear" w:pos="1440"/>
          <w:tab w:val="num" w:pos="2880"/>
        </w:tabs>
        <w:spacing w:line="360" w:lineRule="auto"/>
        <w:ind w:left="2880" w:hanging="720"/>
        <w:jc w:val="both"/>
        <w:rPr>
          <w:lang w:val="en-GB"/>
        </w:rPr>
      </w:pPr>
    </w:p>
    <w:p w:rsidR="007E4545" w:rsidRDefault="007E4545" w:rsidP="00A130FF">
      <w:pPr>
        <w:pStyle w:val="ListParagraph"/>
        <w:numPr>
          <w:ilvl w:val="0"/>
          <w:numId w:val="37"/>
        </w:numPr>
        <w:tabs>
          <w:tab w:val="clear" w:pos="1440"/>
          <w:tab w:val="clear" w:pos="1985"/>
          <w:tab w:val="clear" w:pos="4320"/>
          <w:tab w:val="clear" w:pos="9072"/>
          <w:tab w:val="num" w:pos="2880"/>
        </w:tabs>
        <w:snapToGrid/>
        <w:spacing w:line="360" w:lineRule="auto"/>
        <w:ind w:left="2880" w:hanging="720"/>
        <w:contextualSpacing/>
        <w:jc w:val="both"/>
        <w:rPr>
          <w:lang w:val="en-GB"/>
        </w:rPr>
      </w:pPr>
      <w:r>
        <w:rPr>
          <w:lang w:val="en-GB"/>
        </w:rPr>
        <w:t>“</w:t>
      </w:r>
      <w:r>
        <w:rPr>
          <w:i/>
          <w:iCs/>
          <w:lang w:val="en-GB"/>
        </w:rPr>
        <w:t>B</w:t>
      </w:r>
      <w:r w:rsidRPr="004102C3">
        <w:rPr>
          <w:i/>
          <w:iCs/>
          <w:lang w:val="en-GB"/>
        </w:rPr>
        <w:t xml:space="preserve">efore I climbed </w:t>
      </w:r>
      <w:r>
        <w:rPr>
          <w:i/>
          <w:iCs/>
          <w:lang w:val="en-GB"/>
        </w:rPr>
        <w:t>the Ladder</w:t>
      </w:r>
      <w:r w:rsidRPr="004102C3">
        <w:rPr>
          <w:i/>
          <w:iCs/>
          <w:lang w:val="en-GB"/>
        </w:rPr>
        <w:t xml:space="preserve">, I had </w:t>
      </w:r>
      <w:r>
        <w:rPr>
          <w:i/>
          <w:iCs/>
          <w:lang w:val="en-GB"/>
        </w:rPr>
        <w:t>checked</w:t>
      </w:r>
      <w:r w:rsidRPr="004102C3">
        <w:rPr>
          <w:i/>
          <w:iCs/>
          <w:lang w:val="en-GB"/>
        </w:rPr>
        <w:t xml:space="preserve"> whether </w:t>
      </w:r>
      <w:r>
        <w:rPr>
          <w:i/>
          <w:iCs/>
          <w:lang w:val="en-GB"/>
        </w:rPr>
        <w:t>the Ladder</w:t>
      </w:r>
      <w:r w:rsidRPr="004102C3">
        <w:rPr>
          <w:i/>
          <w:iCs/>
          <w:lang w:val="en-GB"/>
        </w:rPr>
        <w:t xml:space="preserve"> was </w:t>
      </w:r>
      <w:r>
        <w:rPr>
          <w:i/>
          <w:iCs/>
          <w:lang w:val="en-GB"/>
        </w:rPr>
        <w:t>intact and had made sure</w:t>
      </w:r>
      <w:r w:rsidRPr="004102C3">
        <w:rPr>
          <w:i/>
          <w:iCs/>
          <w:lang w:val="en-GB"/>
        </w:rPr>
        <w:t xml:space="preserve"> that the </w:t>
      </w:r>
      <w:r>
        <w:rPr>
          <w:i/>
          <w:iCs/>
          <w:lang w:val="en-GB"/>
        </w:rPr>
        <w:t>L</w:t>
      </w:r>
      <w:r w:rsidRPr="004102C3">
        <w:rPr>
          <w:i/>
          <w:iCs/>
          <w:lang w:val="en-GB"/>
        </w:rPr>
        <w:t xml:space="preserve">adder was </w:t>
      </w:r>
      <w:r>
        <w:rPr>
          <w:i/>
          <w:iCs/>
          <w:lang w:val="en-GB"/>
        </w:rPr>
        <w:t>placed</w:t>
      </w:r>
      <w:r w:rsidRPr="004102C3">
        <w:rPr>
          <w:i/>
          <w:iCs/>
          <w:lang w:val="en-GB"/>
        </w:rPr>
        <w:t xml:space="preserve"> flat on the ground and would not </w:t>
      </w:r>
      <w:r>
        <w:rPr>
          <w:i/>
          <w:iCs/>
          <w:lang w:val="en-GB"/>
        </w:rPr>
        <w:t>shake</w:t>
      </w:r>
      <w:r w:rsidRPr="00C70DB9">
        <w:rPr>
          <w:lang w:val="en-GB"/>
        </w:rPr>
        <w:t>” [D2B/43/§23].</w:t>
      </w:r>
    </w:p>
    <w:p w:rsidR="007E4545" w:rsidRPr="00843A64" w:rsidRDefault="007E4545" w:rsidP="00A130FF">
      <w:pPr>
        <w:pStyle w:val="ListParagraph"/>
        <w:tabs>
          <w:tab w:val="clear" w:pos="1440"/>
          <w:tab w:val="num" w:pos="2160"/>
        </w:tabs>
        <w:spacing w:line="360" w:lineRule="auto"/>
        <w:ind w:left="2160" w:hanging="720"/>
        <w:rPr>
          <w:lang w:val="en-GB"/>
        </w:rPr>
      </w:pPr>
    </w:p>
    <w:p w:rsidR="007E4545" w:rsidRPr="003B5AFE" w:rsidRDefault="007E4545" w:rsidP="00A130FF">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 xml:space="preserve">Secondly, the plaintiff’s reliance on </w:t>
      </w:r>
      <w:r>
        <w:rPr>
          <w:i/>
          <w:iCs/>
          <w:lang w:val="en-GB"/>
        </w:rPr>
        <w:t>res ipsa loquitur</w:t>
      </w:r>
      <w:r>
        <w:rPr>
          <w:b/>
          <w:bCs/>
          <w:lang w:val="en-GB"/>
        </w:rPr>
        <w:t xml:space="preserve"> </w:t>
      </w:r>
      <w:r>
        <w:rPr>
          <w:lang w:val="en-GB"/>
        </w:rPr>
        <w:t xml:space="preserve">is plainly bad.  It is well-settled that the doctrine is an evidential rule going only to the questions of breach of duty and causation.  </w:t>
      </w:r>
      <w:r w:rsidRPr="00AA2F90">
        <w:rPr>
          <w:lang w:val="en-GB"/>
        </w:rPr>
        <w:t xml:space="preserve">It is </w:t>
      </w:r>
      <w:r w:rsidRPr="00AA2F90">
        <w:rPr>
          <w:i/>
          <w:iCs/>
          <w:lang w:val="en-GB"/>
        </w:rPr>
        <w:t>not</w:t>
      </w:r>
      <w:r w:rsidRPr="00AA2F90">
        <w:rPr>
          <w:lang w:val="en-GB"/>
        </w:rPr>
        <w:t xml:space="preserve"> applicable to the prior question of duty of care, which is a question of law.</w:t>
      </w:r>
      <w:r w:rsidRPr="003E2D9A">
        <w:rPr>
          <w:lang w:val="en-GB"/>
        </w:rPr>
        <w:t xml:space="preserve">  This is supported by </w:t>
      </w:r>
      <w:r w:rsidRPr="003E2D9A">
        <w:rPr>
          <w:i/>
          <w:iCs/>
          <w:lang w:val="en-GB"/>
        </w:rPr>
        <w:t>Yu Yu Kai v Chan Chi Keung</w:t>
      </w:r>
      <w:r w:rsidRPr="003E2D9A">
        <w:rPr>
          <w:lang w:val="en-GB"/>
        </w:rPr>
        <w:t xml:space="preserve"> (</w:t>
      </w:r>
      <w:r w:rsidRPr="003B5AFE">
        <w:rPr>
          <w:lang w:val="en-GB"/>
        </w:rPr>
        <w:t xml:space="preserve">2009) 12 HKCFAR 705, </w:t>
      </w:r>
      <w:r>
        <w:rPr>
          <w:lang w:val="en-GB"/>
        </w:rPr>
        <w:t xml:space="preserve">which </w:t>
      </w:r>
      <w:r w:rsidRPr="003B5AFE">
        <w:rPr>
          <w:lang w:val="en-GB"/>
        </w:rPr>
        <w:t xml:space="preserve">Ribeiro PJ </w:t>
      </w:r>
      <w:r>
        <w:rPr>
          <w:lang w:val="en-GB"/>
        </w:rPr>
        <w:t>explained at §§41-44, including</w:t>
      </w:r>
      <w:r w:rsidRPr="003B5AFE">
        <w:rPr>
          <w:lang w:val="en-GB"/>
        </w:rPr>
        <w:t>:-</w:t>
      </w:r>
    </w:p>
    <w:p w:rsidR="007E4545" w:rsidRPr="00815C2F" w:rsidRDefault="007E4545" w:rsidP="00A130FF">
      <w:pPr>
        <w:tabs>
          <w:tab w:val="clear" w:pos="1440"/>
          <w:tab w:val="num" w:pos="2160"/>
        </w:tabs>
        <w:spacing w:line="360" w:lineRule="auto"/>
        <w:ind w:left="2160" w:hanging="720"/>
        <w:jc w:val="both"/>
        <w:rPr>
          <w:lang w:val="en-GB"/>
        </w:rPr>
      </w:pPr>
    </w:p>
    <w:p w:rsidR="007E4545" w:rsidRDefault="007E4545" w:rsidP="00A130FF">
      <w:pPr>
        <w:pStyle w:val="ListParagraph"/>
        <w:tabs>
          <w:tab w:val="clear" w:pos="1440"/>
          <w:tab w:val="num" w:pos="2880"/>
        </w:tabs>
        <w:ind w:left="2880" w:right="746"/>
        <w:jc w:val="both"/>
        <w:rPr>
          <w:i/>
          <w:iCs/>
          <w:sz w:val="24"/>
          <w:szCs w:val="24"/>
          <w:lang w:val="en-GB"/>
        </w:rPr>
      </w:pPr>
      <w:r>
        <w:rPr>
          <w:i/>
          <w:iCs/>
          <w:sz w:val="24"/>
          <w:szCs w:val="24"/>
          <w:lang w:val="en-GB"/>
        </w:rPr>
        <w:t>“</w:t>
      </w:r>
      <w:r w:rsidRPr="00C04A5C">
        <w:rPr>
          <w:i/>
          <w:iCs/>
          <w:sz w:val="24"/>
          <w:szCs w:val="24"/>
          <w:lang w:val="en-GB"/>
        </w:rPr>
        <w:t xml:space="preserve">43.  Whether one uses the label “res ipsa loquitur” or one speaks (as Hobhouse LJ would </w:t>
      </w:r>
      <w:r w:rsidRPr="00C04A5C">
        <w:rPr>
          <w:i/>
          <w:iCs/>
          <w:sz w:val="24"/>
          <w:szCs w:val="24"/>
          <w:lang w:val="en-GB"/>
        </w:rPr>
        <w:lastRenderedPageBreak/>
        <w:t>have preferred) of establishing a prima facie case, one is concerned with a rule regarding the proper approach to the evidence.  It is an approach whereby, in cases where the plaintiff is unable to say exactly how his injury was caused but, consonant with his duty of care, one may expect the defendant to know, one asks whether the evidence has raised a prima facie case against the defendant and if it has, whether the defendant has, at the end of the day, dispelled that prima facie case by providing a plausible explanation for the plaintiff’s injury which is consistent with the absence of negligence on his part.</w:t>
      </w:r>
      <w:r>
        <w:rPr>
          <w:i/>
          <w:iCs/>
          <w:sz w:val="24"/>
          <w:szCs w:val="24"/>
          <w:lang w:val="en-GB"/>
        </w:rPr>
        <w:t>”</w:t>
      </w:r>
      <w:r w:rsidRPr="00C04A5C">
        <w:rPr>
          <w:i/>
          <w:iCs/>
          <w:sz w:val="24"/>
          <w:szCs w:val="24"/>
          <w:lang w:val="en-GB"/>
        </w:rPr>
        <w:t xml:space="preserve"> </w:t>
      </w:r>
    </w:p>
    <w:p w:rsidR="007E4545" w:rsidRPr="0024040A" w:rsidRDefault="007E4545" w:rsidP="00A130FF">
      <w:pPr>
        <w:tabs>
          <w:tab w:val="clear" w:pos="1440"/>
          <w:tab w:val="num" w:pos="2160"/>
        </w:tabs>
        <w:spacing w:line="360" w:lineRule="auto"/>
        <w:ind w:left="2160" w:hanging="720"/>
        <w:rPr>
          <w:lang w:val="en-GB"/>
        </w:rPr>
      </w:pPr>
    </w:p>
    <w:p w:rsidR="007E4545" w:rsidRDefault="007E4545" w:rsidP="00A130FF">
      <w:pPr>
        <w:pStyle w:val="ListParagraph"/>
        <w:numPr>
          <w:ilvl w:val="1"/>
          <w:numId w:val="31"/>
        </w:numPr>
        <w:tabs>
          <w:tab w:val="clear" w:pos="1418"/>
          <w:tab w:val="clear" w:pos="4320"/>
          <w:tab w:val="clear" w:pos="9072"/>
          <w:tab w:val="num" w:pos="2160"/>
        </w:tabs>
        <w:snapToGrid/>
        <w:spacing w:line="360" w:lineRule="auto"/>
        <w:ind w:left="2160" w:hanging="720"/>
        <w:contextualSpacing/>
        <w:jc w:val="both"/>
        <w:rPr>
          <w:lang w:val="en-GB"/>
        </w:rPr>
      </w:pPr>
      <w:r>
        <w:rPr>
          <w:lang w:val="en-GB"/>
        </w:rPr>
        <w:t xml:space="preserve">Accordingly, there is simply no basis for the plaintiff </w:t>
      </w:r>
      <w:r w:rsidRPr="001D186D">
        <w:rPr>
          <w:lang w:val="en-GB"/>
        </w:rPr>
        <w:t xml:space="preserve">to </w:t>
      </w:r>
      <w:r w:rsidRPr="00AA2F90">
        <w:rPr>
          <w:lang w:val="en-GB"/>
        </w:rPr>
        <w:t xml:space="preserve">submit </w:t>
      </w:r>
      <w:r w:rsidRPr="001D186D">
        <w:rPr>
          <w:lang w:val="en-GB"/>
        </w:rPr>
        <w:t>that</w:t>
      </w:r>
      <w:r>
        <w:rPr>
          <w:lang w:val="en-GB"/>
        </w:rPr>
        <w:t xml:space="preserve"> the ladder provided by the 2</w:t>
      </w:r>
      <w:r w:rsidRPr="00AA2F90">
        <w:rPr>
          <w:vertAlign w:val="superscript"/>
          <w:lang w:val="en-GB"/>
        </w:rPr>
        <w:t>nd</w:t>
      </w:r>
      <w:r>
        <w:rPr>
          <w:lang w:val="en-GB"/>
        </w:rPr>
        <w:t xml:space="preserve"> defendant was “</w:t>
      </w:r>
      <w:r>
        <w:rPr>
          <w:i/>
          <w:iCs/>
          <w:lang w:val="en-GB"/>
        </w:rPr>
        <w:t>unsafe</w:t>
      </w:r>
      <w:r>
        <w:rPr>
          <w:lang w:val="en-GB"/>
        </w:rPr>
        <w:t>”, “</w:t>
      </w:r>
      <w:r>
        <w:rPr>
          <w:i/>
          <w:iCs/>
          <w:lang w:val="en-GB"/>
        </w:rPr>
        <w:t>improper</w:t>
      </w:r>
      <w:r>
        <w:rPr>
          <w:lang w:val="en-GB"/>
        </w:rPr>
        <w:t>” or was an “</w:t>
      </w:r>
      <w:r>
        <w:rPr>
          <w:i/>
          <w:iCs/>
          <w:lang w:val="en-GB"/>
        </w:rPr>
        <w:t>unsuitable and unsafe tool (however it is used)</w:t>
      </w:r>
      <w:r>
        <w:rPr>
          <w:lang w:val="en-GB"/>
        </w:rPr>
        <w:t>”, when none of these has been pleaded by the plaintiff within the four corners of his SoC.  I accept the 2</w:t>
      </w:r>
      <w:r w:rsidRPr="00AA2F90">
        <w:rPr>
          <w:vertAlign w:val="superscript"/>
          <w:lang w:val="en-GB"/>
        </w:rPr>
        <w:t>nd</w:t>
      </w:r>
      <w:r>
        <w:rPr>
          <w:lang w:val="en-GB"/>
        </w:rPr>
        <w:t xml:space="preserve"> defendant’s submissions that</w:t>
      </w:r>
      <w:r w:rsidRPr="00562D52">
        <w:rPr>
          <w:i/>
          <w:iCs/>
          <w:lang w:val="en-GB"/>
        </w:rPr>
        <w:t xml:space="preserve"> </w:t>
      </w:r>
      <w:r>
        <w:rPr>
          <w:i/>
          <w:iCs/>
          <w:lang w:val="en-GB"/>
        </w:rPr>
        <w:t xml:space="preserve">McGarvey </w:t>
      </w:r>
      <w:r w:rsidRPr="00AA2F90">
        <w:rPr>
          <w:lang w:val="en-GB"/>
        </w:rPr>
        <w:t>doe</w:t>
      </w:r>
      <w:r>
        <w:rPr>
          <w:lang w:val="en-GB"/>
        </w:rPr>
        <w:t>s not support the plaintiff’s case. It is consistent with</w:t>
      </w:r>
      <w:r w:rsidRPr="00562D52">
        <w:rPr>
          <w:i/>
          <w:iCs/>
          <w:lang w:val="en-GB"/>
        </w:rPr>
        <w:t xml:space="preserve"> </w:t>
      </w:r>
      <w:bookmarkStart w:id="6" w:name="_Hlk102556598"/>
      <w:r w:rsidRPr="00FB139B">
        <w:rPr>
          <w:i/>
          <w:iCs/>
          <w:lang w:val="en-GB"/>
        </w:rPr>
        <w:t>Luen Hing Fat</w:t>
      </w:r>
      <w:r>
        <w:rPr>
          <w:lang w:val="en-GB"/>
        </w:rPr>
        <w:t xml:space="preserve">. </w:t>
      </w:r>
      <w:bookmarkEnd w:id="6"/>
      <w:r w:rsidR="00A130FF">
        <w:rPr>
          <w:lang w:val="en-GB"/>
        </w:rPr>
        <w:t xml:space="preserve"> </w:t>
      </w:r>
      <w:r>
        <w:rPr>
          <w:lang w:val="en-GB"/>
        </w:rPr>
        <w:t>There was an assumption of responsibility by the appellant’s foreman for the safety of the independent sub-contractor’s employee, the claimant.</w:t>
      </w:r>
    </w:p>
    <w:p w:rsidR="007E4545" w:rsidRPr="0024040A" w:rsidRDefault="007E4545" w:rsidP="00151318">
      <w:pPr>
        <w:tabs>
          <w:tab w:val="num" w:pos="1440"/>
        </w:tabs>
        <w:spacing w:line="360" w:lineRule="auto"/>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 xml:space="preserve">In </w:t>
      </w:r>
      <w:r>
        <w:rPr>
          <w:i/>
          <w:iCs/>
          <w:lang w:val="en-GB"/>
        </w:rPr>
        <w:t>Toner</w:t>
      </w:r>
      <w:r>
        <w:rPr>
          <w:lang w:val="en-GB"/>
        </w:rPr>
        <w:t xml:space="preserve">, the question for the Scottish Court was </w:t>
      </w:r>
      <w:r w:rsidRPr="00AF4C4B">
        <w:rPr>
          <w:lang w:val="en-GB"/>
        </w:rPr>
        <w:t xml:space="preserve">whether the defendant had breached the </w:t>
      </w:r>
      <w:r>
        <w:rPr>
          <w:lang w:val="en-GB"/>
        </w:rPr>
        <w:t xml:space="preserve">specific </w:t>
      </w:r>
      <w:r w:rsidRPr="00AA2F90">
        <w:rPr>
          <w:i/>
          <w:iCs/>
          <w:lang w:val="en-GB"/>
        </w:rPr>
        <w:t>statutory</w:t>
      </w:r>
      <w:r w:rsidRPr="00B53A82">
        <w:rPr>
          <w:lang w:val="en-GB"/>
        </w:rPr>
        <w:t xml:space="preserve"> duty</w:t>
      </w:r>
      <w:r>
        <w:rPr>
          <w:lang w:val="en-GB"/>
        </w:rPr>
        <w:t xml:space="preserve">, under the Provision and Use of Work Equipment Regulations 1998, </w:t>
      </w:r>
      <w:r w:rsidRPr="000638FA">
        <w:rPr>
          <w:lang w:val="en-GB"/>
        </w:rPr>
        <w:t xml:space="preserve">to provide safe work equipment when he had left a ladder in a place where it could be used by the claimant.  </w:t>
      </w:r>
      <w:r>
        <w:rPr>
          <w:lang w:val="en-GB"/>
        </w:rPr>
        <w:t>That decision turned on the specific meaning of “</w:t>
      </w:r>
      <w:r>
        <w:rPr>
          <w:i/>
          <w:iCs/>
          <w:lang w:val="en-GB"/>
        </w:rPr>
        <w:t>control</w:t>
      </w:r>
      <w:r>
        <w:rPr>
          <w:lang w:val="en-GB"/>
        </w:rPr>
        <w:t xml:space="preserve">” under Regulation 4 of those Regulations, and is wholly unrelated with the </w:t>
      </w:r>
      <w:r>
        <w:rPr>
          <w:lang w:val="en-GB"/>
        </w:rPr>
        <w:lastRenderedPageBreak/>
        <w:t>duty of care under common law.  Contrary to the plaintiff’s assertion that this is a “</w:t>
      </w:r>
      <w:r>
        <w:rPr>
          <w:i/>
          <w:iCs/>
          <w:lang w:val="en-GB"/>
        </w:rPr>
        <w:t>relevant</w:t>
      </w:r>
      <w:r>
        <w:rPr>
          <w:lang w:val="en-GB"/>
        </w:rPr>
        <w:t>” authority, it has no relevance at all.</w:t>
      </w:r>
    </w:p>
    <w:p w:rsidR="007E4545" w:rsidRDefault="007E4545" w:rsidP="00151318">
      <w:pPr>
        <w:pStyle w:val="ListParagraph"/>
        <w:tabs>
          <w:tab w:val="num" w:pos="1440"/>
        </w:tabs>
        <w:spacing w:line="360" w:lineRule="auto"/>
        <w:ind w:left="0"/>
        <w:jc w:val="both"/>
        <w:rPr>
          <w:lang w:val="en-GB"/>
        </w:rPr>
      </w:pPr>
    </w:p>
    <w:p w:rsidR="007E4545" w:rsidRPr="00EE4736"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sidRPr="00C70DB9">
        <w:rPr>
          <w:lang w:val="en-GB"/>
        </w:rPr>
        <w:t>The P’s Reply Submissions</w:t>
      </w:r>
      <w:r w:rsidRPr="00C97EAA">
        <w:rPr>
          <w:lang w:val="en-GB"/>
        </w:rPr>
        <w:t xml:space="preserve"> contends that “</w:t>
      </w:r>
      <w:r w:rsidRPr="00C97EAA">
        <w:rPr>
          <w:i/>
          <w:iCs/>
          <w:lang w:val="en-GB"/>
        </w:rPr>
        <w:t>the main difference in the parties approach to the application of two lines of case law can be summarised in the question: whether it is the plaintiff’s pleaded case that the 2</w:t>
      </w:r>
      <w:r w:rsidRPr="00C97EAA">
        <w:rPr>
          <w:i/>
          <w:iCs/>
          <w:vertAlign w:val="superscript"/>
          <w:lang w:val="en-GB"/>
        </w:rPr>
        <w:t>nd</w:t>
      </w:r>
      <w:r w:rsidRPr="00C97EAA">
        <w:rPr>
          <w:i/>
          <w:iCs/>
          <w:lang w:val="en-GB"/>
        </w:rPr>
        <w:t xml:space="preserve"> defendant provided him with an unsafe and improper ladder</w:t>
      </w:r>
      <w:r w:rsidRPr="00C97EAA">
        <w:rPr>
          <w:lang w:val="en-GB"/>
        </w:rPr>
        <w:t xml:space="preserve">”. </w:t>
      </w:r>
      <w:r w:rsidR="008158CC">
        <w:rPr>
          <w:lang w:val="en-GB"/>
        </w:rPr>
        <w:t xml:space="preserve"> </w:t>
      </w:r>
      <w:r w:rsidRPr="00C97EAA">
        <w:rPr>
          <w:lang w:val="en-GB"/>
        </w:rPr>
        <w:t xml:space="preserve">If yes, </w:t>
      </w:r>
      <w:r w:rsidRPr="00C97EAA">
        <w:rPr>
          <w:i/>
          <w:iCs/>
          <w:lang w:val="en-GB"/>
        </w:rPr>
        <w:t>McGarvey</w:t>
      </w:r>
      <w:r w:rsidRPr="00C97EAA">
        <w:rPr>
          <w:lang w:val="en-GB"/>
        </w:rPr>
        <w:t xml:space="preserve"> applies.</w:t>
      </w:r>
      <w:r w:rsidR="008158CC">
        <w:rPr>
          <w:lang w:val="en-GB"/>
        </w:rPr>
        <w:t xml:space="preserve"> </w:t>
      </w:r>
      <w:r w:rsidRPr="00C97EAA">
        <w:rPr>
          <w:lang w:val="en-GB"/>
        </w:rPr>
        <w:t xml:space="preserve"> If no, </w:t>
      </w:r>
      <w:bookmarkStart w:id="7" w:name="_Hlk102575251"/>
      <w:r w:rsidRPr="00C97EAA">
        <w:rPr>
          <w:i/>
          <w:iCs/>
          <w:lang w:val="en-GB"/>
        </w:rPr>
        <w:t>Luen Hing Fat</w:t>
      </w:r>
      <w:bookmarkEnd w:id="7"/>
      <w:r w:rsidRPr="00C97EAA">
        <w:rPr>
          <w:lang w:val="en-GB"/>
        </w:rPr>
        <w:t xml:space="preserve"> applies, and the 2</w:t>
      </w:r>
      <w:r w:rsidRPr="00C97EAA">
        <w:rPr>
          <w:vertAlign w:val="superscript"/>
          <w:lang w:val="en-GB"/>
        </w:rPr>
        <w:t>nd</w:t>
      </w:r>
      <w:r w:rsidRPr="00C97EAA">
        <w:rPr>
          <w:lang w:val="en-GB"/>
        </w:rPr>
        <w:t xml:space="preserve"> defendant did not owe a duty of care to the plaintiff by reason of their principal-and-independent contractor relationship.</w:t>
      </w:r>
      <w:r w:rsidR="008158CC">
        <w:rPr>
          <w:lang w:val="en-GB"/>
        </w:rPr>
        <w:t xml:space="preserve"> </w:t>
      </w:r>
      <w:r w:rsidRPr="00C97EAA">
        <w:rPr>
          <w:lang w:val="en-GB"/>
        </w:rPr>
        <w:t xml:space="preserve"> </w:t>
      </w:r>
      <w:r>
        <w:rPr>
          <w:lang w:val="en-GB"/>
        </w:rPr>
        <w:t xml:space="preserve">The plaintiff continues that </w:t>
      </w:r>
      <w:r w:rsidRPr="00C97EAA">
        <w:rPr>
          <w:lang w:val="en-GB"/>
        </w:rPr>
        <w:t>“</w:t>
      </w:r>
      <w:r w:rsidRPr="003C3C38">
        <w:rPr>
          <w:i/>
          <w:iCs/>
          <w:lang w:val="en-GB"/>
        </w:rPr>
        <w:t>One should be careful not to mix up the two lines of cases</w:t>
      </w:r>
      <w:r w:rsidRPr="00C97EAA">
        <w:rPr>
          <w:lang w:val="en-GB"/>
        </w:rPr>
        <w:t>”.</w:t>
      </w:r>
      <w:r w:rsidR="008158CC">
        <w:rPr>
          <w:lang w:val="en-GB"/>
        </w:rPr>
        <w:t xml:space="preserve"> </w:t>
      </w:r>
      <w:r w:rsidRPr="00C97EAA">
        <w:rPr>
          <w:lang w:val="en-GB"/>
        </w:rPr>
        <w:t xml:space="preserve"> First, </w:t>
      </w:r>
      <w:r>
        <w:rPr>
          <w:lang w:val="en-GB"/>
        </w:rPr>
        <w:t xml:space="preserve">in my view there are not 2 separate lines of authority. </w:t>
      </w:r>
      <w:r w:rsidR="008158CC">
        <w:rPr>
          <w:lang w:val="en-GB"/>
        </w:rPr>
        <w:t xml:space="preserve"> </w:t>
      </w:r>
      <w:r>
        <w:rPr>
          <w:lang w:val="en-GB"/>
        </w:rPr>
        <w:t xml:space="preserve">In any event this court is bound by </w:t>
      </w:r>
      <w:r w:rsidRPr="00FB139B">
        <w:rPr>
          <w:i/>
          <w:iCs/>
          <w:lang w:val="en-GB"/>
        </w:rPr>
        <w:t>Luen Hing Fat</w:t>
      </w:r>
      <w:r>
        <w:rPr>
          <w:lang w:val="en-GB"/>
        </w:rPr>
        <w:t xml:space="preserve">.  </w:t>
      </w:r>
      <w:r w:rsidRPr="00C97EAA">
        <w:rPr>
          <w:lang w:val="en-GB"/>
        </w:rPr>
        <w:t>The Ps Reply Submissions contend that “</w:t>
      </w:r>
      <w:r w:rsidRPr="003C3C38">
        <w:rPr>
          <w:i/>
          <w:iCs/>
          <w:lang w:val="en-GB"/>
        </w:rPr>
        <w:t>Luen Hing Fat Coating</w:t>
      </w:r>
      <w:r w:rsidRPr="00C97EAA">
        <w:rPr>
          <w:lang w:val="en-GB"/>
        </w:rPr>
        <w:t xml:space="preserve"> </w:t>
      </w:r>
      <w:r w:rsidRPr="003C3C38">
        <w:rPr>
          <w:i/>
          <w:iCs/>
          <w:lang w:val="en-GB"/>
        </w:rPr>
        <w:t>(including knowledge of unsafe method of work) and the other authorities</w:t>
      </w:r>
      <w:r w:rsidRPr="00C97EAA">
        <w:rPr>
          <w:lang w:val="en-GB"/>
        </w:rPr>
        <w:t>” cited in the Decision do not apply to this case as they are not concerned with provision of unsafe equipment by principal contractor to independent contractor.</w:t>
      </w:r>
      <w:r w:rsidR="008158CC">
        <w:rPr>
          <w:lang w:val="en-GB"/>
        </w:rPr>
        <w:t xml:space="preserve">  </w:t>
      </w:r>
      <w:r w:rsidRPr="00C97EAA">
        <w:rPr>
          <w:lang w:val="en-GB"/>
        </w:rPr>
        <w:t xml:space="preserve"> </w:t>
      </w:r>
      <w:r>
        <w:rPr>
          <w:lang w:val="en-GB"/>
        </w:rPr>
        <w:t xml:space="preserve">The plaintiff </w:t>
      </w:r>
      <w:r w:rsidRPr="00C97EAA">
        <w:rPr>
          <w:lang w:val="en-GB"/>
        </w:rPr>
        <w:t>seeks to</w:t>
      </w:r>
      <w:r>
        <w:rPr>
          <w:lang w:val="en-GB"/>
        </w:rPr>
        <w:t xml:space="preserve"> set up</w:t>
      </w:r>
      <w:r w:rsidRPr="00C97EAA">
        <w:rPr>
          <w:lang w:val="en-GB"/>
        </w:rPr>
        <w:t xml:space="preserve"> 2 different lines of authority.</w:t>
      </w:r>
      <w:r>
        <w:rPr>
          <w:lang w:val="en-GB"/>
        </w:rPr>
        <w:t xml:space="preserve"> </w:t>
      </w:r>
      <w:r w:rsidR="008158CC">
        <w:rPr>
          <w:lang w:val="en-GB"/>
        </w:rPr>
        <w:t xml:space="preserve"> </w:t>
      </w:r>
      <w:r>
        <w:rPr>
          <w:lang w:val="en-GB"/>
        </w:rPr>
        <w:t xml:space="preserve">Whereas there is no conflict. In </w:t>
      </w:r>
      <w:bookmarkStart w:id="8" w:name="_Hlk102575400"/>
      <w:r>
        <w:rPr>
          <w:i/>
          <w:iCs/>
          <w:lang w:val="en-GB"/>
        </w:rPr>
        <w:t>McGarvey</w:t>
      </w:r>
      <w:bookmarkEnd w:id="8"/>
      <w:r>
        <w:rPr>
          <w:i/>
          <w:iCs/>
          <w:lang w:val="en-GB"/>
        </w:rPr>
        <w:t xml:space="preserve"> </w:t>
      </w:r>
      <w:r w:rsidRPr="00E23487">
        <w:rPr>
          <w:lang w:val="en-GB"/>
        </w:rPr>
        <w:t>the appellant’s foreman should have known the ladder was too long</w:t>
      </w:r>
      <w:r>
        <w:rPr>
          <w:lang w:val="en-GB"/>
        </w:rPr>
        <w:t>,</w:t>
      </w:r>
      <w:r w:rsidRPr="00E23487">
        <w:rPr>
          <w:lang w:val="en-GB"/>
        </w:rPr>
        <w:t xml:space="preserve"> the claimant had been left in his presence to take instructions from him</w:t>
      </w:r>
      <w:r>
        <w:rPr>
          <w:lang w:val="en-GB"/>
        </w:rPr>
        <w:t xml:space="preserve"> and</w:t>
      </w:r>
      <w:r w:rsidRPr="00E23487">
        <w:rPr>
          <w:lang w:val="en-GB"/>
        </w:rPr>
        <w:t xml:space="preserve"> he told the claimant to use that ladder.</w:t>
      </w:r>
      <w:r w:rsidR="008158CC">
        <w:rPr>
          <w:lang w:val="en-GB"/>
        </w:rPr>
        <w:t xml:space="preserve"> </w:t>
      </w:r>
      <w:r w:rsidRPr="00E23487">
        <w:rPr>
          <w:lang w:val="en-GB"/>
        </w:rPr>
        <w:t xml:space="preserve"> The decision is consistent with the principles set out in </w:t>
      </w:r>
      <w:r w:rsidRPr="00EE4736">
        <w:rPr>
          <w:i/>
          <w:iCs/>
          <w:lang w:val="en-GB"/>
        </w:rPr>
        <w:t>Luen Hing Fat</w:t>
      </w:r>
      <w:r w:rsidRPr="00E23487">
        <w:rPr>
          <w:lang w:val="en-GB"/>
        </w:rPr>
        <w:t>.</w:t>
      </w:r>
      <w:r w:rsidR="008158CC">
        <w:rPr>
          <w:lang w:val="en-GB"/>
        </w:rPr>
        <w:t xml:space="preserve"> </w:t>
      </w:r>
      <w:r w:rsidRPr="00E23487">
        <w:rPr>
          <w:lang w:val="en-GB"/>
        </w:rPr>
        <w:t xml:space="preserve"> </w:t>
      </w:r>
      <w:r w:rsidRPr="00EE4736">
        <w:rPr>
          <w:lang w:val="en-GB"/>
        </w:rPr>
        <w:t>Notwithstanding use of an independent contractor the position was adversely affected by something besides</w:t>
      </w:r>
      <w:r>
        <w:rPr>
          <w:lang w:val="en-GB"/>
        </w:rPr>
        <w:t xml:space="preserve"> </w:t>
      </w:r>
      <w:r w:rsidRPr="00EE4736">
        <w:rPr>
          <w:lang w:val="en-GB"/>
        </w:rPr>
        <w:t>a pure omission to provide equipment.</w:t>
      </w:r>
      <w:r w:rsidR="008158CC">
        <w:rPr>
          <w:lang w:val="en-GB"/>
        </w:rPr>
        <w:t xml:space="preserve"> </w:t>
      </w:r>
      <w:r w:rsidRPr="00EE4736">
        <w:rPr>
          <w:lang w:val="en-GB"/>
        </w:rPr>
        <w:t xml:space="preserve"> As in </w:t>
      </w:r>
      <w:r w:rsidRPr="00EE4736">
        <w:rPr>
          <w:i/>
          <w:iCs/>
          <w:lang w:val="en-GB"/>
        </w:rPr>
        <w:t>Luen Hing Fat</w:t>
      </w:r>
      <w:r w:rsidRPr="00EE4736">
        <w:rPr>
          <w:lang w:val="en-GB"/>
        </w:rPr>
        <w:t xml:space="preserve">, the appellant </w:t>
      </w:r>
      <w:r>
        <w:rPr>
          <w:lang w:val="en-GB"/>
        </w:rPr>
        <w:t xml:space="preserve">in </w:t>
      </w:r>
      <w:r w:rsidRPr="00EE4736">
        <w:rPr>
          <w:i/>
          <w:iCs/>
          <w:lang w:val="en-GB"/>
        </w:rPr>
        <w:t>McGarvey</w:t>
      </w:r>
      <w:r w:rsidRPr="00EE4736">
        <w:rPr>
          <w:b/>
          <w:bCs/>
          <w:lang w:val="en-GB"/>
        </w:rPr>
        <w:t xml:space="preserve"> </w:t>
      </w:r>
      <w:r w:rsidRPr="00EE4736">
        <w:rPr>
          <w:lang w:val="en-GB"/>
        </w:rPr>
        <w:t>had taken a positive part, thus assuming a positive role, in the creation of the danger, doing so by lending the ladder which he knew or ought reasonably to have known was too long and instruct</w:t>
      </w:r>
      <w:r>
        <w:rPr>
          <w:lang w:val="en-GB"/>
        </w:rPr>
        <w:t>ing</w:t>
      </w:r>
      <w:r w:rsidRPr="00EE4736">
        <w:rPr>
          <w:lang w:val="en-GB"/>
        </w:rPr>
        <w:t xml:space="preserve"> the claimant to use it</w:t>
      </w:r>
      <w:r>
        <w:rPr>
          <w:lang w:val="en-GB"/>
        </w:rPr>
        <w:t xml:space="preserve">. </w:t>
      </w:r>
      <w:r w:rsidR="008158CC">
        <w:rPr>
          <w:lang w:val="en-GB"/>
        </w:rPr>
        <w:t xml:space="preserve"> </w:t>
      </w:r>
      <w:r w:rsidRPr="00EE4736">
        <w:rPr>
          <w:lang w:val="en-GB"/>
        </w:rPr>
        <w:t xml:space="preserve">Such </w:t>
      </w:r>
      <w:r w:rsidRPr="00EE4736">
        <w:rPr>
          <w:lang w:val="en-GB"/>
        </w:rPr>
        <w:lastRenderedPageBreak/>
        <w:t>participation would go to it being fair, just and reasonable to hold the appellant owed the claimant a duty of care.</w:t>
      </w:r>
    </w:p>
    <w:p w:rsidR="007E4545" w:rsidRPr="00B20231" w:rsidRDefault="007E4545" w:rsidP="00151318">
      <w:pPr>
        <w:pStyle w:val="ListParagraph"/>
        <w:tabs>
          <w:tab w:val="num" w:pos="1440"/>
        </w:tabs>
        <w:spacing w:line="360" w:lineRule="auto"/>
        <w:ind w:left="0"/>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 xml:space="preserve">In my view the two additional authorities do not assist the plaintiff. </w:t>
      </w:r>
      <w:r w:rsidR="008158CC">
        <w:rPr>
          <w:lang w:val="en-GB"/>
        </w:rPr>
        <w:t xml:space="preserve"> </w:t>
      </w:r>
      <w:r>
        <w:rPr>
          <w:lang w:val="en-GB"/>
        </w:rPr>
        <w:t xml:space="preserve">I am not satisfied that the second ground of appeal based on the above matters has a reasonable prospect of success. </w:t>
      </w:r>
      <w:r w:rsidR="008158CC">
        <w:rPr>
          <w:lang w:val="en-GB"/>
        </w:rPr>
        <w:t xml:space="preserve"> </w:t>
      </w:r>
      <w:r>
        <w:rPr>
          <w:lang w:val="en-GB"/>
        </w:rPr>
        <w:t>They do not provide any bases for granting leave to appeal to the Court of Appeal.</w:t>
      </w:r>
    </w:p>
    <w:p w:rsidR="007E4545" w:rsidRPr="000E17C7" w:rsidRDefault="007E4545" w:rsidP="00151318">
      <w:pPr>
        <w:tabs>
          <w:tab w:val="num" w:pos="1440"/>
        </w:tabs>
        <w:spacing w:line="360" w:lineRule="auto"/>
        <w:jc w:val="both"/>
        <w:rPr>
          <w:lang w:val="en-GB"/>
        </w:rPr>
      </w:pPr>
    </w:p>
    <w:p w:rsidR="007E4545" w:rsidRPr="00AA2F90" w:rsidRDefault="007E4545" w:rsidP="00151318">
      <w:pPr>
        <w:tabs>
          <w:tab w:val="num" w:pos="1440"/>
        </w:tabs>
        <w:spacing w:line="360" w:lineRule="auto"/>
        <w:jc w:val="both"/>
        <w:rPr>
          <w:i/>
          <w:iCs/>
          <w:lang w:val="en-GB"/>
        </w:rPr>
      </w:pPr>
      <w:r w:rsidRPr="00AA2F90">
        <w:rPr>
          <w:i/>
          <w:iCs/>
          <w:lang w:val="en-GB"/>
        </w:rPr>
        <w:t xml:space="preserve">Reliance on the Master’s Decision </w:t>
      </w:r>
    </w:p>
    <w:p w:rsidR="007E4545" w:rsidRPr="000E17C7" w:rsidRDefault="007E4545" w:rsidP="00151318">
      <w:pPr>
        <w:tabs>
          <w:tab w:val="num" w:pos="1440"/>
        </w:tabs>
        <w:spacing w:line="360" w:lineRule="auto"/>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Finally, the plaintiff refers to the Master’s decision at §52 for the “</w:t>
      </w:r>
      <w:r>
        <w:rPr>
          <w:i/>
          <w:iCs/>
          <w:lang w:val="en-GB"/>
        </w:rPr>
        <w:t>finding</w:t>
      </w:r>
      <w:r>
        <w:rPr>
          <w:lang w:val="en-GB"/>
        </w:rPr>
        <w:t>” that the 2</w:t>
      </w:r>
      <w:r w:rsidRPr="00AA2F90">
        <w:rPr>
          <w:vertAlign w:val="superscript"/>
          <w:lang w:val="en-GB"/>
        </w:rPr>
        <w:t>nd</w:t>
      </w:r>
      <w:r>
        <w:rPr>
          <w:lang w:val="en-GB"/>
        </w:rPr>
        <w:t xml:space="preserve"> defendant’s role was pleaded at §1 and §5 of the SoC.  As noted at §42 of the Decision, I had taken into account the plaintiff’s pleaded case that the 2</w:t>
      </w:r>
      <w:r w:rsidRPr="00AA2F90">
        <w:rPr>
          <w:vertAlign w:val="superscript"/>
          <w:lang w:val="en-GB"/>
        </w:rPr>
        <w:t>nd</w:t>
      </w:r>
      <w:r>
        <w:rPr>
          <w:lang w:val="en-GB"/>
        </w:rPr>
        <w:t xml:space="preserve"> defendant was the sub-contractor, which sub-contracted the work to the 1</w:t>
      </w:r>
      <w:r w:rsidRPr="00AA2F90">
        <w:rPr>
          <w:vertAlign w:val="superscript"/>
          <w:lang w:val="en-GB"/>
        </w:rPr>
        <w:t>st</w:t>
      </w:r>
      <w:r>
        <w:rPr>
          <w:lang w:val="en-GB"/>
        </w:rPr>
        <w:t xml:space="preserve"> defendant.</w:t>
      </w:r>
    </w:p>
    <w:p w:rsidR="007E4545" w:rsidRDefault="007E4545" w:rsidP="00151318">
      <w:pPr>
        <w:pStyle w:val="ListParagraph"/>
        <w:tabs>
          <w:tab w:val="num" w:pos="1440"/>
        </w:tabs>
        <w:spacing w:line="360" w:lineRule="auto"/>
        <w:ind w:left="0"/>
        <w:jc w:val="both"/>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However, the mere fact that the 2</w:t>
      </w:r>
      <w:r w:rsidRPr="00AA2F90">
        <w:rPr>
          <w:vertAlign w:val="superscript"/>
          <w:lang w:val="en-GB"/>
        </w:rPr>
        <w:t>nd</w:t>
      </w:r>
      <w:r>
        <w:rPr>
          <w:lang w:val="en-GB"/>
        </w:rPr>
        <w:t xml:space="preserve"> defendant had subcontracted the work to the 1</w:t>
      </w:r>
      <w:r w:rsidRPr="00AA2F90">
        <w:rPr>
          <w:vertAlign w:val="superscript"/>
          <w:lang w:val="en-GB"/>
        </w:rPr>
        <w:t>st</w:t>
      </w:r>
      <w:r>
        <w:rPr>
          <w:lang w:val="en-GB"/>
        </w:rPr>
        <w:t xml:space="preserve"> defendant does not, </w:t>
      </w:r>
      <w:r>
        <w:rPr>
          <w:i/>
          <w:iCs/>
          <w:lang w:val="en-GB"/>
        </w:rPr>
        <w:t>ipso facto</w:t>
      </w:r>
      <w:r>
        <w:rPr>
          <w:lang w:val="en-GB"/>
        </w:rPr>
        <w:t>, create a duty of care owed by the 2</w:t>
      </w:r>
      <w:r w:rsidRPr="00AA2F90">
        <w:rPr>
          <w:vertAlign w:val="superscript"/>
          <w:lang w:val="en-GB"/>
        </w:rPr>
        <w:t>nd</w:t>
      </w:r>
      <w:r>
        <w:rPr>
          <w:lang w:val="en-GB"/>
        </w:rPr>
        <w:t xml:space="preserve"> defendant to the plaintiff.  This is clear from both </w:t>
      </w:r>
      <w:r>
        <w:rPr>
          <w:i/>
          <w:iCs/>
          <w:lang w:val="en-GB"/>
        </w:rPr>
        <w:t>Luen Hing Fat</w:t>
      </w:r>
      <w:r>
        <w:rPr>
          <w:lang w:val="en-GB"/>
        </w:rPr>
        <w:t xml:space="preserve"> and the “</w:t>
      </w:r>
      <w:r>
        <w:rPr>
          <w:i/>
          <w:iCs/>
          <w:lang w:val="en-GB"/>
        </w:rPr>
        <w:t>other authorities</w:t>
      </w:r>
      <w:r>
        <w:rPr>
          <w:lang w:val="en-GB"/>
        </w:rPr>
        <w:t xml:space="preserve">” discussed </w:t>
      </w:r>
      <w:r w:rsidRPr="00D24ADC">
        <w:rPr>
          <w:lang w:val="en-GB"/>
        </w:rPr>
        <w:t>above</w:t>
      </w:r>
      <w:r>
        <w:rPr>
          <w:lang w:val="en-GB"/>
        </w:rPr>
        <w:t xml:space="preserve">. </w:t>
      </w:r>
    </w:p>
    <w:p w:rsidR="007E4545" w:rsidRPr="00B479FD" w:rsidRDefault="007E4545" w:rsidP="00151318">
      <w:pPr>
        <w:tabs>
          <w:tab w:val="num" w:pos="1440"/>
        </w:tabs>
        <w:spacing w:line="360" w:lineRule="auto"/>
        <w:rPr>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 xml:space="preserve">I do not accept </w:t>
      </w:r>
      <w:r w:rsidRPr="008F7932">
        <w:rPr>
          <w:lang w:val="en-GB"/>
        </w:rPr>
        <w:t>P</w:t>
      </w:r>
      <w:r w:rsidR="00F31F7A" w:rsidRPr="008F7932">
        <w:rPr>
          <w:lang w:val="en-GB"/>
        </w:rPr>
        <w:t>’</w:t>
      </w:r>
      <w:r w:rsidRPr="008F7932">
        <w:rPr>
          <w:lang w:val="en-GB"/>
        </w:rPr>
        <w:t xml:space="preserve">s </w:t>
      </w:r>
      <w:r>
        <w:rPr>
          <w:lang w:val="en-GB"/>
        </w:rPr>
        <w:t>Submissions to the effect that the pleading of the 2</w:t>
      </w:r>
      <w:r w:rsidRPr="00AA2F90">
        <w:rPr>
          <w:vertAlign w:val="superscript"/>
          <w:lang w:val="en-GB"/>
        </w:rPr>
        <w:t>nd</w:t>
      </w:r>
      <w:r>
        <w:rPr>
          <w:lang w:val="en-GB"/>
        </w:rPr>
        <w:t xml:space="preserve"> defendant’s role alone “</w:t>
      </w:r>
      <w:r>
        <w:rPr>
          <w:i/>
          <w:iCs/>
          <w:lang w:val="en-GB"/>
        </w:rPr>
        <w:t>shows that [P’s] case against [D2] is a clear one concerning failure to provide proper equipment, training, manpower and supervision.</w:t>
      </w:r>
      <w:r>
        <w:rPr>
          <w:lang w:val="en-GB"/>
        </w:rPr>
        <w:t xml:space="preserve">” </w:t>
      </w:r>
      <w:r w:rsidR="008158CC">
        <w:rPr>
          <w:lang w:val="en-GB"/>
        </w:rPr>
        <w:t xml:space="preserve"> </w:t>
      </w:r>
      <w:r>
        <w:rPr>
          <w:lang w:val="en-GB"/>
        </w:rPr>
        <w:t>This submission does not satisfy the test for granting the plaintiff’s leave to appeal application.</w:t>
      </w:r>
    </w:p>
    <w:p w:rsidR="007E4545" w:rsidRDefault="007E4545" w:rsidP="00151318">
      <w:pPr>
        <w:tabs>
          <w:tab w:val="num" w:pos="1440"/>
        </w:tabs>
        <w:spacing w:line="360" w:lineRule="auto"/>
        <w:jc w:val="both"/>
        <w:rPr>
          <w:lang w:val="en-GB"/>
        </w:rPr>
      </w:pPr>
    </w:p>
    <w:p w:rsidR="008158CC" w:rsidRPr="007E37F4" w:rsidRDefault="008158CC" w:rsidP="00151318">
      <w:pPr>
        <w:tabs>
          <w:tab w:val="num" w:pos="1440"/>
        </w:tabs>
        <w:spacing w:line="360" w:lineRule="auto"/>
        <w:jc w:val="both"/>
        <w:rPr>
          <w:lang w:val="en-GB"/>
        </w:rPr>
      </w:pPr>
    </w:p>
    <w:p w:rsidR="007E4545" w:rsidRPr="00AA2F90" w:rsidRDefault="007E4545" w:rsidP="00151318">
      <w:pPr>
        <w:tabs>
          <w:tab w:val="num" w:pos="1440"/>
        </w:tabs>
        <w:spacing w:line="360" w:lineRule="auto"/>
        <w:jc w:val="both"/>
        <w:rPr>
          <w:i/>
          <w:iCs/>
          <w:lang w:val="en-GB"/>
        </w:rPr>
      </w:pPr>
      <w:r w:rsidRPr="00AA2F90">
        <w:rPr>
          <w:i/>
          <w:iCs/>
          <w:lang w:val="en-GB"/>
        </w:rPr>
        <w:lastRenderedPageBreak/>
        <w:t>Order</w:t>
      </w:r>
    </w:p>
    <w:p w:rsidR="007E4545" w:rsidRPr="008158CC" w:rsidRDefault="007E4545" w:rsidP="00151318">
      <w:pPr>
        <w:tabs>
          <w:tab w:val="num" w:pos="1440"/>
        </w:tabs>
        <w:spacing w:line="360" w:lineRule="auto"/>
        <w:jc w:val="both"/>
        <w:rPr>
          <w:bCs/>
          <w:lang w:val="en-GB"/>
        </w:rPr>
      </w:pPr>
    </w:p>
    <w:p w:rsidR="007E454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 xml:space="preserve">For the above reasons I hold that the plaintiff has failed to show that his proposed appeal has any reasonable prospect of </w:t>
      </w:r>
      <w:r w:rsidRPr="002B6FF4">
        <w:rPr>
          <w:lang w:val="en-GB"/>
        </w:rPr>
        <w:t>success</w:t>
      </w:r>
      <w:r w:rsidRPr="00AA2F90">
        <w:rPr>
          <w:rFonts w:eastAsia="PMingLiU"/>
          <w:lang w:val="en-GB"/>
        </w:rPr>
        <w:t xml:space="preserve"> or that there is some other reason in the interests of justice why the appeal should be heard</w:t>
      </w:r>
      <w:r>
        <w:rPr>
          <w:rFonts w:eastAsia="PMingLiU"/>
          <w:lang w:val="en-GB"/>
        </w:rPr>
        <w:t xml:space="preserve"> as required by section 63A DCO.</w:t>
      </w:r>
    </w:p>
    <w:p w:rsidR="007E4545" w:rsidRDefault="007E4545" w:rsidP="00151318">
      <w:pPr>
        <w:pStyle w:val="ListParagraph"/>
        <w:tabs>
          <w:tab w:val="num" w:pos="1440"/>
        </w:tabs>
        <w:spacing w:line="360" w:lineRule="auto"/>
        <w:ind w:left="0"/>
        <w:jc w:val="both"/>
        <w:rPr>
          <w:lang w:val="en-GB"/>
        </w:rPr>
      </w:pPr>
      <w:r>
        <w:rPr>
          <w:lang w:val="en-GB"/>
        </w:rPr>
        <w:t xml:space="preserve">  </w:t>
      </w:r>
    </w:p>
    <w:p w:rsidR="007E4545" w:rsidRPr="007447A5" w:rsidRDefault="007E4545" w:rsidP="00151318">
      <w:pPr>
        <w:pStyle w:val="ListParagraph"/>
        <w:numPr>
          <w:ilvl w:val="0"/>
          <w:numId w:val="31"/>
        </w:numPr>
        <w:tabs>
          <w:tab w:val="clear" w:pos="709"/>
          <w:tab w:val="clear" w:pos="4320"/>
          <w:tab w:val="clear" w:pos="9072"/>
          <w:tab w:val="num" w:pos="1440"/>
        </w:tabs>
        <w:snapToGrid/>
        <w:spacing w:line="360" w:lineRule="auto"/>
        <w:ind w:left="0" w:firstLine="0"/>
        <w:contextualSpacing/>
        <w:jc w:val="both"/>
        <w:rPr>
          <w:lang w:val="en-GB"/>
        </w:rPr>
      </w:pPr>
      <w:r>
        <w:rPr>
          <w:lang w:val="en-GB"/>
        </w:rPr>
        <w:t>Therefore, I order that the plaintiff’s</w:t>
      </w:r>
      <w:r w:rsidRPr="00DA3966">
        <w:rPr>
          <w:lang w:val="en-GB"/>
        </w:rPr>
        <w:t xml:space="preserve"> Summons </w:t>
      </w:r>
      <w:r>
        <w:rPr>
          <w:lang w:val="en-GB"/>
        </w:rPr>
        <w:t xml:space="preserve">dated and </w:t>
      </w:r>
      <w:r w:rsidRPr="00DA3966">
        <w:rPr>
          <w:lang w:val="en-GB"/>
        </w:rPr>
        <w:t>filed on 27</w:t>
      </w:r>
      <w:r w:rsidR="008158CC">
        <w:rPr>
          <w:lang w:val="en-GB"/>
        </w:rPr>
        <w:t xml:space="preserve"> January </w:t>
      </w:r>
      <w:r w:rsidRPr="00DA3966">
        <w:rPr>
          <w:lang w:val="en-GB"/>
        </w:rPr>
        <w:t xml:space="preserve">2022 be dismissed with costs to </w:t>
      </w:r>
      <w:r>
        <w:rPr>
          <w:lang w:val="en-GB"/>
        </w:rPr>
        <w:t>the 2</w:t>
      </w:r>
      <w:r w:rsidRPr="00AA2F90">
        <w:rPr>
          <w:vertAlign w:val="superscript"/>
          <w:lang w:val="en-GB"/>
        </w:rPr>
        <w:t>nd</w:t>
      </w:r>
      <w:r>
        <w:rPr>
          <w:lang w:val="en-GB"/>
        </w:rPr>
        <w:t xml:space="preserve"> defendant</w:t>
      </w:r>
      <w:r w:rsidRPr="00DA3966">
        <w:rPr>
          <w:lang w:val="en-GB"/>
        </w:rPr>
        <w:t xml:space="preserve"> with </w:t>
      </w:r>
      <w:r w:rsidR="000F0B3D">
        <w:rPr>
          <w:lang w:val="en-GB"/>
        </w:rPr>
        <w:t xml:space="preserve">a </w:t>
      </w:r>
      <w:bookmarkStart w:id="9" w:name="_GoBack"/>
      <w:bookmarkEnd w:id="9"/>
      <w:r w:rsidRPr="00DA3966">
        <w:rPr>
          <w:lang w:val="en-GB"/>
        </w:rPr>
        <w:t>certificate for Counsel</w:t>
      </w:r>
      <w:r>
        <w:rPr>
          <w:lang w:val="en-GB"/>
        </w:rPr>
        <w:t>.</w:t>
      </w:r>
      <w:r w:rsidR="008F7932">
        <w:rPr>
          <w:lang w:val="en-GB"/>
        </w:rPr>
        <w:t xml:space="preserve">  </w:t>
      </w:r>
      <w:r w:rsidR="008F7932" w:rsidRPr="008F7932">
        <w:rPr>
          <w:lang w:val="en-GB"/>
        </w:rPr>
        <w:t>T</w:t>
      </w:r>
      <w:r w:rsidR="00F31F7A" w:rsidRPr="008F7932">
        <w:rPr>
          <w:lang w:val="en-GB"/>
        </w:rPr>
        <w:t xml:space="preserve">he </w:t>
      </w:r>
      <w:r w:rsidR="008F7932">
        <w:rPr>
          <w:lang w:val="en-GB"/>
        </w:rPr>
        <w:t>p</w:t>
      </w:r>
      <w:r w:rsidR="00F31F7A" w:rsidRPr="008F7932">
        <w:rPr>
          <w:lang w:val="en-GB"/>
        </w:rPr>
        <w:t xml:space="preserve">laintiff’s own costs </w:t>
      </w:r>
      <w:r w:rsidR="008F7932">
        <w:rPr>
          <w:lang w:val="en-GB"/>
        </w:rPr>
        <w:t xml:space="preserve">to </w:t>
      </w:r>
      <w:r w:rsidR="00F31F7A" w:rsidRPr="008F7932">
        <w:rPr>
          <w:lang w:val="en-GB"/>
        </w:rPr>
        <w:t xml:space="preserve">be taxed in accordance </w:t>
      </w:r>
      <w:r w:rsidR="008F7932">
        <w:rPr>
          <w:lang w:val="en-GB"/>
        </w:rPr>
        <w:t>with the Legal Aid Regulations.</w:t>
      </w:r>
    </w:p>
    <w:p w:rsidR="007E4545" w:rsidRPr="0045607A" w:rsidRDefault="007E4545" w:rsidP="00151318">
      <w:pPr>
        <w:spacing w:line="360" w:lineRule="auto"/>
        <w:jc w:val="both"/>
        <w:rPr>
          <w:lang w:val="en-GB"/>
        </w:rPr>
      </w:pPr>
    </w:p>
    <w:p w:rsidR="007E4545" w:rsidRPr="007E4545" w:rsidRDefault="007E4545" w:rsidP="007E4545">
      <w:pPr>
        <w:spacing w:line="360" w:lineRule="auto"/>
        <w:jc w:val="both"/>
        <w:rPr>
          <w:bCs/>
          <w:lang w:val="en-GB"/>
        </w:rPr>
      </w:pPr>
    </w:p>
    <w:p w:rsidR="007E4545" w:rsidRPr="007E4545" w:rsidRDefault="007E4545" w:rsidP="007E4545">
      <w:pPr>
        <w:spacing w:line="360" w:lineRule="auto"/>
        <w:jc w:val="both"/>
        <w:rPr>
          <w:bCs/>
          <w:lang w:val="en-GB"/>
        </w:rPr>
      </w:pPr>
    </w:p>
    <w:p w:rsidR="007E4545" w:rsidRPr="007E4545" w:rsidRDefault="007E4545" w:rsidP="007E4545">
      <w:pPr>
        <w:spacing w:line="360" w:lineRule="auto"/>
        <w:jc w:val="both"/>
        <w:rPr>
          <w:bCs/>
          <w:lang w:val="en-GB"/>
        </w:rPr>
      </w:pPr>
    </w:p>
    <w:p w:rsidR="007E4545" w:rsidRPr="00DB062A" w:rsidRDefault="007E4545" w:rsidP="007E4545">
      <w:pPr>
        <w:ind w:left="3600"/>
        <w:jc w:val="center"/>
        <w:rPr>
          <w:rFonts w:eastAsia="PMingLiU"/>
        </w:rPr>
      </w:pPr>
      <w:r w:rsidRPr="00DB062A">
        <w:rPr>
          <w:rFonts w:eastAsia="PMingLiU"/>
        </w:rPr>
        <w:t>(</w:t>
      </w:r>
      <w:r>
        <w:rPr>
          <w:rFonts w:eastAsia="PMingLiU"/>
        </w:rPr>
        <w:t xml:space="preserve"> Liza Jane Cruden </w:t>
      </w:r>
      <w:r w:rsidRPr="00DB062A">
        <w:rPr>
          <w:rFonts w:eastAsia="PMingLiU"/>
        </w:rPr>
        <w:t>)</w:t>
      </w:r>
    </w:p>
    <w:p w:rsidR="007E4545" w:rsidRPr="00DB062A" w:rsidRDefault="007E4545" w:rsidP="007E4545">
      <w:pPr>
        <w:pStyle w:val="normal3"/>
        <w:tabs>
          <w:tab w:val="clear" w:pos="4320"/>
          <w:tab w:val="clear" w:pos="4500"/>
          <w:tab w:val="clear" w:pos="9000"/>
          <w:tab w:val="clear" w:pos="9072"/>
        </w:tabs>
        <w:overflowPunct/>
        <w:autoSpaceDE/>
        <w:autoSpaceDN/>
        <w:snapToGrid/>
        <w:spacing w:line="240" w:lineRule="auto"/>
        <w:ind w:left="3600"/>
        <w:jc w:val="center"/>
        <w:rPr>
          <w:rFonts w:eastAsia="PMingLiU"/>
          <w:lang w:val="en-US"/>
        </w:rPr>
      </w:pPr>
      <w:r w:rsidRPr="00DB062A">
        <w:rPr>
          <w:rFonts w:eastAsia="PMingLiU"/>
          <w:lang w:val="en-US"/>
        </w:rPr>
        <w:t>Deputy District Judge</w:t>
      </w:r>
    </w:p>
    <w:p w:rsidR="007E4545" w:rsidRDefault="007E4545" w:rsidP="007E4545">
      <w:pPr>
        <w:jc w:val="both"/>
        <w:rPr>
          <w:rFonts w:eastAsia="PMingLiU"/>
        </w:rPr>
      </w:pPr>
    </w:p>
    <w:p w:rsidR="007E4545" w:rsidRPr="00DB062A" w:rsidRDefault="007E4545" w:rsidP="007E4545">
      <w:pPr>
        <w:jc w:val="both"/>
        <w:rPr>
          <w:rFonts w:eastAsia="PMingLiU"/>
        </w:rPr>
      </w:pPr>
    </w:p>
    <w:p w:rsidR="007E4545" w:rsidRDefault="007E4545" w:rsidP="007E4545">
      <w:pPr>
        <w:jc w:val="both"/>
        <w:rPr>
          <w:rFonts w:eastAsia="PMingLiU"/>
        </w:rPr>
      </w:pPr>
      <w:r w:rsidRPr="00790875">
        <w:rPr>
          <w:rFonts w:eastAsia="PMingLiU"/>
        </w:rPr>
        <w:t>Ms Josephine Tjia</w:t>
      </w:r>
      <w:r w:rsidR="00E94B46">
        <w:rPr>
          <w:rFonts w:eastAsia="PMingLiU"/>
        </w:rPr>
        <w:t>,</w:t>
      </w:r>
      <w:r w:rsidRPr="00790875">
        <w:rPr>
          <w:rFonts w:eastAsia="PMingLiU"/>
        </w:rPr>
        <w:t xml:space="preserve"> instructed by V Hau &amp; Chow, assigned by </w:t>
      </w:r>
      <w:r>
        <w:rPr>
          <w:rFonts w:eastAsia="PMingLiU"/>
        </w:rPr>
        <w:t>the Director of Legal Aid, for the plaintiff</w:t>
      </w:r>
    </w:p>
    <w:p w:rsidR="007E4545" w:rsidRPr="00790875" w:rsidRDefault="007E4545" w:rsidP="007E4545">
      <w:pPr>
        <w:jc w:val="both"/>
        <w:rPr>
          <w:rFonts w:eastAsia="PMingLiU"/>
        </w:rPr>
      </w:pPr>
    </w:p>
    <w:p w:rsidR="007E4545" w:rsidRPr="00790875" w:rsidRDefault="007E4545" w:rsidP="007E4545">
      <w:pPr>
        <w:jc w:val="both"/>
        <w:rPr>
          <w:rFonts w:eastAsia="PMingLiU"/>
        </w:rPr>
      </w:pPr>
      <w:r>
        <w:rPr>
          <w:rFonts w:eastAsia="PMingLiU"/>
        </w:rPr>
        <w:t>The 1</w:t>
      </w:r>
      <w:r w:rsidRPr="00CA6EE6">
        <w:rPr>
          <w:rFonts w:eastAsia="PMingLiU"/>
          <w:vertAlign w:val="superscript"/>
        </w:rPr>
        <w:t>st</w:t>
      </w:r>
      <w:r>
        <w:rPr>
          <w:rFonts w:eastAsia="PMingLiU"/>
        </w:rPr>
        <w:t xml:space="preserve"> </w:t>
      </w:r>
      <w:r w:rsidRPr="00790875">
        <w:rPr>
          <w:rFonts w:eastAsia="PMingLiU"/>
        </w:rPr>
        <w:t>defendant acting in person, being absent</w:t>
      </w:r>
    </w:p>
    <w:p w:rsidR="007E4545" w:rsidRPr="00790875" w:rsidRDefault="007E4545" w:rsidP="007E4545">
      <w:pPr>
        <w:jc w:val="both"/>
        <w:rPr>
          <w:rFonts w:eastAsia="PMingLiU"/>
        </w:rPr>
      </w:pPr>
    </w:p>
    <w:p w:rsidR="007E4545" w:rsidRDefault="007E4545" w:rsidP="007E4545">
      <w:pPr>
        <w:jc w:val="both"/>
        <w:rPr>
          <w:rFonts w:eastAsia="PMingLiU"/>
        </w:rPr>
      </w:pPr>
      <w:r w:rsidRPr="00790875">
        <w:rPr>
          <w:rFonts w:eastAsia="PMingLiU"/>
        </w:rPr>
        <w:t>Mr Benny Lo and Mr Clark Yan</w:t>
      </w:r>
      <w:r w:rsidR="00E94B46">
        <w:rPr>
          <w:rFonts w:eastAsia="PMingLiU"/>
        </w:rPr>
        <w:t>,</w:t>
      </w:r>
      <w:r w:rsidRPr="00790875">
        <w:rPr>
          <w:rFonts w:eastAsia="PMingLiU"/>
        </w:rPr>
        <w:t xml:space="preserve"> instructed by Vivian Chan Law Office</w:t>
      </w:r>
      <w:r>
        <w:rPr>
          <w:rFonts w:eastAsia="PMingLiU"/>
        </w:rPr>
        <w:t>,</w:t>
      </w:r>
      <w:r w:rsidRPr="00790875">
        <w:rPr>
          <w:rFonts w:eastAsia="PMingLiU"/>
        </w:rPr>
        <w:t xml:space="preserve"> for </w:t>
      </w:r>
      <w:r>
        <w:rPr>
          <w:rFonts w:eastAsia="PMingLiU"/>
        </w:rPr>
        <w:t>the 2</w:t>
      </w:r>
      <w:r w:rsidRPr="00684200">
        <w:rPr>
          <w:rFonts w:eastAsia="PMingLiU"/>
          <w:vertAlign w:val="superscript"/>
        </w:rPr>
        <w:t>nd</w:t>
      </w:r>
      <w:r>
        <w:rPr>
          <w:rFonts w:eastAsia="PMingLiU"/>
        </w:rPr>
        <w:t xml:space="preserve"> defendant</w:t>
      </w:r>
    </w:p>
    <w:p w:rsidR="007E4545" w:rsidRPr="00790875" w:rsidRDefault="007E4545" w:rsidP="007E4545">
      <w:pPr>
        <w:jc w:val="both"/>
        <w:rPr>
          <w:rFonts w:eastAsia="PMingLiU"/>
        </w:rPr>
      </w:pPr>
    </w:p>
    <w:p w:rsidR="007E4545" w:rsidRPr="00790875" w:rsidRDefault="007E4545" w:rsidP="007E4545">
      <w:pPr>
        <w:jc w:val="both"/>
        <w:rPr>
          <w:rFonts w:eastAsia="PMingLiU"/>
        </w:rPr>
      </w:pPr>
      <w:r w:rsidRPr="00790875">
        <w:rPr>
          <w:rFonts w:eastAsia="PMingLiU"/>
        </w:rPr>
        <w:t xml:space="preserve">The </w:t>
      </w:r>
      <w:r>
        <w:rPr>
          <w:rFonts w:eastAsia="PMingLiU"/>
        </w:rPr>
        <w:t>3</w:t>
      </w:r>
      <w:r w:rsidRPr="00684200">
        <w:rPr>
          <w:rFonts w:eastAsia="PMingLiU"/>
          <w:vertAlign w:val="superscript"/>
        </w:rPr>
        <w:t>rd</w:t>
      </w:r>
      <w:r>
        <w:rPr>
          <w:rFonts w:eastAsia="PMingLiU"/>
        </w:rPr>
        <w:t xml:space="preserve"> </w:t>
      </w:r>
      <w:r w:rsidRPr="00790875">
        <w:rPr>
          <w:rFonts w:eastAsia="PMingLiU"/>
        </w:rPr>
        <w:t xml:space="preserve">defendant acting in person, being </w:t>
      </w:r>
      <w:r w:rsidRPr="00CA6EE6">
        <w:rPr>
          <w:rFonts w:eastAsia="PMingLiU"/>
        </w:rPr>
        <w:t>absent</w:t>
      </w:r>
    </w:p>
    <w:p w:rsidR="005102BA" w:rsidRDefault="005102BA" w:rsidP="00243E2D">
      <w:pPr>
        <w:tabs>
          <w:tab w:val="clear" w:pos="1440"/>
          <w:tab w:val="clear" w:pos="4320"/>
          <w:tab w:val="clear" w:pos="9072"/>
        </w:tabs>
        <w:snapToGrid/>
        <w:spacing w:line="360" w:lineRule="auto"/>
        <w:ind w:left="90" w:hanging="90"/>
        <w:jc w:val="both"/>
        <w:rPr>
          <w:szCs w:val="28"/>
        </w:rPr>
      </w:pPr>
    </w:p>
    <w:p w:rsidR="007E4545" w:rsidRDefault="007E4545" w:rsidP="00243E2D">
      <w:pPr>
        <w:tabs>
          <w:tab w:val="clear" w:pos="1440"/>
          <w:tab w:val="clear" w:pos="4320"/>
          <w:tab w:val="clear" w:pos="9072"/>
        </w:tabs>
        <w:snapToGrid/>
        <w:spacing w:line="360" w:lineRule="auto"/>
        <w:ind w:left="90" w:hanging="90"/>
        <w:jc w:val="both"/>
        <w:rPr>
          <w:szCs w:val="28"/>
        </w:rPr>
      </w:pPr>
    </w:p>
    <w:sectPr w:rsidR="007E4545"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608" w:rsidRDefault="004D6608">
      <w:r>
        <w:separator/>
      </w:r>
    </w:p>
  </w:endnote>
  <w:endnote w:type="continuationSeparator" w:id="0">
    <w:p w:rsidR="004D6608" w:rsidRDefault="004D6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21002A87"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DEF" w:rsidRDefault="000F3D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3DEF" w:rsidRDefault="000F3D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DEF" w:rsidRDefault="000F3DEF">
    <w:pPr>
      <w:pStyle w:val="Footer"/>
      <w:framePr w:wrap="around" w:vAnchor="text" w:hAnchor="margin" w:xAlign="right" w:y="1"/>
      <w:rPr>
        <w:rStyle w:val="PageNumber"/>
      </w:rPr>
    </w:pPr>
  </w:p>
  <w:p w:rsidR="000F3DEF" w:rsidRDefault="000F3D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608" w:rsidRDefault="004D6608">
      <w:r>
        <w:separator/>
      </w:r>
    </w:p>
  </w:footnote>
  <w:footnote w:type="continuationSeparator" w:id="0">
    <w:p w:rsidR="004D6608" w:rsidRDefault="004D6608">
      <w:r>
        <w:continuationSeparator/>
      </w:r>
    </w:p>
  </w:footnote>
  <w:footnote w:id="1">
    <w:p w:rsidR="007E4545" w:rsidRPr="00D03C70" w:rsidRDefault="007E4545" w:rsidP="00CE2836">
      <w:pPr>
        <w:pStyle w:val="FootnoteText"/>
        <w:jc w:val="both"/>
      </w:pPr>
      <w:r>
        <w:rPr>
          <w:rStyle w:val="FootnoteReference"/>
        </w:rPr>
        <w:footnoteRef/>
      </w:r>
      <w:r>
        <w:t xml:space="preserve"> </w:t>
      </w:r>
      <w:r>
        <w:rPr>
          <w:i/>
          <w:iCs/>
        </w:rPr>
        <w:t xml:space="preserve">Ferguson v Welsh </w:t>
      </w:r>
      <w:r>
        <w:t xml:space="preserve">[1987] 1 WLR 1553; </w:t>
      </w:r>
      <w:r>
        <w:rPr>
          <w:i/>
          <w:iCs/>
        </w:rPr>
        <w:t>Willmott Dixon Construction Ltd v Robert West Consulting Ltd</w:t>
      </w:r>
      <w:r>
        <w:t xml:space="preserve"> [2016] EWHC 3291 (TCC); </w:t>
      </w:r>
      <w:r>
        <w:rPr>
          <w:i/>
          <w:iCs/>
        </w:rPr>
        <w:t>Gauchan Som Prasad v Hin Wah Construction Co Ltd</w:t>
      </w:r>
      <w:r>
        <w:t xml:space="preserve"> (unrep., DCPI 2398/2009, 26.7.2011); </w:t>
      </w:r>
      <w:r>
        <w:rPr>
          <w:i/>
          <w:iCs/>
        </w:rPr>
        <w:t xml:space="preserve">Rai Gehendra Raj v Yick Hing Construction Co Ltd </w:t>
      </w:r>
      <w:r>
        <w:t xml:space="preserve">(unrep., HCPI 48/2012,31.8.2017). </w:t>
      </w:r>
    </w:p>
  </w:footnote>
  <w:footnote w:id="2">
    <w:p w:rsidR="007E4545" w:rsidRPr="00A55CED" w:rsidRDefault="007E4545" w:rsidP="00CE2836">
      <w:pPr>
        <w:pStyle w:val="FootnoteText"/>
        <w:jc w:val="both"/>
      </w:pPr>
      <w:r>
        <w:rPr>
          <w:rStyle w:val="FootnoteReference"/>
        </w:rPr>
        <w:footnoteRef/>
      </w:r>
      <w:r>
        <w:t xml:space="preserve"> </w:t>
      </w:r>
      <w:r>
        <w:rPr>
          <w:i/>
          <w:iCs/>
        </w:rPr>
        <w:t>McFarvey v Eve NCI Ltd</w:t>
      </w:r>
      <w:r>
        <w:t xml:space="preserve"> [2002] EWCA Civ 374; </w:t>
      </w:r>
      <w:r>
        <w:rPr>
          <w:i/>
          <w:iCs/>
        </w:rPr>
        <w:t xml:space="preserve">Toner v George Morrison Builders </w:t>
      </w:r>
      <w:r>
        <w:t>2011 RepLR 18.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DEF" w:rsidRDefault="000F3DEF">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DEF" w:rsidRDefault="000F3DEF">
                          <w:pPr>
                            <w:rPr>
                              <w:b/>
                              <w:sz w:val="20"/>
                            </w:rPr>
                          </w:pPr>
                          <w:r>
                            <w:rPr>
                              <w:rFonts w:hint="eastAsia"/>
                              <w:b/>
                              <w:sz w:val="20"/>
                            </w:rPr>
                            <w:t>A</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B</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C</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2"/>
                            <w:rPr>
                              <w:sz w:val="16"/>
                            </w:rPr>
                          </w:pPr>
                          <w:r>
                            <w:rPr>
                              <w:rFonts w:hint="eastAsia"/>
                            </w:rPr>
                            <w:t>D</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E</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F</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G</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H</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I</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J</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K</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L</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M</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N</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O</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P</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Q</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R</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S</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T</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U</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0F3DEF" w:rsidRDefault="000F3DEF">
                    <w:pPr>
                      <w:rPr>
                        <w:b/>
                        <w:sz w:val="20"/>
                      </w:rPr>
                    </w:pPr>
                    <w:r>
                      <w:rPr>
                        <w:rFonts w:hint="eastAsia"/>
                        <w:b/>
                        <w:sz w:val="20"/>
                      </w:rPr>
                      <w:t>A</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B</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C</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2"/>
                      <w:rPr>
                        <w:sz w:val="16"/>
                      </w:rPr>
                    </w:pPr>
                    <w:r>
                      <w:rPr>
                        <w:rFonts w:hint="eastAsia"/>
                      </w:rPr>
                      <w:t>D</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E</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F</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G</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H</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I</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J</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K</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L</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M</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N</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O</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P</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Q</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R</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S</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T</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U</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DEF" w:rsidRDefault="000F3DEF">
                          <w:pPr>
                            <w:rPr>
                              <w:b/>
                              <w:sz w:val="20"/>
                            </w:rPr>
                          </w:pPr>
                          <w:r>
                            <w:rPr>
                              <w:rFonts w:hint="eastAsia"/>
                              <w:b/>
                              <w:sz w:val="20"/>
                            </w:rPr>
                            <w:t>A</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B</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C</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2"/>
                            <w:rPr>
                              <w:sz w:val="16"/>
                            </w:rPr>
                          </w:pPr>
                          <w:r>
                            <w:rPr>
                              <w:rFonts w:hint="eastAsia"/>
                            </w:rPr>
                            <w:t>D</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E</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F</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G</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H</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I</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J</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K</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L</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M</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N</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O</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P</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Q</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R</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S</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T</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U</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0F3DEF" w:rsidRDefault="000F3DEF">
                    <w:pPr>
                      <w:rPr>
                        <w:b/>
                        <w:sz w:val="20"/>
                      </w:rPr>
                    </w:pPr>
                    <w:r>
                      <w:rPr>
                        <w:rFonts w:hint="eastAsia"/>
                        <w:b/>
                        <w:sz w:val="20"/>
                      </w:rPr>
                      <w:t>A</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B</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C</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2"/>
                      <w:rPr>
                        <w:sz w:val="16"/>
                      </w:rPr>
                    </w:pPr>
                    <w:r>
                      <w:rPr>
                        <w:rFonts w:hint="eastAsia"/>
                      </w:rPr>
                      <w:t>D</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E</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F</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G</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H</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I</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J</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K</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L</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M</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N</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O</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P</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Q</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R</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S</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T</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U</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DEF" w:rsidRPr="00782869" w:rsidRDefault="000F3DEF"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0F3DEF" w:rsidRPr="00782869" w:rsidRDefault="000F3DEF"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DEF" w:rsidRDefault="000F3DEF">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DEF" w:rsidRDefault="000F3DEF">
                          <w:pPr>
                            <w:rPr>
                              <w:b/>
                              <w:sz w:val="20"/>
                            </w:rPr>
                          </w:pPr>
                          <w:r>
                            <w:rPr>
                              <w:rFonts w:hint="eastAsia"/>
                              <w:b/>
                              <w:sz w:val="20"/>
                            </w:rPr>
                            <w:t>A</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B</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C</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2"/>
                            <w:rPr>
                              <w:sz w:val="16"/>
                            </w:rPr>
                          </w:pPr>
                          <w:r>
                            <w:rPr>
                              <w:rFonts w:hint="eastAsia"/>
                            </w:rPr>
                            <w:t>D</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E</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F</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G</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H</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I</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J</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K</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L</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M</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N</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O</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P</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Q</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R</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S</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T</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U</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0F3DEF" w:rsidRDefault="000F3DEF">
                    <w:pPr>
                      <w:rPr>
                        <w:b/>
                        <w:sz w:val="20"/>
                      </w:rPr>
                    </w:pPr>
                    <w:r>
                      <w:rPr>
                        <w:rFonts w:hint="eastAsia"/>
                        <w:b/>
                        <w:sz w:val="20"/>
                      </w:rPr>
                      <w:t>A</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B</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C</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2"/>
                      <w:rPr>
                        <w:sz w:val="16"/>
                      </w:rPr>
                    </w:pPr>
                    <w:r>
                      <w:rPr>
                        <w:rFonts w:hint="eastAsia"/>
                      </w:rPr>
                      <w:t>D</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E</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F</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G</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H</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I</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J</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K</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L</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M</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N</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O</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P</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Q</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R</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S</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T</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U</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F0B3D">
      <w:rPr>
        <w:rStyle w:val="PageNumber"/>
        <w:noProof/>
        <w:sz w:val="28"/>
      </w:rPr>
      <w:t>18</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DEF" w:rsidRDefault="000F3DEF">
                          <w:pPr>
                            <w:rPr>
                              <w:b/>
                              <w:sz w:val="20"/>
                            </w:rPr>
                          </w:pPr>
                          <w:r>
                            <w:rPr>
                              <w:rFonts w:hint="eastAsia"/>
                              <w:b/>
                              <w:sz w:val="20"/>
                            </w:rPr>
                            <w:t>A</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B</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C</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2"/>
                            <w:rPr>
                              <w:sz w:val="16"/>
                            </w:rPr>
                          </w:pPr>
                          <w:r>
                            <w:rPr>
                              <w:rFonts w:hint="eastAsia"/>
                            </w:rPr>
                            <w:t>D</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E</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F</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G</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H</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I</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J</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K</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L</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M</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N</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O</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P</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Q</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R</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S</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T</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U</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0F3DEF" w:rsidRDefault="000F3DEF">
                    <w:pPr>
                      <w:rPr>
                        <w:b/>
                        <w:sz w:val="20"/>
                      </w:rPr>
                    </w:pPr>
                    <w:r>
                      <w:rPr>
                        <w:rFonts w:hint="eastAsia"/>
                        <w:b/>
                        <w:sz w:val="20"/>
                      </w:rPr>
                      <w:t>A</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B</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C</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2"/>
                      <w:rPr>
                        <w:sz w:val="16"/>
                      </w:rPr>
                    </w:pPr>
                    <w:r>
                      <w:rPr>
                        <w:rFonts w:hint="eastAsia"/>
                      </w:rPr>
                      <w:t>D</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E</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F</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G</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H</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I</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J</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K</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L</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M</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N</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O</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P</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Q</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R</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S</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T</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U</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DEF" w:rsidRDefault="000F3DEF">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0F3DEF" w:rsidRDefault="000F3DEF">
                    <w:pPr>
                      <w:rPr>
                        <w:rFonts w:eastAsia="黑体"/>
                        <w:b/>
                        <w:sz w:val="18"/>
                      </w:rPr>
                    </w:pPr>
                  </w:p>
                </w:txbxContent>
              </v:textbox>
            </v:shape>
          </w:pict>
        </mc:Fallback>
      </mc:AlternateContent>
    </w:r>
  </w:p>
  <w:p w:rsidR="000F3DEF" w:rsidRDefault="000F3DE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8D09820"/>
    <w:name w:val="WW8Num1"/>
    <w:lvl w:ilvl="0">
      <w:start w:val="1"/>
      <w:numFmt w:val="decimal"/>
      <w:lvlText w:val="%1."/>
      <w:lvlJc w:val="left"/>
      <w:pPr>
        <w:tabs>
          <w:tab w:val="num" w:pos="873"/>
        </w:tabs>
        <w:ind w:left="873" w:hanging="873"/>
      </w:pPr>
      <w:rPr>
        <w:rFonts w:hint="default"/>
        <w:b w:val="0"/>
        <w:i w:val="0"/>
      </w:rPr>
    </w:lvl>
    <w:lvl w:ilvl="1">
      <w:start w:val="1"/>
      <w:numFmt w:val="decimal"/>
      <w:lvlText w:val="(%2)"/>
      <w:lvlJc w:val="left"/>
      <w:pPr>
        <w:tabs>
          <w:tab w:val="num" w:pos="1746"/>
        </w:tabs>
        <w:ind w:left="1746" w:hanging="873"/>
      </w:pPr>
      <w:rPr>
        <w:rFonts w:hint="default"/>
        <w:b w:val="0"/>
        <w:i w:val="0"/>
      </w:rPr>
    </w:lvl>
    <w:lvl w:ilvl="2">
      <w:start w:val="1"/>
      <w:numFmt w:val="lowerRoman"/>
      <w:lvlText w:val="(%3)"/>
      <w:lvlJc w:val="left"/>
      <w:pPr>
        <w:tabs>
          <w:tab w:val="num" w:pos="2620"/>
        </w:tabs>
        <w:ind w:left="2620" w:hanging="874"/>
      </w:pPr>
      <w:rPr>
        <w:rFonts w:hint="default"/>
        <w:i w:val="0"/>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15:restartNumberingAfterBreak="0">
    <w:nsid w:val="051D46D8"/>
    <w:multiLevelType w:val="hybridMultilevel"/>
    <w:tmpl w:val="B4F470D0"/>
    <w:lvl w:ilvl="0" w:tplc="A4FE4606">
      <w:start w:val="1"/>
      <w:numFmt w:val="lowerLetter"/>
      <w:lvlText w:val="(%1)"/>
      <w:lvlJc w:val="left"/>
      <w:pPr>
        <w:tabs>
          <w:tab w:val="num" w:pos="1985"/>
        </w:tabs>
        <w:ind w:left="1985" w:hanging="567"/>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9EC4300"/>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71AE6"/>
    <w:multiLevelType w:val="hybridMultilevel"/>
    <w:tmpl w:val="E4645F8E"/>
    <w:lvl w:ilvl="0" w:tplc="CFE41C24">
      <w:start w:val="1"/>
      <w:numFmt w:val="decimal"/>
      <w:lvlText w:val="(%1)"/>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D4020"/>
    <w:multiLevelType w:val="hybridMultilevel"/>
    <w:tmpl w:val="B04E5384"/>
    <w:lvl w:ilvl="0" w:tplc="235E3648">
      <w:start w:val="1"/>
      <w:numFmt w:val="lowerLetter"/>
      <w:lvlText w:val="(%1)"/>
      <w:lvlJc w:val="left"/>
      <w:pPr>
        <w:tabs>
          <w:tab w:val="num" w:pos="1985"/>
        </w:tabs>
        <w:ind w:left="1985" w:hanging="567"/>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D525B"/>
    <w:multiLevelType w:val="hybridMultilevel"/>
    <w:tmpl w:val="06F092D8"/>
    <w:lvl w:ilvl="0" w:tplc="CFE41C24">
      <w:start w:val="1"/>
      <w:numFmt w:val="decimal"/>
      <w:lvlText w:val="(%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E27C89"/>
    <w:multiLevelType w:val="hybridMultilevel"/>
    <w:tmpl w:val="A3DA4ACC"/>
    <w:lvl w:ilvl="0" w:tplc="CFE41C24">
      <w:start w:val="1"/>
      <w:numFmt w:val="decimal"/>
      <w:lvlText w:val="(%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F63904"/>
    <w:multiLevelType w:val="hybridMultilevel"/>
    <w:tmpl w:val="847E557C"/>
    <w:lvl w:ilvl="0" w:tplc="7720A600">
      <w:start w:val="1"/>
      <w:numFmt w:val="low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56836"/>
    <w:multiLevelType w:val="hybridMultilevel"/>
    <w:tmpl w:val="691CB7B0"/>
    <w:lvl w:ilvl="0" w:tplc="7EB2FB6C">
      <w:start w:val="1"/>
      <w:numFmt w:val="lowerLetter"/>
      <w:lvlText w:val="(%1)"/>
      <w:lvlJc w:val="left"/>
      <w:pPr>
        <w:ind w:left="720" w:hanging="360"/>
      </w:pPr>
      <w:rPr>
        <w:rFont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E6FA4"/>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A7BDC"/>
    <w:multiLevelType w:val="hybridMultilevel"/>
    <w:tmpl w:val="ACE09178"/>
    <w:lvl w:ilvl="0" w:tplc="A244A06A">
      <w:start w:val="1"/>
      <w:numFmt w:val="low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3" w15:restartNumberingAfterBreak="0">
    <w:nsid w:val="3E586780"/>
    <w:multiLevelType w:val="hybridMultilevel"/>
    <w:tmpl w:val="D9205BF8"/>
    <w:lvl w:ilvl="0" w:tplc="CFE41C24">
      <w:start w:val="1"/>
      <w:numFmt w:val="decimal"/>
      <w:lvlText w:val="(%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F5BAF"/>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B5F9F"/>
    <w:multiLevelType w:val="hybridMultilevel"/>
    <w:tmpl w:val="3B046EF2"/>
    <w:lvl w:ilvl="0" w:tplc="BFD84E08">
      <w:start w:val="42"/>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8670B8">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A68AAA">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68E3E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D21F88">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42D9BC">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6C6202">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C700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C612A0">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3DC100B"/>
    <w:multiLevelType w:val="multilevel"/>
    <w:tmpl w:val="0864669E"/>
    <w:lvl w:ilvl="0">
      <w:start w:val="1"/>
      <w:numFmt w:val="decimal"/>
      <w:lvlText w:val="%1."/>
      <w:lvlJc w:val="left"/>
      <w:pPr>
        <w:tabs>
          <w:tab w:val="num" w:pos="709"/>
        </w:tabs>
        <w:ind w:left="709" w:hanging="709"/>
      </w:pPr>
      <w:rPr>
        <w:rFonts w:ascii="Times New Roman" w:hAnsi="Times New Roman" w:cs="Times New Roman" w:hint="default"/>
        <w:b w:val="0"/>
      </w:rPr>
    </w:lvl>
    <w:lvl w:ilvl="1">
      <w:start w:val="1"/>
      <w:numFmt w:val="decimal"/>
      <w:lvlText w:val="%1.%2."/>
      <w:lvlJc w:val="left"/>
      <w:pPr>
        <w:tabs>
          <w:tab w:val="num" w:pos="1418"/>
        </w:tabs>
        <w:ind w:left="1418"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6061502"/>
    <w:multiLevelType w:val="hybridMultilevel"/>
    <w:tmpl w:val="40B019E2"/>
    <w:lvl w:ilvl="0" w:tplc="03B4906E">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A5013E8"/>
    <w:multiLevelType w:val="hybridMultilevel"/>
    <w:tmpl w:val="BD2491F2"/>
    <w:lvl w:ilvl="0" w:tplc="5F387026">
      <w:start w:val="1"/>
      <w:numFmt w:val="decimal"/>
      <w:lvlText w:val="(%1)"/>
      <w:lvlJc w:val="left"/>
      <w:pPr>
        <w:tabs>
          <w:tab w:val="num" w:pos="1418"/>
        </w:tabs>
        <w:ind w:left="1418" w:hanging="709"/>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4A833EA9"/>
    <w:multiLevelType w:val="hybridMultilevel"/>
    <w:tmpl w:val="31B0B41C"/>
    <w:lvl w:ilvl="0" w:tplc="CFE41C24">
      <w:start w:val="1"/>
      <w:numFmt w:val="decimal"/>
      <w:lvlText w:val="(%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B73999"/>
    <w:multiLevelType w:val="hybridMultilevel"/>
    <w:tmpl w:val="00BA573C"/>
    <w:lvl w:ilvl="0" w:tplc="1382B6C6">
      <w:start w:val="1"/>
      <w:numFmt w:val="decimal"/>
      <w:lvlText w:val="%1."/>
      <w:lvlJc w:val="left"/>
      <w:pPr>
        <w:ind w:left="720" w:hanging="360"/>
      </w:pPr>
      <w:rPr>
        <w:rFonts w:ascii="Times New Roman" w:hAnsi="Times New Roman" w:hint="default"/>
        <w:b w:val="0"/>
        <w:i w:val="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B7E0D"/>
    <w:multiLevelType w:val="hybridMultilevel"/>
    <w:tmpl w:val="8CF05CCA"/>
    <w:lvl w:ilvl="0" w:tplc="CFE41C24">
      <w:start w:val="1"/>
      <w:numFmt w:val="decimal"/>
      <w:lvlText w:val="(%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567876"/>
    <w:multiLevelType w:val="hybridMultilevel"/>
    <w:tmpl w:val="57941F5E"/>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4C67D5E"/>
    <w:multiLevelType w:val="hybridMultilevel"/>
    <w:tmpl w:val="CB3A0E3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55619CF"/>
    <w:multiLevelType w:val="hybridMultilevel"/>
    <w:tmpl w:val="93F6ABF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69B3049"/>
    <w:multiLevelType w:val="hybridMultilevel"/>
    <w:tmpl w:val="C1EE76D8"/>
    <w:lvl w:ilvl="0" w:tplc="5A746AC6">
      <w:start w:val="1"/>
      <w:numFmt w:val="lowerLetter"/>
      <w:lvlText w:val="(%1)"/>
      <w:lvlJc w:val="left"/>
      <w:pPr>
        <w:tabs>
          <w:tab w:val="num" w:pos="1985"/>
        </w:tabs>
        <w:ind w:left="1985"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5DB77989"/>
    <w:multiLevelType w:val="hybridMultilevel"/>
    <w:tmpl w:val="9E12B86C"/>
    <w:lvl w:ilvl="0" w:tplc="72140BAC">
      <w:start w:val="1"/>
      <w:numFmt w:val="lowerLetter"/>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A148A"/>
    <w:multiLevelType w:val="hybridMultilevel"/>
    <w:tmpl w:val="1FA664EA"/>
    <w:lvl w:ilvl="0" w:tplc="4FE6A32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0"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3C12EB7"/>
    <w:multiLevelType w:val="hybridMultilevel"/>
    <w:tmpl w:val="881AAF9E"/>
    <w:lvl w:ilvl="0" w:tplc="983A5F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57745F0"/>
    <w:multiLevelType w:val="hybridMultilevel"/>
    <w:tmpl w:val="814E1D8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9EC59BF"/>
    <w:multiLevelType w:val="hybridMultilevel"/>
    <w:tmpl w:val="56CC5BD8"/>
    <w:lvl w:ilvl="0" w:tplc="9C82A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C3A25"/>
    <w:multiLevelType w:val="hybridMultilevel"/>
    <w:tmpl w:val="7904EF3A"/>
    <w:lvl w:ilvl="0" w:tplc="D3E82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55640"/>
    <w:multiLevelType w:val="hybridMultilevel"/>
    <w:tmpl w:val="27D4421E"/>
    <w:lvl w:ilvl="0" w:tplc="037AC918">
      <w:start w:val="1"/>
      <w:numFmt w:val="lowerLetter"/>
      <w:lvlText w:val="(%1)"/>
      <w:lvlJc w:val="left"/>
      <w:pPr>
        <w:tabs>
          <w:tab w:val="num" w:pos="1985"/>
        </w:tabs>
        <w:ind w:left="1985" w:hanging="567"/>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8" w15:restartNumberingAfterBreak="0">
    <w:nsid w:val="712B3D20"/>
    <w:multiLevelType w:val="multilevel"/>
    <w:tmpl w:val="939A00D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1"/>
  </w:num>
  <w:num w:numId="2">
    <w:abstractNumId w:val="10"/>
  </w:num>
  <w:num w:numId="3">
    <w:abstractNumId w:val="5"/>
  </w:num>
  <w:num w:numId="4">
    <w:abstractNumId w:val="30"/>
  </w:num>
  <w:num w:numId="5">
    <w:abstractNumId w:val="34"/>
  </w:num>
  <w:num w:numId="6">
    <w:abstractNumId w:val="27"/>
  </w:num>
  <w:num w:numId="7">
    <w:abstractNumId w:val="32"/>
  </w:num>
  <w:num w:numId="8">
    <w:abstractNumId w:val="14"/>
  </w:num>
  <w:num w:numId="9">
    <w:abstractNumId w:val="9"/>
  </w:num>
  <w:num w:numId="10">
    <w:abstractNumId w:val="2"/>
  </w:num>
  <w:num w:numId="11">
    <w:abstractNumId w:val="16"/>
  </w:num>
  <w:num w:numId="12">
    <w:abstractNumId w:val="31"/>
  </w:num>
  <w:num w:numId="13">
    <w:abstractNumId w:val="36"/>
  </w:num>
  <w:num w:numId="14">
    <w:abstractNumId w:val="18"/>
  </w:num>
  <w:num w:numId="15">
    <w:abstractNumId w:val="35"/>
  </w:num>
  <w:num w:numId="16">
    <w:abstractNumId w:val="11"/>
  </w:num>
  <w:num w:numId="17">
    <w:abstractNumId w:val="15"/>
  </w:num>
  <w:num w:numId="18">
    <w:abstractNumId w:val="24"/>
  </w:num>
  <w:num w:numId="19">
    <w:abstractNumId w:val="33"/>
  </w:num>
  <w:num w:numId="20">
    <w:abstractNumId w:val="23"/>
  </w:num>
  <w:num w:numId="21">
    <w:abstractNumId w:val="25"/>
  </w:num>
  <w:num w:numId="22">
    <w:abstractNumId w:val="38"/>
  </w:num>
  <w:num w:numId="23">
    <w:abstractNumId w:val="8"/>
  </w:num>
  <w:num w:numId="24">
    <w:abstractNumId w:val="3"/>
  </w:num>
  <w:num w:numId="25">
    <w:abstractNumId w:val="22"/>
  </w:num>
  <w:num w:numId="26">
    <w:abstractNumId w:val="20"/>
  </w:num>
  <w:num w:numId="27">
    <w:abstractNumId w:val="7"/>
  </w:num>
  <w:num w:numId="28">
    <w:abstractNumId w:val="6"/>
  </w:num>
  <w:num w:numId="29">
    <w:abstractNumId w:val="28"/>
  </w:num>
  <w:num w:numId="30">
    <w:abstractNumId w:val="13"/>
  </w:num>
  <w:num w:numId="31">
    <w:abstractNumId w:val="17"/>
  </w:num>
  <w:num w:numId="32">
    <w:abstractNumId w:val="4"/>
  </w:num>
  <w:num w:numId="33">
    <w:abstractNumId w:val="29"/>
  </w:num>
  <w:num w:numId="34">
    <w:abstractNumId w:val="26"/>
  </w:num>
  <w:num w:numId="35">
    <w:abstractNumId w:val="12"/>
  </w:num>
  <w:num w:numId="36">
    <w:abstractNumId w:val="1"/>
  </w:num>
  <w:num w:numId="37">
    <w:abstractNumId w:val="37"/>
  </w:num>
  <w:num w:numId="38">
    <w:abstractNumId w:val="19"/>
  </w:num>
  <w:num w:numId="3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0172"/>
    <w:rsid w:val="00016AAA"/>
    <w:rsid w:val="0002672A"/>
    <w:rsid w:val="00026C99"/>
    <w:rsid w:val="000305E0"/>
    <w:rsid w:val="00033E26"/>
    <w:rsid w:val="00034A9B"/>
    <w:rsid w:val="0003519F"/>
    <w:rsid w:val="00036B3E"/>
    <w:rsid w:val="000375FD"/>
    <w:rsid w:val="00041477"/>
    <w:rsid w:val="00042582"/>
    <w:rsid w:val="0004298B"/>
    <w:rsid w:val="00042E4A"/>
    <w:rsid w:val="00046B0C"/>
    <w:rsid w:val="0005080D"/>
    <w:rsid w:val="0005189B"/>
    <w:rsid w:val="00056F63"/>
    <w:rsid w:val="0006211F"/>
    <w:rsid w:val="0007264D"/>
    <w:rsid w:val="000757B7"/>
    <w:rsid w:val="00076217"/>
    <w:rsid w:val="0007641C"/>
    <w:rsid w:val="00076C1B"/>
    <w:rsid w:val="000941F8"/>
    <w:rsid w:val="0009552F"/>
    <w:rsid w:val="00096AFC"/>
    <w:rsid w:val="00097022"/>
    <w:rsid w:val="000B262D"/>
    <w:rsid w:val="000D0596"/>
    <w:rsid w:val="000D073D"/>
    <w:rsid w:val="000D11B0"/>
    <w:rsid w:val="000D5EFA"/>
    <w:rsid w:val="000D7535"/>
    <w:rsid w:val="000E5161"/>
    <w:rsid w:val="000F0B3D"/>
    <w:rsid w:val="000F101D"/>
    <w:rsid w:val="000F2EEA"/>
    <w:rsid w:val="000F3DEF"/>
    <w:rsid w:val="000F4D8D"/>
    <w:rsid w:val="00101084"/>
    <w:rsid w:val="001050FF"/>
    <w:rsid w:val="0011138D"/>
    <w:rsid w:val="00117723"/>
    <w:rsid w:val="00117FC7"/>
    <w:rsid w:val="00126C54"/>
    <w:rsid w:val="00134BFC"/>
    <w:rsid w:val="00145B6A"/>
    <w:rsid w:val="00147E99"/>
    <w:rsid w:val="00151318"/>
    <w:rsid w:val="0015446F"/>
    <w:rsid w:val="001608E5"/>
    <w:rsid w:val="0016269E"/>
    <w:rsid w:val="00166FC5"/>
    <w:rsid w:val="001673ED"/>
    <w:rsid w:val="00171D59"/>
    <w:rsid w:val="00172037"/>
    <w:rsid w:val="001763C1"/>
    <w:rsid w:val="0017795E"/>
    <w:rsid w:val="00183AAF"/>
    <w:rsid w:val="0018729A"/>
    <w:rsid w:val="001874EA"/>
    <w:rsid w:val="00193D13"/>
    <w:rsid w:val="00194689"/>
    <w:rsid w:val="00196A91"/>
    <w:rsid w:val="001A0A4F"/>
    <w:rsid w:val="001A18A5"/>
    <w:rsid w:val="001A58BE"/>
    <w:rsid w:val="001B54BD"/>
    <w:rsid w:val="001C0AA8"/>
    <w:rsid w:val="001C5877"/>
    <w:rsid w:val="001D3239"/>
    <w:rsid w:val="001D455F"/>
    <w:rsid w:val="001D7B95"/>
    <w:rsid w:val="001E07A2"/>
    <w:rsid w:val="001E5770"/>
    <w:rsid w:val="001F5516"/>
    <w:rsid w:val="001F5F90"/>
    <w:rsid w:val="001F7D33"/>
    <w:rsid w:val="0020117E"/>
    <w:rsid w:val="0020574D"/>
    <w:rsid w:val="00212B93"/>
    <w:rsid w:val="002142E7"/>
    <w:rsid w:val="00221DAC"/>
    <w:rsid w:val="002225E2"/>
    <w:rsid w:val="00223BB1"/>
    <w:rsid w:val="00223DD7"/>
    <w:rsid w:val="00226A53"/>
    <w:rsid w:val="002272C4"/>
    <w:rsid w:val="00227A49"/>
    <w:rsid w:val="0023569D"/>
    <w:rsid w:val="00243E2D"/>
    <w:rsid w:val="00245D70"/>
    <w:rsid w:val="002519DA"/>
    <w:rsid w:val="0025689F"/>
    <w:rsid w:val="00264B28"/>
    <w:rsid w:val="00264B63"/>
    <w:rsid w:val="0026530C"/>
    <w:rsid w:val="00265723"/>
    <w:rsid w:val="00266886"/>
    <w:rsid w:val="00266A94"/>
    <w:rsid w:val="0027494E"/>
    <w:rsid w:val="00275519"/>
    <w:rsid w:val="00276737"/>
    <w:rsid w:val="00277153"/>
    <w:rsid w:val="00295D2D"/>
    <w:rsid w:val="00296E21"/>
    <w:rsid w:val="002B0D71"/>
    <w:rsid w:val="002B2679"/>
    <w:rsid w:val="002B4359"/>
    <w:rsid w:val="002B5195"/>
    <w:rsid w:val="002B54AB"/>
    <w:rsid w:val="002C2C86"/>
    <w:rsid w:val="002C500C"/>
    <w:rsid w:val="002D6F2F"/>
    <w:rsid w:val="002E44A3"/>
    <w:rsid w:val="002E44FF"/>
    <w:rsid w:val="002E4875"/>
    <w:rsid w:val="002E4EAE"/>
    <w:rsid w:val="002E74E6"/>
    <w:rsid w:val="002F03F8"/>
    <w:rsid w:val="00300A9E"/>
    <w:rsid w:val="00301AB1"/>
    <w:rsid w:val="0030210D"/>
    <w:rsid w:val="0030302E"/>
    <w:rsid w:val="00306388"/>
    <w:rsid w:val="00306D24"/>
    <w:rsid w:val="003133F0"/>
    <w:rsid w:val="0031447E"/>
    <w:rsid w:val="00314529"/>
    <w:rsid w:val="00317DA8"/>
    <w:rsid w:val="00320D36"/>
    <w:rsid w:val="00323668"/>
    <w:rsid w:val="0032385C"/>
    <w:rsid w:val="00330092"/>
    <w:rsid w:val="003304EA"/>
    <w:rsid w:val="00334963"/>
    <w:rsid w:val="00334AD4"/>
    <w:rsid w:val="00336372"/>
    <w:rsid w:val="003372A6"/>
    <w:rsid w:val="00343054"/>
    <w:rsid w:val="003557EC"/>
    <w:rsid w:val="00356B94"/>
    <w:rsid w:val="00367485"/>
    <w:rsid w:val="00367C84"/>
    <w:rsid w:val="00381F96"/>
    <w:rsid w:val="00382073"/>
    <w:rsid w:val="0038458C"/>
    <w:rsid w:val="0038513F"/>
    <w:rsid w:val="00386187"/>
    <w:rsid w:val="0038665C"/>
    <w:rsid w:val="00386679"/>
    <w:rsid w:val="00393063"/>
    <w:rsid w:val="003A1178"/>
    <w:rsid w:val="003A2D3E"/>
    <w:rsid w:val="003B0E0F"/>
    <w:rsid w:val="003B1033"/>
    <w:rsid w:val="003B159B"/>
    <w:rsid w:val="003B44D8"/>
    <w:rsid w:val="003C03C9"/>
    <w:rsid w:val="003C119A"/>
    <w:rsid w:val="003C4445"/>
    <w:rsid w:val="003C75D0"/>
    <w:rsid w:val="003D08E7"/>
    <w:rsid w:val="003D3FA5"/>
    <w:rsid w:val="003D42F2"/>
    <w:rsid w:val="003D4343"/>
    <w:rsid w:val="003D46D5"/>
    <w:rsid w:val="003E1AB7"/>
    <w:rsid w:val="003E266C"/>
    <w:rsid w:val="003E46D3"/>
    <w:rsid w:val="003E5AD4"/>
    <w:rsid w:val="003E7AF4"/>
    <w:rsid w:val="003F2346"/>
    <w:rsid w:val="00401F64"/>
    <w:rsid w:val="00407CB3"/>
    <w:rsid w:val="00412AE2"/>
    <w:rsid w:val="004162F1"/>
    <w:rsid w:val="0042260D"/>
    <w:rsid w:val="00427824"/>
    <w:rsid w:val="00430695"/>
    <w:rsid w:val="00430CF6"/>
    <w:rsid w:val="00437467"/>
    <w:rsid w:val="004534E7"/>
    <w:rsid w:val="00453E27"/>
    <w:rsid w:val="004543D6"/>
    <w:rsid w:val="00454532"/>
    <w:rsid w:val="00475AA0"/>
    <w:rsid w:val="00477AF3"/>
    <w:rsid w:val="004845FA"/>
    <w:rsid w:val="00484629"/>
    <w:rsid w:val="00491E14"/>
    <w:rsid w:val="004945FD"/>
    <w:rsid w:val="0049505E"/>
    <w:rsid w:val="00495F74"/>
    <w:rsid w:val="004974B7"/>
    <w:rsid w:val="004A454E"/>
    <w:rsid w:val="004A4C89"/>
    <w:rsid w:val="004A7F0A"/>
    <w:rsid w:val="004B5413"/>
    <w:rsid w:val="004C438C"/>
    <w:rsid w:val="004D0B36"/>
    <w:rsid w:val="004D3A0D"/>
    <w:rsid w:val="004D6608"/>
    <w:rsid w:val="004E41C4"/>
    <w:rsid w:val="004E5077"/>
    <w:rsid w:val="004F025C"/>
    <w:rsid w:val="004F7853"/>
    <w:rsid w:val="005039B9"/>
    <w:rsid w:val="00507412"/>
    <w:rsid w:val="005102BA"/>
    <w:rsid w:val="00512680"/>
    <w:rsid w:val="0051788F"/>
    <w:rsid w:val="005222CE"/>
    <w:rsid w:val="00523E3C"/>
    <w:rsid w:val="005254AF"/>
    <w:rsid w:val="00526268"/>
    <w:rsid w:val="00527FD1"/>
    <w:rsid w:val="00533EE7"/>
    <w:rsid w:val="00534706"/>
    <w:rsid w:val="00540731"/>
    <w:rsid w:val="00546EE9"/>
    <w:rsid w:val="005470A4"/>
    <w:rsid w:val="00547D24"/>
    <w:rsid w:val="00550712"/>
    <w:rsid w:val="0055213F"/>
    <w:rsid w:val="0055707D"/>
    <w:rsid w:val="00560CEA"/>
    <w:rsid w:val="00560DB1"/>
    <w:rsid w:val="00562C59"/>
    <w:rsid w:val="00566BDB"/>
    <w:rsid w:val="005671C3"/>
    <w:rsid w:val="0057072F"/>
    <w:rsid w:val="0057119B"/>
    <w:rsid w:val="005759BE"/>
    <w:rsid w:val="00576AFC"/>
    <w:rsid w:val="005806AC"/>
    <w:rsid w:val="00581703"/>
    <w:rsid w:val="00585D3F"/>
    <w:rsid w:val="0059343B"/>
    <w:rsid w:val="005951C6"/>
    <w:rsid w:val="00595498"/>
    <w:rsid w:val="005A1700"/>
    <w:rsid w:val="005A3B2C"/>
    <w:rsid w:val="005A4ABE"/>
    <w:rsid w:val="005A5F18"/>
    <w:rsid w:val="005A6212"/>
    <w:rsid w:val="005B0253"/>
    <w:rsid w:val="005B1222"/>
    <w:rsid w:val="005B4BCB"/>
    <w:rsid w:val="005B6051"/>
    <w:rsid w:val="005C4424"/>
    <w:rsid w:val="005D3B85"/>
    <w:rsid w:val="005D6090"/>
    <w:rsid w:val="005D6509"/>
    <w:rsid w:val="005E2BD1"/>
    <w:rsid w:val="005E7AB0"/>
    <w:rsid w:val="00603A55"/>
    <w:rsid w:val="00606425"/>
    <w:rsid w:val="006112C7"/>
    <w:rsid w:val="0061346F"/>
    <w:rsid w:val="0061557C"/>
    <w:rsid w:val="00620CF1"/>
    <w:rsid w:val="00622F0C"/>
    <w:rsid w:val="00623233"/>
    <w:rsid w:val="00623A7B"/>
    <w:rsid w:val="00626118"/>
    <w:rsid w:val="00626D68"/>
    <w:rsid w:val="006318B6"/>
    <w:rsid w:val="006467E8"/>
    <w:rsid w:val="00646F65"/>
    <w:rsid w:val="00647B3F"/>
    <w:rsid w:val="006513AC"/>
    <w:rsid w:val="00656233"/>
    <w:rsid w:val="006620E2"/>
    <w:rsid w:val="00662407"/>
    <w:rsid w:val="00670923"/>
    <w:rsid w:val="006709A1"/>
    <w:rsid w:val="006719A3"/>
    <w:rsid w:val="006813EB"/>
    <w:rsid w:val="00681755"/>
    <w:rsid w:val="0068328E"/>
    <w:rsid w:val="00684A7E"/>
    <w:rsid w:val="006917AD"/>
    <w:rsid w:val="0069190C"/>
    <w:rsid w:val="00692EA1"/>
    <w:rsid w:val="00694A05"/>
    <w:rsid w:val="00694FAF"/>
    <w:rsid w:val="006A73A6"/>
    <w:rsid w:val="006B072E"/>
    <w:rsid w:val="006B139E"/>
    <w:rsid w:val="006B1CD3"/>
    <w:rsid w:val="006B3BFE"/>
    <w:rsid w:val="006B4C51"/>
    <w:rsid w:val="006B65E1"/>
    <w:rsid w:val="006C561F"/>
    <w:rsid w:val="006D0189"/>
    <w:rsid w:val="006D2487"/>
    <w:rsid w:val="006D46FC"/>
    <w:rsid w:val="006D5231"/>
    <w:rsid w:val="006D5EED"/>
    <w:rsid w:val="006D6BE0"/>
    <w:rsid w:val="006E23B9"/>
    <w:rsid w:val="006E290B"/>
    <w:rsid w:val="006E39C1"/>
    <w:rsid w:val="006E3AF5"/>
    <w:rsid w:val="006E4B3E"/>
    <w:rsid w:val="006F45D9"/>
    <w:rsid w:val="00704D6F"/>
    <w:rsid w:val="00705942"/>
    <w:rsid w:val="00706840"/>
    <w:rsid w:val="007103D5"/>
    <w:rsid w:val="0071154D"/>
    <w:rsid w:val="007121AE"/>
    <w:rsid w:val="0071681C"/>
    <w:rsid w:val="00720EEA"/>
    <w:rsid w:val="007226DF"/>
    <w:rsid w:val="00722A44"/>
    <w:rsid w:val="0072440F"/>
    <w:rsid w:val="00732F59"/>
    <w:rsid w:val="00751CC6"/>
    <w:rsid w:val="00753548"/>
    <w:rsid w:val="00753815"/>
    <w:rsid w:val="0075530A"/>
    <w:rsid w:val="00763072"/>
    <w:rsid w:val="00763B19"/>
    <w:rsid w:val="00763B70"/>
    <w:rsid w:val="007659EE"/>
    <w:rsid w:val="00766A6B"/>
    <w:rsid w:val="007813BB"/>
    <w:rsid w:val="00782869"/>
    <w:rsid w:val="007851FA"/>
    <w:rsid w:val="00785AAB"/>
    <w:rsid w:val="0078739A"/>
    <w:rsid w:val="0078792B"/>
    <w:rsid w:val="00790B13"/>
    <w:rsid w:val="007914C8"/>
    <w:rsid w:val="00793A4A"/>
    <w:rsid w:val="00795D4B"/>
    <w:rsid w:val="007A03B2"/>
    <w:rsid w:val="007A2E8D"/>
    <w:rsid w:val="007A3B6B"/>
    <w:rsid w:val="007B2CB2"/>
    <w:rsid w:val="007C3D9E"/>
    <w:rsid w:val="007C4B57"/>
    <w:rsid w:val="007C4DBE"/>
    <w:rsid w:val="007D0DA8"/>
    <w:rsid w:val="007D24D1"/>
    <w:rsid w:val="007D5378"/>
    <w:rsid w:val="007D5BC0"/>
    <w:rsid w:val="007E4545"/>
    <w:rsid w:val="007E64DF"/>
    <w:rsid w:val="007F0FBF"/>
    <w:rsid w:val="007F76C7"/>
    <w:rsid w:val="00802ED0"/>
    <w:rsid w:val="00806EB0"/>
    <w:rsid w:val="0080725D"/>
    <w:rsid w:val="008158CC"/>
    <w:rsid w:val="00824994"/>
    <w:rsid w:val="008336A9"/>
    <w:rsid w:val="00834F78"/>
    <w:rsid w:val="008358B9"/>
    <w:rsid w:val="0083760E"/>
    <w:rsid w:val="00837C91"/>
    <w:rsid w:val="00841320"/>
    <w:rsid w:val="008426C3"/>
    <w:rsid w:val="00844DC1"/>
    <w:rsid w:val="00850ACB"/>
    <w:rsid w:val="008533FB"/>
    <w:rsid w:val="00854FE0"/>
    <w:rsid w:val="00860791"/>
    <w:rsid w:val="00861E0C"/>
    <w:rsid w:val="00866FC7"/>
    <w:rsid w:val="00870D45"/>
    <w:rsid w:val="008753AA"/>
    <w:rsid w:val="00876103"/>
    <w:rsid w:val="00880A98"/>
    <w:rsid w:val="00881196"/>
    <w:rsid w:val="00884539"/>
    <w:rsid w:val="00884FE6"/>
    <w:rsid w:val="00887560"/>
    <w:rsid w:val="008922A2"/>
    <w:rsid w:val="00892FBE"/>
    <w:rsid w:val="008A0CD2"/>
    <w:rsid w:val="008A3C2E"/>
    <w:rsid w:val="008B179F"/>
    <w:rsid w:val="008B4B65"/>
    <w:rsid w:val="008D0535"/>
    <w:rsid w:val="008E0FB9"/>
    <w:rsid w:val="008E66B5"/>
    <w:rsid w:val="008E78BE"/>
    <w:rsid w:val="008F04E0"/>
    <w:rsid w:val="008F0934"/>
    <w:rsid w:val="008F181E"/>
    <w:rsid w:val="008F7932"/>
    <w:rsid w:val="00905A64"/>
    <w:rsid w:val="00910B54"/>
    <w:rsid w:val="00916BFA"/>
    <w:rsid w:val="009215CC"/>
    <w:rsid w:val="009218E4"/>
    <w:rsid w:val="009221AC"/>
    <w:rsid w:val="00922E3F"/>
    <w:rsid w:val="009233C2"/>
    <w:rsid w:val="00925725"/>
    <w:rsid w:val="009268DD"/>
    <w:rsid w:val="00926EEE"/>
    <w:rsid w:val="00927CF8"/>
    <w:rsid w:val="00935926"/>
    <w:rsid w:val="00935FCD"/>
    <w:rsid w:val="00940E12"/>
    <w:rsid w:val="00945A1E"/>
    <w:rsid w:val="00952F6C"/>
    <w:rsid w:val="00954B22"/>
    <w:rsid w:val="00956A55"/>
    <w:rsid w:val="009579DE"/>
    <w:rsid w:val="00964B3F"/>
    <w:rsid w:val="00971AC7"/>
    <w:rsid w:val="00973192"/>
    <w:rsid w:val="009748FC"/>
    <w:rsid w:val="00974CBF"/>
    <w:rsid w:val="00987F37"/>
    <w:rsid w:val="0099248E"/>
    <w:rsid w:val="00992966"/>
    <w:rsid w:val="009A2AB1"/>
    <w:rsid w:val="009A5B36"/>
    <w:rsid w:val="009B1A59"/>
    <w:rsid w:val="009B28ED"/>
    <w:rsid w:val="009B2C6C"/>
    <w:rsid w:val="009B5048"/>
    <w:rsid w:val="009B6004"/>
    <w:rsid w:val="009C0667"/>
    <w:rsid w:val="009C1D79"/>
    <w:rsid w:val="009C24F1"/>
    <w:rsid w:val="009C7627"/>
    <w:rsid w:val="009D5E4F"/>
    <w:rsid w:val="009D7804"/>
    <w:rsid w:val="009E0CE5"/>
    <w:rsid w:val="009E5681"/>
    <w:rsid w:val="009F272F"/>
    <w:rsid w:val="009F3158"/>
    <w:rsid w:val="009F4329"/>
    <w:rsid w:val="00A00D25"/>
    <w:rsid w:val="00A078FD"/>
    <w:rsid w:val="00A12715"/>
    <w:rsid w:val="00A130FF"/>
    <w:rsid w:val="00A244EC"/>
    <w:rsid w:val="00A2565D"/>
    <w:rsid w:val="00A279AE"/>
    <w:rsid w:val="00A31429"/>
    <w:rsid w:val="00A3387E"/>
    <w:rsid w:val="00A3455F"/>
    <w:rsid w:val="00A35EE0"/>
    <w:rsid w:val="00A370F8"/>
    <w:rsid w:val="00A40662"/>
    <w:rsid w:val="00A4148A"/>
    <w:rsid w:val="00A46AE4"/>
    <w:rsid w:val="00A47252"/>
    <w:rsid w:val="00A47C66"/>
    <w:rsid w:val="00A51629"/>
    <w:rsid w:val="00A572B1"/>
    <w:rsid w:val="00A64F2D"/>
    <w:rsid w:val="00A65CD7"/>
    <w:rsid w:val="00A75C31"/>
    <w:rsid w:val="00A80008"/>
    <w:rsid w:val="00A83BD4"/>
    <w:rsid w:val="00A86AA5"/>
    <w:rsid w:val="00A876FC"/>
    <w:rsid w:val="00A91142"/>
    <w:rsid w:val="00A9165E"/>
    <w:rsid w:val="00A96576"/>
    <w:rsid w:val="00AA4C95"/>
    <w:rsid w:val="00AA74C9"/>
    <w:rsid w:val="00AB0388"/>
    <w:rsid w:val="00AB03EC"/>
    <w:rsid w:val="00AB1D02"/>
    <w:rsid w:val="00AB2250"/>
    <w:rsid w:val="00AC3289"/>
    <w:rsid w:val="00AC4307"/>
    <w:rsid w:val="00AC43EE"/>
    <w:rsid w:val="00AC5206"/>
    <w:rsid w:val="00AC7F5E"/>
    <w:rsid w:val="00AD454B"/>
    <w:rsid w:val="00AE5169"/>
    <w:rsid w:val="00AF3114"/>
    <w:rsid w:val="00AF78C5"/>
    <w:rsid w:val="00B0129C"/>
    <w:rsid w:val="00B02AF0"/>
    <w:rsid w:val="00B0779D"/>
    <w:rsid w:val="00B07DCF"/>
    <w:rsid w:val="00B24B7A"/>
    <w:rsid w:val="00B2689B"/>
    <w:rsid w:val="00B31E8D"/>
    <w:rsid w:val="00B363A4"/>
    <w:rsid w:val="00B37BBD"/>
    <w:rsid w:val="00B41888"/>
    <w:rsid w:val="00B52925"/>
    <w:rsid w:val="00B52BF7"/>
    <w:rsid w:val="00B62226"/>
    <w:rsid w:val="00B63226"/>
    <w:rsid w:val="00B6351E"/>
    <w:rsid w:val="00B64BA5"/>
    <w:rsid w:val="00B66220"/>
    <w:rsid w:val="00B671DA"/>
    <w:rsid w:val="00B67F3D"/>
    <w:rsid w:val="00B72E14"/>
    <w:rsid w:val="00B7766E"/>
    <w:rsid w:val="00B82A72"/>
    <w:rsid w:val="00B92CE8"/>
    <w:rsid w:val="00B93961"/>
    <w:rsid w:val="00B97611"/>
    <w:rsid w:val="00BA1F51"/>
    <w:rsid w:val="00BA2AB4"/>
    <w:rsid w:val="00BA2D9D"/>
    <w:rsid w:val="00BA467B"/>
    <w:rsid w:val="00BA5414"/>
    <w:rsid w:val="00BA77C1"/>
    <w:rsid w:val="00BA7EEA"/>
    <w:rsid w:val="00BB2B78"/>
    <w:rsid w:val="00BB3622"/>
    <w:rsid w:val="00BB7FE2"/>
    <w:rsid w:val="00BC3026"/>
    <w:rsid w:val="00BC5A0D"/>
    <w:rsid w:val="00BD1AF9"/>
    <w:rsid w:val="00BD30A9"/>
    <w:rsid w:val="00BD3E32"/>
    <w:rsid w:val="00BD7BFC"/>
    <w:rsid w:val="00BE61A8"/>
    <w:rsid w:val="00BE6C7A"/>
    <w:rsid w:val="00BF278B"/>
    <w:rsid w:val="00C01FA4"/>
    <w:rsid w:val="00C100F7"/>
    <w:rsid w:val="00C117B2"/>
    <w:rsid w:val="00C12491"/>
    <w:rsid w:val="00C14D20"/>
    <w:rsid w:val="00C17E0C"/>
    <w:rsid w:val="00C202A2"/>
    <w:rsid w:val="00C30F23"/>
    <w:rsid w:val="00C31690"/>
    <w:rsid w:val="00C42263"/>
    <w:rsid w:val="00C465F1"/>
    <w:rsid w:val="00C52933"/>
    <w:rsid w:val="00C52CC0"/>
    <w:rsid w:val="00C635FB"/>
    <w:rsid w:val="00C67F37"/>
    <w:rsid w:val="00C70512"/>
    <w:rsid w:val="00C71ACF"/>
    <w:rsid w:val="00C72D6B"/>
    <w:rsid w:val="00C829CD"/>
    <w:rsid w:val="00C915A6"/>
    <w:rsid w:val="00C930C4"/>
    <w:rsid w:val="00C9606E"/>
    <w:rsid w:val="00C9677F"/>
    <w:rsid w:val="00CA00BF"/>
    <w:rsid w:val="00CA5D92"/>
    <w:rsid w:val="00CB022D"/>
    <w:rsid w:val="00CB142A"/>
    <w:rsid w:val="00CB77E0"/>
    <w:rsid w:val="00CC1008"/>
    <w:rsid w:val="00CC56BB"/>
    <w:rsid w:val="00CC7046"/>
    <w:rsid w:val="00CD0622"/>
    <w:rsid w:val="00CD2582"/>
    <w:rsid w:val="00CD7BC0"/>
    <w:rsid w:val="00CE23B9"/>
    <w:rsid w:val="00CE2836"/>
    <w:rsid w:val="00CE4388"/>
    <w:rsid w:val="00CE6639"/>
    <w:rsid w:val="00CF440B"/>
    <w:rsid w:val="00D017FA"/>
    <w:rsid w:val="00D02796"/>
    <w:rsid w:val="00D03280"/>
    <w:rsid w:val="00D068FC"/>
    <w:rsid w:val="00D14F95"/>
    <w:rsid w:val="00D15715"/>
    <w:rsid w:val="00D15859"/>
    <w:rsid w:val="00D1675D"/>
    <w:rsid w:val="00D17EF9"/>
    <w:rsid w:val="00D20CE2"/>
    <w:rsid w:val="00D22F03"/>
    <w:rsid w:val="00D254A1"/>
    <w:rsid w:val="00D25B40"/>
    <w:rsid w:val="00D267C0"/>
    <w:rsid w:val="00D338E1"/>
    <w:rsid w:val="00D34033"/>
    <w:rsid w:val="00D35EB2"/>
    <w:rsid w:val="00D36B37"/>
    <w:rsid w:val="00D43C4B"/>
    <w:rsid w:val="00D51181"/>
    <w:rsid w:val="00D53798"/>
    <w:rsid w:val="00D56FAB"/>
    <w:rsid w:val="00D61A2D"/>
    <w:rsid w:val="00D66434"/>
    <w:rsid w:val="00D66451"/>
    <w:rsid w:val="00D71B8F"/>
    <w:rsid w:val="00D71C74"/>
    <w:rsid w:val="00D8130E"/>
    <w:rsid w:val="00D814D7"/>
    <w:rsid w:val="00D819A1"/>
    <w:rsid w:val="00D825C1"/>
    <w:rsid w:val="00D85D93"/>
    <w:rsid w:val="00D86678"/>
    <w:rsid w:val="00D8774D"/>
    <w:rsid w:val="00D92887"/>
    <w:rsid w:val="00D934A6"/>
    <w:rsid w:val="00D940CF"/>
    <w:rsid w:val="00D94B1D"/>
    <w:rsid w:val="00DA3A3E"/>
    <w:rsid w:val="00DA558E"/>
    <w:rsid w:val="00DB5419"/>
    <w:rsid w:val="00DB7C70"/>
    <w:rsid w:val="00DE21A0"/>
    <w:rsid w:val="00DE4A53"/>
    <w:rsid w:val="00DE5E21"/>
    <w:rsid w:val="00DE708F"/>
    <w:rsid w:val="00DF2E6D"/>
    <w:rsid w:val="00DF58D8"/>
    <w:rsid w:val="00E009DB"/>
    <w:rsid w:val="00E03289"/>
    <w:rsid w:val="00E0514F"/>
    <w:rsid w:val="00E12A46"/>
    <w:rsid w:val="00E13A7C"/>
    <w:rsid w:val="00E153D3"/>
    <w:rsid w:val="00E202F4"/>
    <w:rsid w:val="00E2544B"/>
    <w:rsid w:val="00E25EC8"/>
    <w:rsid w:val="00E2679A"/>
    <w:rsid w:val="00E34B91"/>
    <w:rsid w:val="00E3672C"/>
    <w:rsid w:val="00E401FB"/>
    <w:rsid w:val="00E45362"/>
    <w:rsid w:val="00E4647D"/>
    <w:rsid w:val="00E5039F"/>
    <w:rsid w:val="00E57644"/>
    <w:rsid w:val="00E5793B"/>
    <w:rsid w:val="00E605FC"/>
    <w:rsid w:val="00E66920"/>
    <w:rsid w:val="00E750F6"/>
    <w:rsid w:val="00E769C8"/>
    <w:rsid w:val="00E76A52"/>
    <w:rsid w:val="00E77B6B"/>
    <w:rsid w:val="00E87110"/>
    <w:rsid w:val="00E904D1"/>
    <w:rsid w:val="00E90FE6"/>
    <w:rsid w:val="00E919F4"/>
    <w:rsid w:val="00E91C07"/>
    <w:rsid w:val="00E94B46"/>
    <w:rsid w:val="00E971D6"/>
    <w:rsid w:val="00EA04DC"/>
    <w:rsid w:val="00EA0999"/>
    <w:rsid w:val="00EA1C3C"/>
    <w:rsid w:val="00EA26CF"/>
    <w:rsid w:val="00EA6709"/>
    <w:rsid w:val="00EB4E91"/>
    <w:rsid w:val="00EC4454"/>
    <w:rsid w:val="00EC6568"/>
    <w:rsid w:val="00ED4073"/>
    <w:rsid w:val="00ED7B3C"/>
    <w:rsid w:val="00EE0047"/>
    <w:rsid w:val="00EE245B"/>
    <w:rsid w:val="00EE4D50"/>
    <w:rsid w:val="00EE5ECB"/>
    <w:rsid w:val="00EF0CD0"/>
    <w:rsid w:val="00EF528F"/>
    <w:rsid w:val="00F00060"/>
    <w:rsid w:val="00F0240A"/>
    <w:rsid w:val="00F15B19"/>
    <w:rsid w:val="00F169F0"/>
    <w:rsid w:val="00F21B5D"/>
    <w:rsid w:val="00F244E5"/>
    <w:rsid w:val="00F25B1D"/>
    <w:rsid w:val="00F277D5"/>
    <w:rsid w:val="00F31F7A"/>
    <w:rsid w:val="00F40028"/>
    <w:rsid w:val="00F43C82"/>
    <w:rsid w:val="00F442F7"/>
    <w:rsid w:val="00F465C5"/>
    <w:rsid w:val="00F46739"/>
    <w:rsid w:val="00F47466"/>
    <w:rsid w:val="00F51099"/>
    <w:rsid w:val="00F5366D"/>
    <w:rsid w:val="00F55C71"/>
    <w:rsid w:val="00F603A0"/>
    <w:rsid w:val="00F608D3"/>
    <w:rsid w:val="00F64432"/>
    <w:rsid w:val="00F667E5"/>
    <w:rsid w:val="00F752CE"/>
    <w:rsid w:val="00F76C28"/>
    <w:rsid w:val="00F77743"/>
    <w:rsid w:val="00F849CF"/>
    <w:rsid w:val="00F9066C"/>
    <w:rsid w:val="00F926CC"/>
    <w:rsid w:val="00F936EB"/>
    <w:rsid w:val="00F960CB"/>
    <w:rsid w:val="00FA38A2"/>
    <w:rsid w:val="00FA445C"/>
    <w:rsid w:val="00FA7069"/>
    <w:rsid w:val="00FB15D0"/>
    <w:rsid w:val="00FB587D"/>
    <w:rsid w:val="00FB72FF"/>
    <w:rsid w:val="00FD2A70"/>
    <w:rsid w:val="00FD5E00"/>
    <w:rsid w:val="00FD6A68"/>
    <w:rsid w:val="00FE056B"/>
    <w:rsid w:val="00FE3890"/>
    <w:rsid w:val="00FE4640"/>
    <w:rsid w:val="00FE6644"/>
    <w:rsid w:val="00FF190D"/>
    <w:rsid w:val="00FF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3BC0946"/>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link w:val="Heading1Char"/>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pPr>
      <w:keepNext/>
      <w:snapToGrid/>
      <w:outlineLvl w:val="1"/>
    </w:pPr>
    <w:rPr>
      <w:b/>
      <w:bCs/>
      <w:sz w:val="20"/>
      <w:szCs w:val="24"/>
    </w:rPr>
  </w:style>
  <w:style w:type="paragraph" w:styleId="Heading3">
    <w:name w:val="heading 3"/>
    <w:basedOn w:val="Normal"/>
    <w:next w:val="Normal"/>
    <w:link w:val="Heading3Char"/>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uiPriority w:val="99"/>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semiHidden/>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uiPriority w:val="99"/>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uiPriority w:val="99"/>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rsid w:val="000F3DEF"/>
  </w:style>
  <w:style w:type="character" w:customStyle="1" w:styleId="HeaderChar">
    <w:name w:val="Header Char"/>
    <w:basedOn w:val="DefaultParagraphFont"/>
    <w:link w:val="Header"/>
    <w:uiPriority w:val="99"/>
    <w:rsid w:val="007E4545"/>
    <w:rPr>
      <w:sz w:val="18"/>
    </w:rPr>
  </w:style>
  <w:style w:type="character" w:customStyle="1" w:styleId="FooterChar">
    <w:name w:val="Footer Char"/>
    <w:basedOn w:val="DefaultParagraphFont"/>
    <w:link w:val="Footer"/>
    <w:uiPriority w:val="99"/>
    <w:rsid w:val="007E4545"/>
  </w:style>
  <w:style w:type="paragraph" w:styleId="Revision">
    <w:name w:val="Revision"/>
    <w:hidden/>
    <w:uiPriority w:val="99"/>
    <w:semiHidden/>
    <w:rsid w:val="007E4545"/>
    <w:rPr>
      <w:rFonts w:eastAsiaTheme="minorEastAsia"/>
      <w:sz w:val="28"/>
      <w:szCs w:val="28"/>
      <w:lang w:val="en-HK"/>
    </w:rPr>
  </w:style>
  <w:style w:type="character" w:customStyle="1" w:styleId="Heading1Char">
    <w:name w:val="Heading 1 Char"/>
    <w:basedOn w:val="DefaultParagraphFont"/>
    <w:link w:val="Heading1"/>
    <w:rsid w:val="007E4545"/>
    <w:rPr>
      <w:rFonts w:ascii="Arial" w:hAnsi="Arial"/>
      <w:b/>
      <w:kern w:val="28"/>
      <w:sz w:val="28"/>
      <w:lang w:val="en-GB"/>
    </w:rPr>
  </w:style>
  <w:style w:type="character" w:customStyle="1" w:styleId="Heading2Char">
    <w:name w:val="Heading 2 Char"/>
    <w:basedOn w:val="DefaultParagraphFont"/>
    <w:link w:val="Heading2"/>
    <w:rsid w:val="007E4545"/>
    <w:rPr>
      <w:b/>
      <w:bCs/>
      <w:szCs w:val="24"/>
    </w:rPr>
  </w:style>
  <w:style w:type="character" w:customStyle="1" w:styleId="Heading3Char">
    <w:name w:val="Heading 3 Char"/>
    <w:basedOn w:val="DefaultParagraphFont"/>
    <w:link w:val="Heading3"/>
    <w:rsid w:val="007E4545"/>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21002A87"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134A08"/>
    <w:rsid w:val="00163481"/>
    <w:rsid w:val="00246455"/>
    <w:rsid w:val="00311906"/>
    <w:rsid w:val="003D17E9"/>
    <w:rsid w:val="00505B94"/>
    <w:rsid w:val="006004E4"/>
    <w:rsid w:val="006A76D4"/>
    <w:rsid w:val="006F57D8"/>
    <w:rsid w:val="00742054"/>
    <w:rsid w:val="0080281B"/>
    <w:rsid w:val="008721E9"/>
    <w:rsid w:val="008B6A32"/>
    <w:rsid w:val="00974D86"/>
    <w:rsid w:val="00A0149C"/>
    <w:rsid w:val="00A96A7C"/>
    <w:rsid w:val="00AB4C00"/>
    <w:rsid w:val="00AC22D6"/>
    <w:rsid w:val="00AC7450"/>
    <w:rsid w:val="00B51D99"/>
    <w:rsid w:val="00B74270"/>
    <w:rsid w:val="00EE0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AE979-1E5A-454D-BFE8-F94A70B2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19</Pages>
  <Words>4373</Words>
  <Characters>21063</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2022-05-13T07:46:00Z</cp:lastPrinted>
  <dcterms:created xsi:type="dcterms:W3CDTF">2022-05-13T07:46:00Z</dcterms:created>
  <dcterms:modified xsi:type="dcterms:W3CDTF">2022-05-13T07:51:00Z</dcterms:modified>
</cp:coreProperties>
</file>