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34F" w:rsidRDefault="0024434F">
      <w:pPr>
        <w:pStyle w:val="Heading2"/>
        <w:tabs>
          <w:tab w:val="clear" w:pos="4320"/>
          <w:tab w:val="clear" w:pos="9072"/>
        </w:tabs>
        <w:snapToGrid w:val="0"/>
        <w:spacing w:line="480" w:lineRule="auto"/>
        <w:jc w:val="right"/>
        <w:rPr>
          <w:b w:val="0"/>
          <w:sz w:val="28"/>
        </w:rPr>
      </w:pPr>
      <w:r>
        <w:rPr>
          <w:rFonts w:hint="eastAsia"/>
          <w:b w:val="0"/>
          <w:sz w:val="28"/>
        </w:rPr>
        <w:t>DCPI 10</w:t>
      </w:r>
      <w:r>
        <w:rPr>
          <w:b w:val="0"/>
          <w:sz w:val="28"/>
        </w:rPr>
        <w:t>41</w:t>
      </w:r>
      <w:r>
        <w:rPr>
          <w:rFonts w:hint="eastAsia"/>
          <w:b w:val="0"/>
          <w:sz w:val="28"/>
        </w:rPr>
        <w:t>/200</w:t>
      </w:r>
      <w:r>
        <w:rPr>
          <w:b w:val="0"/>
          <w:sz w:val="28"/>
        </w:rPr>
        <w:t>8</w:t>
      </w:r>
    </w:p>
    <w:p w:rsidR="0024434F" w:rsidRDefault="0024434F"/>
    <w:p w:rsidR="0024434F" w:rsidRDefault="0024434F">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24434F" w:rsidRDefault="0024434F">
      <w:pPr>
        <w:tabs>
          <w:tab w:val="clear" w:pos="4320"/>
          <w:tab w:val="clear" w:pos="9072"/>
        </w:tabs>
        <w:adjustRightInd w:val="0"/>
        <w:spacing w:line="360" w:lineRule="auto"/>
        <w:jc w:val="center"/>
        <w:rPr>
          <w:rFonts w:hint="eastAsia"/>
          <w:b/>
          <w:bCs/>
        </w:rPr>
      </w:pPr>
      <w:r>
        <w:rPr>
          <w:rFonts w:hint="eastAsia"/>
          <w:b/>
          <w:bCs/>
        </w:rPr>
        <w:t>IN THE DISTRICT COURT OF THE</w:t>
      </w:r>
    </w:p>
    <w:p w:rsidR="0024434F" w:rsidRDefault="0024434F">
      <w:pPr>
        <w:tabs>
          <w:tab w:val="clear" w:pos="4320"/>
          <w:tab w:val="clear" w:pos="9072"/>
        </w:tabs>
        <w:adjustRightInd w:val="0"/>
        <w:spacing w:line="360" w:lineRule="auto"/>
        <w:jc w:val="center"/>
        <w:rPr>
          <w:rFonts w:hint="eastAsia"/>
        </w:rPr>
      </w:pPr>
      <w:r>
        <w:rPr>
          <w:rFonts w:hint="eastAsia"/>
          <w:b/>
          <w:bCs/>
        </w:rPr>
        <w:t>HONG KONG SPECIAL ADMINISTRATIVE REGION</w:t>
      </w:r>
    </w:p>
    <w:p w:rsidR="0024434F" w:rsidRDefault="0024434F">
      <w:pPr>
        <w:tabs>
          <w:tab w:val="clear" w:pos="4320"/>
          <w:tab w:val="clear" w:pos="9072"/>
        </w:tabs>
        <w:adjustRightInd w:val="0"/>
        <w:spacing w:line="360" w:lineRule="auto"/>
        <w:jc w:val="center"/>
      </w:pPr>
      <w:r>
        <w:rPr>
          <w:rFonts w:hint="eastAsia"/>
        </w:rPr>
        <w:t>PERSON INJURIES ACTION NO. 1</w:t>
      </w:r>
      <w:r>
        <w:t>0</w:t>
      </w:r>
      <w:r>
        <w:rPr>
          <w:rFonts w:hint="eastAsia"/>
        </w:rPr>
        <w:t>4</w:t>
      </w:r>
      <w:r>
        <w:t>1</w:t>
      </w:r>
      <w:r>
        <w:rPr>
          <w:rFonts w:hint="eastAsia"/>
        </w:rPr>
        <w:t xml:space="preserve"> OF 200</w:t>
      </w:r>
      <w:r>
        <w:t>8</w:t>
      </w:r>
    </w:p>
    <w:p w:rsidR="0024434F" w:rsidRDefault="0024434F">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24434F" w:rsidRDefault="0024434F">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4434F" w:rsidRDefault="0024434F">
      <w:pPr>
        <w:rPr>
          <w:lang w:val="en-GB"/>
        </w:rPr>
      </w:pPr>
    </w:p>
    <w:p w:rsidR="0024434F" w:rsidRDefault="0024434F">
      <w:pPr>
        <w:tabs>
          <w:tab w:val="clear" w:pos="1440"/>
          <w:tab w:val="clear" w:pos="4320"/>
          <w:tab w:val="clear" w:pos="9072"/>
          <w:tab w:val="left" w:pos="2100"/>
          <w:tab w:val="left" w:pos="6580"/>
        </w:tabs>
        <w:rPr>
          <w:rFonts w:hint="eastAsia"/>
        </w:rPr>
      </w:pPr>
      <w:r>
        <w:rPr>
          <w:rFonts w:hint="eastAsia"/>
        </w:rPr>
        <w:tab/>
      </w:r>
      <w:r>
        <w:t>Liu Chung Ching</w:t>
      </w:r>
      <w:r>
        <w:rPr>
          <w:rFonts w:hint="eastAsia"/>
        </w:rPr>
        <w:tab/>
      </w:r>
      <w:r>
        <w:t xml:space="preserve">      </w:t>
      </w:r>
      <w:r>
        <w:rPr>
          <w:rFonts w:hint="eastAsia"/>
        </w:rPr>
        <w:t>Plaintiff</w:t>
      </w:r>
    </w:p>
    <w:p w:rsidR="0024434F" w:rsidRDefault="0024434F">
      <w:pPr>
        <w:pStyle w:val="normal3"/>
        <w:tabs>
          <w:tab w:val="clear" w:pos="1440"/>
          <w:tab w:val="clear" w:pos="4320"/>
          <w:tab w:val="clear" w:pos="4500"/>
          <w:tab w:val="clear" w:pos="9000"/>
          <w:tab w:val="clear" w:pos="9072"/>
          <w:tab w:val="left" w:pos="2100"/>
        </w:tabs>
        <w:overflowPunct/>
        <w:autoSpaceDE/>
        <w:autoSpaceDN/>
        <w:spacing w:line="240" w:lineRule="auto"/>
        <w:rPr>
          <w:rFonts w:eastAsia="SimSun" w:hint="eastAsia"/>
          <w:lang w:val="en-US"/>
        </w:rPr>
      </w:pPr>
    </w:p>
    <w:p w:rsidR="0024434F" w:rsidRDefault="0024434F">
      <w:pPr>
        <w:pStyle w:val="Heading3"/>
        <w:tabs>
          <w:tab w:val="clear" w:pos="1440"/>
          <w:tab w:val="clear" w:pos="4320"/>
          <w:tab w:val="clear" w:pos="9072"/>
          <w:tab w:val="left" w:pos="1260"/>
          <w:tab w:val="left" w:pos="2100"/>
          <w:tab w:val="left" w:pos="7000"/>
        </w:tabs>
        <w:snapToGrid w:val="0"/>
        <w:rPr>
          <w:rFonts w:hint="eastAsia"/>
          <w:b w:val="0"/>
          <w:sz w:val="28"/>
        </w:rPr>
      </w:pPr>
      <w:r>
        <w:rPr>
          <w:rFonts w:hint="eastAsia"/>
          <w:b w:val="0"/>
          <w:sz w:val="28"/>
        </w:rPr>
        <w:t>and</w:t>
      </w:r>
    </w:p>
    <w:p w:rsidR="0024434F" w:rsidRDefault="0024434F">
      <w:pPr>
        <w:pStyle w:val="normal3"/>
        <w:tabs>
          <w:tab w:val="clear" w:pos="4320"/>
          <w:tab w:val="clear" w:pos="4500"/>
          <w:tab w:val="clear" w:pos="9000"/>
          <w:tab w:val="clear" w:pos="9072"/>
        </w:tabs>
        <w:overflowPunct/>
        <w:autoSpaceDE/>
        <w:autoSpaceDN/>
        <w:spacing w:line="240" w:lineRule="auto"/>
        <w:rPr>
          <w:rFonts w:eastAsia="SimSun" w:hint="eastAsia"/>
          <w:lang w:val="en-US"/>
        </w:rPr>
      </w:pPr>
    </w:p>
    <w:p w:rsidR="0024434F" w:rsidRDefault="0024434F">
      <w:pPr>
        <w:tabs>
          <w:tab w:val="clear" w:pos="1440"/>
          <w:tab w:val="clear" w:pos="4320"/>
          <w:tab w:val="clear" w:pos="9072"/>
          <w:tab w:val="left" w:pos="2100"/>
          <w:tab w:val="left" w:pos="6580"/>
        </w:tabs>
      </w:pPr>
      <w:r>
        <w:rPr>
          <w:rFonts w:hint="eastAsia"/>
        </w:rPr>
        <w:tab/>
      </w:r>
      <w:r>
        <w:t>A.S. Watson Group (HK) Limited</w:t>
      </w:r>
      <w:r>
        <w:tab/>
        <w:t>1</w:t>
      </w:r>
      <w:r>
        <w:rPr>
          <w:vertAlign w:val="superscript"/>
        </w:rPr>
        <w:t>st</w:t>
      </w:r>
      <w:r>
        <w:t xml:space="preserve"> Defendant</w:t>
      </w:r>
    </w:p>
    <w:p w:rsidR="0024434F" w:rsidRDefault="0024434F">
      <w:pPr>
        <w:tabs>
          <w:tab w:val="clear" w:pos="1440"/>
          <w:tab w:val="clear" w:pos="4320"/>
          <w:tab w:val="clear" w:pos="9072"/>
          <w:tab w:val="left" w:pos="2100"/>
          <w:tab w:val="left" w:pos="6300"/>
        </w:tabs>
      </w:pPr>
      <w:r>
        <w:tab/>
        <w:t>trading as Park’n Shop</w:t>
      </w:r>
    </w:p>
    <w:p w:rsidR="0024434F" w:rsidRDefault="0024434F">
      <w:pPr>
        <w:tabs>
          <w:tab w:val="clear" w:pos="1440"/>
          <w:tab w:val="clear" w:pos="4320"/>
          <w:tab w:val="clear" w:pos="9072"/>
          <w:tab w:val="left" w:pos="2100"/>
          <w:tab w:val="left" w:pos="6300"/>
        </w:tabs>
      </w:pPr>
    </w:p>
    <w:p w:rsidR="0024434F" w:rsidRDefault="0024434F">
      <w:pPr>
        <w:tabs>
          <w:tab w:val="clear" w:pos="1440"/>
          <w:tab w:val="clear" w:pos="4320"/>
          <w:tab w:val="clear" w:pos="9072"/>
          <w:tab w:val="left" w:pos="2100"/>
          <w:tab w:val="left" w:pos="6580"/>
        </w:tabs>
      </w:pPr>
      <w:r>
        <w:tab/>
        <w:t>Golden Resources Development</w:t>
      </w:r>
      <w:r>
        <w:tab/>
        <w:t>2</w:t>
      </w:r>
      <w:r>
        <w:rPr>
          <w:vertAlign w:val="superscript"/>
        </w:rPr>
        <w:t>nd</w:t>
      </w:r>
      <w:r>
        <w:t xml:space="preserve"> Defendant</w:t>
      </w:r>
    </w:p>
    <w:p w:rsidR="0024434F" w:rsidRDefault="0024434F">
      <w:pPr>
        <w:tabs>
          <w:tab w:val="clear" w:pos="1440"/>
          <w:tab w:val="clear" w:pos="4320"/>
          <w:tab w:val="clear" w:pos="9072"/>
          <w:tab w:val="left" w:pos="2100"/>
          <w:tab w:val="left" w:pos="6580"/>
        </w:tabs>
      </w:pPr>
      <w:r>
        <w:tab/>
        <w:t>Limited</w:t>
      </w:r>
    </w:p>
    <w:p w:rsidR="0024434F" w:rsidRDefault="0024434F">
      <w:pPr>
        <w:tabs>
          <w:tab w:val="clear" w:pos="1440"/>
          <w:tab w:val="clear" w:pos="4320"/>
          <w:tab w:val="clear" w:pos="9072"/>
          <w:tab w:val="left" w:pos="2100"/>
          <w:tab w:val="left" w:pos="6580"/>
        </w:tabs>
      </w:pPr>
    </w:p>
    <w:p w:rsidR="0024434F" w:rsidRDefault="0024434F">
      <w:pPr>
        <w:pStyle w:val="normal3"/>
        <w:tabs>
          <w:tab w:val="clear" w:pos="1440"/>
          <w:tab w:val="clear" w:pos="4320"/>
          <w:tab w:val="clear" w:pos="4500"/>
          <w:tab w:val="clear" w:pos="9000"/>
          <w:tab w:val="clear" w:pos="9072"/>
          <w:tab w:val="left" w:pos="1260"/>
        </w:tabs>
        <w:overflowPunct/>
        <w:autoSpaceDE/>
        <w:autoSpaceDN/>
        <w:spacing w:line="240" w:lineRule="auto"/>
        <w:rPr>
          <w:rFonts w:eastAsia="SimSun"/>
          <w:lang w:val="en-US"/>
        </w:rPr>
      </w:pPr>
    </w:p>
    <w:p w:rsidR="0024434F" w:rsidRDefault="0024434F">
      <w:pPr>
        <w:tabs>
          <w:tab w:val="clear" w:pos="1440"/>
          <w:tab w:val="clear" w:pos="4320"/>
          <w:tab w:val="clear" w:pos="9072"/>
        </w:tabs>
        <w:adjustRightInd w:val="0"/>
        <w:spacing w:line="360" w:lineRule="auto"/>
        <w:jc w:val="center"/>
        <w:rPr>
          <w:rFonts w:hint="eastAsia"/>
          <w:sz w:val="26"/>
        </w:rPr>
      </w:pPr>
      <w:r>
        <w:rPr>
          <w:rFonts w:hint="eastAsia"/>
          <w:sz w:val="26"/>
        </w:rPr>
        <w:t>--------------------</w:t>
      </w:r>
    </w:p>
    <w:p w:rsidR="0024434F" w:rsidRDefault="0024434F">
      <w:pPr>
        <w:pStyle w:val="normal3"/>
        <w:tabs>
          <w:tab w:val="clear" w:pos="4320"/>
          <w:tab w:val="clear" w:pos="4500"/>
          <w:tab w:val="clear" w:pos="9000"/>
          <w:tab w:val="clear" w:pos="9072"/>
        </w:tabs>
        <w:overflowPunct/>
        <w:autoSpaceDE/>
        <w:autoSpaceDN/>
        <w:adjustRightInd w:val="0"/>
        <w:rPr>
          <w:rFonts w:eastAsia="SimSun"/>
          <w:lang w:val="en-US"/>
        </w:rPr>
      </w:pPr>
    </w:p>
    <w:p w:rsidR="0024434F" w:rsidRDefault="0024434F">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xml:space="preserve">:  H.H. </w:t>
      </w:r>
      <w:r>
        <w:t xml:space="preserve">Judge </w:t>
      </w:r>
      <w:r>
        <w:rPr>
          <w:rFonts w:hint="eastAsia"/>
        </w:rPr>
        <w:t>Chow</w:t>
      </w:r>
    </w:p>
    <w:p w:rsidR="0024434F" w:rsidRDefault="0024434F">
      <w:pPr>
        <w:tabs>
          <w:tab w:val="clear" w:pos="4320"/>
          <w:tab w:val="clear" w:pos="9072"/>
        </w:tabs>
        <w:adjustRightInd w:val="0"/>
        <w:spacing w:line="360" w:lineRule="auto"/>
      </w:pPr>
      <w:r>
        <w:rPr>
          <w:rFonts w:hint="eastAsia"/>
        </w:rPr>
        <w:t xml:space="preserve">Date of </w:t>
      </w:r>
      <w:r>
        <w:t>H</w:t>
      </w:r>
      <w:r>
        <w:rPr>
          <w:rFonts w:hint="eastAsia"/>
        </w:rPr>
        <w:t xml:space="preserve">earing </w:t>
      </w:r>
      <w:r>
        <w:t xml:space="preserve"> </w:t>
      </w:r>
      <w:r>
        <w:rPr>
          <w:rFonts w:hint="eastAsia"/>
        </w:rPr>
        <w:t xml:space="preserve">:  </w:t>
      </w:r>
      <w:r>
        <w:t>11</w:t>
      </w:r>
      <w:r>
        <w:rPr>
          <w:vertAlign w:val="superscript"/>
        </w:rPr>
        <w:t>th</w:t>
      </w:r>
      <w:r>
        <w:t xml:space="preserve">  July, 2008</w:t>
      </w:r>
    </w:p>
    <w:p w:rsidR="0024434F" w:rsidRDefault="0024434F">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 xml:space="preserve">Decision  </w:t>
      </w:r>
      <w:r>
        <w:rPr>
          <w:rFonts w:hint="eastAsia"/>
        </w:rPr>
        <w:t>:</w:t>
      </w:r>
      <w:r>
        <w:t xml:space="preserve">  9</w:t>
      </w:r>
      <w:r>
        <w:rPr>
          <w:vertAlign w:val="superscript"/>
        </w:rPr>
        <w:t>th</w:t>
      </w:r>
      <w:r>
        <w:t xml:space="preserve"> September, 2008</w:t>
      </w:r>
    </w:p>
    <w:p w:rsidR="0024434F" w:rsidRDefault="0024434F">
      <w:pPr>
        <w:pStyle w:val="Title"/>
        <w:snapToGrid w:val="0"/>
        <w:rPr>
          <w:rFonts w:hint="eastAsia"/>
          <w:sz w:val="28"/>
        </w:rPr>
      </w:pPr>
    </w:p>
    <w:p w:rsidR="0024434F" w:rsidRDefault="0024434F">
      <w:pPr>
        <w:pStyle w:val="Title"/>
        <w:snapToGrid w:val="0"/>
        <w:rPr>
          <w:rFonts w:hint="eastAsia"/>
          <w:sz w:val="28"/>
        </w:rPr>
      </w:pPr>
      <w:r>
        <w:rPr>
          <w:sz w:val="28"/>
        </w:rPr>
        <w:t>DECISION</w:t>
      </w:r>
    </w:p>
    <w:p w:rsidR="0024434F" w:rsidRDefault="0024434F">
      <w:pPr>
        <w:tabs>
          <w:tab w:val="clear" w:pos="4320"/>
          <w:tab w:val="clear" w:pos="9072"/>
        </w:tabs>
        <w:spacing w:line="360" w:lineRule="auto"/>
        <w:jc w:val="center"/>
        <w:rPr>
          <w:rFonts w:hint="eastAsia"/>
          <w:u w:val="single"/>
        </w:rPr>
      </w:pPr>
    </w:p>
    <w:p w:rsidR="0024434F" w:rsidRDefault="0024434F">
      <w:pPr>
        <w:pStyle w:val="BodyText"/>
        <w:numPr>
          <w:ilvl w:val="0"/>
          <w:numId w:val="74"/>
        </w:numPr>
        <w:tabs>
          <w:tab w:val="clear" w:pos="2340"/>
          <w:tab w:val="left" w:pos="1440"/>
        </w:tabs>
        <w:snapToGrid w:val="0"/>
        <w:ind w:left="0"/>
        <w:jc w:val="both"/>
      </w:pPr>
      <w:r>
        <w:t>In this application the Plaintiff asks the court to make the following orders:-</w:t>
      </w:r>
    </w:p>
    <w:p w:rsidR="0024434F" w:rsidRDefault="0024434F">
      <w:pPr>
        <w:pStyle w:val="BodyText"/>
        <w:tabs>
          <w:tab w:val="left" w:pos="1440"/>
        </w:tabs>
        <w:snapToGrid w:val="0"/>
        <w:jc w:val="both"/>
      </w:pPr>
    </w:p>
    <w:p w:rsidR="0024434F" w:rsidRDefault="0024434F">
      <w:pPr>
        <w:pStyle w:val="BodyText"/>
        <w:numPr>
          <w:ilvl w:val="0"/>
          <w:numId w:val="75"/>
        </w:numPr>
        <w:tabs>
          <w:tab w:val="clear" w:pos="1800"/>
          <w:tab w:val="left" w:pos="1440"/>
          <w:tab w:val="num" w:pos="2100"/>
        </w:tabs>
        <w:snapToGrid w:val="0"/>
        <w:ind w:left="2100" w:hanging="660"/>
        <w:jc w:val="both"/>
      </w:pPr>
      <w:r>
        <w:lastRenderedPageBreak/>
        <w:t>The sum of $75,000 paid into court on 23.5.2008 by the 2</w:t>
      </w:r>
      <w:r>
        <w:rPr>
          <w:vertAlign w:val="superscript"/>
        </w:rPr>
        <w:t>nd</w:t>
      </w:r>
      <w:r>
        <w:t xml:space="preserve"> Defendant be paid out to the Plaintiff in satisfaction of the cause of action in respect of which it was paid in;</w:t>
      </w:r>
    </w:p>
    <w:p w:rsidR="0024434F" w:rsidRDefault="0024434F">
      <w:pPr>
        <w:pStyle w:val="BodyText"/>
        <w:tabs>
          <w:tab w:val="left" w:pos="1440"/>
          <w:tab w:val="num" w:pos="2100"/>
        </w:tabs>
        <w:snapToGrid w:val="0"/>
        <w:ind w:left="2100" w:hanging="660"/>
        <w:jc w:val="both"/>
      </w:pPr>
    </w:p>
    <w:p w:rsidR="0024434F" w:rsidRDefault="0024434F">
      <w:pPr>
        <w:pStyle w:val="BodyText"/>
        <w:numPr>
          <w:ilvl w:val="0"/>
          <w:numId w:val="75"/>
        </w:numPr>
        <w:tabs>
          <w:tab w:val="clear" w:pos="1800"/>
          <w:tab w:val="left" w:pos="1440"/>
          <w:tab w:val="num" w:pos="2100"/>
        </w:tabs>
        <w:snapToGrid w:val="0"/>
        <w:ind w:left="2100" w:hanging="660"/>
        <w:jc w:val="both"/>
      </w:pPr>
      <w:r>
        <w:t>The 2</w:t>
      </w:r>
      <w:r>
        <w:rPr>
          <w:vertAlign w:val="superscript"/>
        </w:rPr>
        <w:t>nd</w:t>
      </w:r>
      <w:r>
        <w:t xml:space="preserve"> Defendant do pay to the Plaintiff costs of this action, to be taxed, if not agreed and such costs to include all costs incurred by reason of there being two defendants; and</w:t>
      </w:r>
    </w:p>
    <w:p w:rsidR="0024434F" w:rsidRDefault="0024434F">
      <w:pPr>
        <w:pStyle w:val="BodyText"/>
        <w:tabs>
          <w:tab w:val="left" w:pos="1440"/>
        </w:tabs>
        <w:snapToGrid w:val="0"/>
        <w:jc w:val="both"/>
      </w:pPr>
    </w:p>
    <w:p w:rsidR="0024434F" w:rsidRDefault="0024434F">
      <w:pPr>
        <w:pStyle w:val="BodyText"/>
        <w:numPr>
          <w:ilvl w:val="0"/>
          <w:numId w:val="75"/>
        </w:numPr>
        <w:tabs>
          <w:tab w:val="clear" w:pos="1800"/>
          <w:tab w:val="left" w:pos="1440"/>
          <w:tab w:val="num" w:pos="2100"/>
        </w:tabs>
        <w:snapToGrid w:val="0"/>
        <w:ind w:left="2100" w:hanging="660"/>
        <w:jc w:val="both"/>
      </w:pPr>
      <w:r>
        <w:t>The 2</w:t>
      </w:r>
      <w:r>
        <w:rPr>
          <w:vertAlign w:val="superscript"/>
        </w:rPr>
        <w:t>nd</w:t>
      </w:r>
      <w:r>
        <w:t xml:space="preserve"> Defendant do pay to the 1</w:t>
      </w:r>
      <w:r>
        <w:rPr>
          <w:vertAlign w:val="superscript"/>
        </w:rPr>
        <w:t>st</w:t>
      </w:r>
      <w:r>
        <w:t xml:space="preserve"> Defendant its costs, to be taxed, if not agreed.</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t>In this action the Plaintiff claims for personal injuries, loss and damages sustained by her in an accident which occurred on 24.11.2006 at the ground floor and 1</w:t>
      </w:r>
      <w:r>
        <w:rPr>
          <w:vertAlign w:val="superscript"/>
        </w:rPr>
        <w:t>st</w:t>
      </w:r>
      <w:r>
        <w:t xml:space="preserve"> floor, Fook Sing Court, No. 378 Queen’s Road Central (“the Premises”).  At the material time, the 1</w:t>
      </w:r>
      <w:r>
        <w:rPr>
          <w:vertAlign w:val="superscript"/>
        </w:rPr>
        <w:t>st</w:t>
      </w:r>
      <w:r>
        <w:t xml:space="preserve"> Defendant was the occupier of the Premises, while the 2</w:t>
      </w:r>
      <w:r>
        <w:rPr>
          <w:vertAlign w:val="superscript"/>
        </w:rPr>
        <w:t>nd</w:t>
      </w:r>
      <w:r>
        <w:t xml:space="preserve"> Defendant was a supplier of the 1</w:t>
      </w:r>
      <w:r>
        <w:rPr>
          <w:vertAlign w:val="superscript"/>
        </w:rPr>
        <w:t>st</w:t>
      </w:r>
      <w:r>
        <w:t xml:space="preserve"> Defendant.</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t>The Plaintiff’s causes of action against the 1</w:t>
      </w:r>
      <w:r>
        <w:rPr>
          <w:vertAlign w:val="superscript"/>
        </w:rPr>
        <w:t>st</w:t>
      </w:r>
      <w:r>
        <w:t xml:space="preserve"> Defendant are breach of the Occupiers Liability Ordinance, Cap. 314, and a claim on negligence.  The cause of action on the negligence of the 1</w:t>
      </w:r>
      <w:r>
        <w:rPr>
          <w:vertAlign w:val="superscript"/>
        </w:rPr>
        <w:t>st</w:t>
      </w:r>
      <w:r>
        <w:t xml:space="preserve"> Defendant is that it failed to ensure that the delivery worker employed by the 2</w:t>
      </w:r>
      <w:r>
        <w:rPr>
          <w:vertAlign w:val="superscript"/>
        </w:rPr>
        <w:t>nd</w:t>
      </w:r>
      <w:r>
        <w:t xml:space="preserve"> Defendant was not to use the escalator, or</w:t>
      </w:r>
      <w:r>
        <w:rPr>
          <w:rFonts w:hint="eastAsia"/>
        </w:rPr>
        <w:t xml:space="preserve"> that</w:t>
      </w:r>
      <w:r>
        <w:t xml:space="preserve"> it failed to warn the delivery worker not to use the escalator or </w:t>
      </w:r>
      <w:r>
        <w:rPr>
          <w:rFonts w:hint="eastAsia"/>
        </w:rPr>
        <w:t xml:space="preserve">that </w:t>
      </w:r>
      <w:r>
        <w:t>it failed to prevent the delivery worker from using the escalator.</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lastRenderedPageBreak/>
        <w:t>The cause of action against the 2</w:t>
      </w:r>
      <w:r>
        <w:rPr>
          <w:vertAlign w:val="superscript"/>
        </w:rPr>
        <w:t>nd</w:t>
      </w:r>
      <w:r>
        <w:t xml:space="preserve"> Defendant is on the negligence of its delivery worker in handling the delivery cart on the escalator.  There is only one cause of action against the 2</w:t>
      </w:r>
      <w:r>
        <w:rPr>
          <w:vertAlign w:val="superscript"/>
        </w:rPr>
        <w:t>nd</w:t>
      </w:r>
      <w:r>
        <w:t xml:space="preserve"> Defendant.</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t>On 23.5.2008 the 2</w:t>
      </w:r>
      <w:r>
        <w:rPr>
          <w:vertAlign w:val="superscript"/>
        </w:rPr>
        <w:t>nd</w:t>
      </w:r>
      <w:r>
        <w:t xml:space="preserve"> Defendant filed and served a notice of payment into court whereby a sum of $75,000 was paid into court.  A notice of acceptance of money paid into court was filed and served</w:t>
      </w:r>
      <w:r>
        <w:rPr>
          <w:rFonts w:hint="eastAsia"/>
        </w:rPr>
        <w:t xml:space="preserve"> by the Plaintiff</w:t>
      </w:r>
      <w:r>
        <w:t xml:space="preserve"> on 6.6.2008.  The notice of payment into court reads:-</w:t>
      </w:r>
    </w:p>
    <w:p w:rsidR="0024434F" w:rsidRDefault="0024434F">
      <w:pPr>
        <w:pStyle w:val="BodyText"/>
        <w:tabs>
          <w:tab w:val="left" w:pos="1440"/>
        </w:tabs>
        <w:snapToGrid w:val="0"/>
        <w:jc w:val="both"/>
      </w:pPr>
    </w:p>
    <w:p w:rsidR="0024434F" w:rsidRDefault="0024434F">
      <w:pPr>
        <w:pStyle w:val="BodyText"/>
        <w:tabs>
          <w:tab w:val="left" w:pos="1440"/>
        </w:tabs>
        <w:snapToGrid w:val="0"/>
        <w:spacing w:line="240" w:lineRule="auto"/>
        <w:ind w:left="1540" w:right="746"/>
        <w:jc w:val="both"/>
        <w:rPr>
          <w:sz w:val="24"/>
        </w:rPr>
      </w:pPr>
      <w:r>
        <w:rPr>
          <w:sz w:val="24"/>
        </w:rPr>
        <w:tab/>
        <w:t>“TAKE NOTICE that the 2</w:t>
      </w:r>
      <w:r>
        <w:rPr>
          <w:sz w:val="24"/>
          <w:vertAlign w:val="superscript"/>
        </w:rPr>
        <w:t>nd</w:t>
      </w:r>
      <w:r>
        <w:rPr>
          <w:sz w:val="24"/>
        </w:rPr>
        <w:t xml:space="preserve"> Defendant has paid a sum of HK$75,000.00 into court.</w:t>
      </w:r>
    </w:p>
    <w:p w:rsidR="0024434F" w:rsidRDefault="0024434F">
      <w:pPr>
        <w:pStyle w:val="BodyText"/>
        <w:tabs>
          <w:tab w:val="left" w:pos="1440"/>
        </w:tabs>
        <w:snapToGrid w:val="0"/>
        <w:spacing w:line="240" w:lineRule="auto"/>
        <w:ind w:left="1540" w:right="746"/>
        <w:jc w:val="both"/>
        <w:rPr>
          <w:sz w:val="24"/>
        </w:rPr>
      </w:pPr>
    </w:p>
    <w:p w:rsidR="0024434F" w:rsidRDefault="0024434F">
      <w:pPr>
        <w:pStyle w:val="BodyText"/>
        <w:tabs>
          <w:tab w:val="left" w:pos="1440"/>
        </w:tabs>
        <w:snapToGrid w:val="0"/>
        <w:spacing w:line="240" w:lineRule="auto"/>
        <w:ind w:left="1540" w:right="746"/>
        <w:jc w:val="both"/>
        <w:rPr>
          <w:rFonts w:hint="eastAsia"/>
          <w:sz w:val="24"/>
        </w:rPr>
      </w:pPr>
      <w:r>
        <w:rPr>
          <w:sz w:val="24"/>
        </w:rPr>
        <w:tab/>
        <w:t xml:space="preserve">The said sum of HK$75,000.00 is in satisfaction of </w:t>
      </w:r>
      <w:r>
        <w:rPr>
          <w:sz w:val="24"/>
          <w:u w:val="single"/>
        </w:rPr>
        <w:t>all the causes of action</w:t>
      </w:r>
      <w:r>
        <w:rPr>
          <w:sz w:val="24"/>
        </w:rPr>
        <w:t xml:space="preserve"> in respect of which the Plaintiff claims.”</w:t>
      </w:r>
    </w:p>
    <w:p w:rsidR="0024434F" w:rsidRDefault="0024434F">
      <w:pPr>
        <w:pStyle w:val="BodyText"/>
        <w:tabs>
          <w:tab w:val="left" w:pos="1440"/>
        </w:tabs>
        <w:snapToGrid w:val="0"/>
        <w:spacing w:line="240" w:lineRule="auto"/>
        <w:ind w:left="1540" w:right="746"/>
        <w:jc w:val="both"/>
        <w:rPr>
          <w:rFonts w:hint="eastAsia"/>
          <w:sz w:val="24"/>
        </w:rPr>
      </w:pPr>
      <w:r>
        <w:rPr>
          <w:rFonts w:hint="eastAsia"/>
          <w:sz w:val="24"/>
        </w:rPr>
        <w:t>(Underlines provided)</w:t>
      </w:r>
    </w:p>
    <w:p w:rsidR="0024434F" w:rsidRDefault="0024434F">
      <w:pPr>
        <w:pStyle w:val="BodyText"/>
        <w:tabs>
          <w:tab w:val="left" w:pos="1440"/>
        </w:tabs>
        <w:snapToGrid w:val="0"/>
        <w:jc w:val="both"/>
        <w:rPr>
          <w:rFonts w:hint="eastAsia"/>
        </w:rPr>
      </w:pPr>
    </w:p>
    <w:p w:rsidR="0024434F" w:rsidRDefault="0024434F">
      <w:pPr>
        <w:pStyle w:val="BodyText"/>
        <w:numPr>
          <w:ilvl w:val="0"/>
          <w:numId w:val="74"/>
        </w:numPr>
        <w:tabs>
          <w:tab w:val="clear" w:pos="2340"/>
          <w:tab w:val="left" w:pos="1440"/>
        </w:tabs>
        <w:snapToGrid w:val="0"/>
        <w:ind w:left="0"/>
        <w:jc w:val="both"/>
      </w:pPr>
      <w:r>
        <w:rPr>
          <w:rFonts w:hint="eastAsia"/>
        </w:rPr>
        <w:t>On 6.6.2008 the</w:t>
      </w:r>
      <w:r>
        <w:t xml:space="preserve"> Plaintiff filed and served a notice of acceptance of payment.  The notice reads:-</w:t>
      </w:r>
    </w:p>
    <w:p w:rsidR="0024434F" w:rsidRDefault="0024434F">
      <w:pPr>
        <w:pStyle w:val="BodyText"/>
        <w:tabs>
          <w:tab w:val="left" w:pos="1440"/>
        </w:tabs>
        <w:snapToGrid w:val="0"/>
        <w:jc w:val="both"/>
      </w:pPr>
    </w:p>
    <w:p w:rsidR="0024434F" w:rsidRDefault="0024434F">
      <w:pPr>
        <w:pStyle w:val="BodyText"/>
        <w:tabs>
          <w:tab w:val="left" w:pos="1440"/>
        </w:tabs>
        <w:snapToGrid w:val="0"/>
        <w:spacing w:line="240" w:lineRule="auto"/>
        <w:ind w:left="1540" w:right="746"/>
        <w:jc w:val="both"/>
        <w:rPr>
          <w:sz w:val="24"/>
        </w:rPr>
      </w:pPr>
      <w:r>
        <w:rPr>
          <w:sz w:val="24"/>
        </w:rPr>
        <w:tab/>
        <w:t>“TAKE NOTICE that the Plaintiff in this action accepts the sum of HK$75,000 paid into Court by the 2</w:t>
      </w:r>
      <w:r>
        <w:rPr>
          <w:sz w:val="24"/>
          <w:vertAlign w:val="superscript"/>
        </w:rPr>
        <w:t>nd</w:t>
      </w:r>
      <w:r>
        <w:rPr>
          <w:sz w:val="24"/>
        </w:rPr>
        <w:t xml:space="preserve"> Defendant on 23</w:t>
      </w:r>
      <w:r>
        <w:rPr>
          <w:sz w:val="24"/>
          <w:vertAlign w:val="superscript"/>
        </w:rPr>
        <w:t>rd</w:t>
      </w:r>
      <w:r>
        <w:rPr>
          <w:sz w:val="24"/>
        </w:rPr>
        <w:t xml:space="preserve"> May 2008 in satisfaction of all causes of action in respect of which it was paid in and in respect of which the Plaintiff claims.”</w:t>
      </w:r>
    </w:p>
    <w:p w:rsidR="0024434F" w:rsidRDefault="0024434F">
      <w:pPr>
        <w:pStyle w:val="BodyText"/>
        <w:tabs>
          <w:tab w:val="left" w:pos="1440"/>
        </w:tabs>
        <w:snapToGrid w:val="0"/>
        <w:jc w:val="both"/>
        <w:rPr>
          <w:rFonts w:hint="eastAsia"/>
        </w:rPr>
      </w:pPr>
    </w:p>
    <w:p w:rsidR="0024434F" w:rsidRDefault="0024434F">
      <w:pPr>
        <w:pStyle w:val="BodyText"/>
        <w:numPr>
          <w:ilvl w:val="0"/>
          <w:numId w:val="74"/>
        </w:numPr>
        <w:tabs>
          <w:tab w:val="clear" w:pos="2340"/>
          <w:tab w:val="left" w:pos="1440"/>
        </w:tabs>
        <w:snapToGrid w:val="0"/>
        <w:ind w:left="0"/>
        <w:jc w:val="both"/>
      </w:pPr>
      <w:r>
        <w:t>The fundamental question this Court has to consider is: what is the purpose of paying in this sum of HK$75,000.00.</w:t>
      </w:r>
      <w:r>
        <w:rPr>
          <w:rFonts w:hint="eastAsia"/>
        </w:rPr>
        <w:t xml:space="preserve">  </w:t>
      </w:r>
      <w:r>
        <w:t>There is only one cause of action against the 2</w:t>
      </w:r>
      <w:r>
        <w:rPr>
          <w:vertAlign w:val="superscript"/>
        </w:rPr>
        <w:t>nd</w:t>
      </w:r>
      <w:r>
        <w:t xml:space="preserve"> Defendant.</w:t>
      </w:r>
      <w:r>
        <w:rPr>
          <w:rFonts w:hint="eastAsia"/>
        </w:rPr>
        <w:t xml:space="preserve">  </w:t>
      </w:r>
      <w:r>
        <w:t>Was the payment made in satisfaction of the cause of action in respect of which the Plaintiff claims against the 2</w:t>
      </w:r>
      <w:r>
        <w:rPr>
          <w:vertAlign w:val="superscript"/>
        </w:rPr>
        <w:t>nd</w:t>
      </w:r>
      <w:r>
        <w:t xml:space="preserve"> Defendant only?  The answer must be in the negative, because</w:t>
      </w:r>
      <w:r>
        <w:rPr>
          <w:rFonts w:hint="eastAsia"/>
        </w:rPr>
        <w:t xml:space="preserve"> it</w:t>
      </w:r>
      <w:r>
        <w:t xml:space="preserve"> was not so stated in the notice of payment.  The notice of payment does not refer to the cause of action “against the 2</w:t>
      </w:r>
      <w:r>
        <w:rPr>
          <w:vertAlign w:val="superscript"/>
        </w:rPr>
        <w:t>nd</w:t>
      </w:r>
      <w:r>
        <w:t xml:space="preserve"> Defendant”.  The notice of payment refers to “all the causes of action in respect of which the Plaintiff claims”. </w:t>
      </w:r>
      <w:r>
        <w:rPr>
          <w:rFonts w:hint="eastAsia"/>
        </w:rPr>
        <w:t xml:space="preserve"> So the phrase </w:t>
      </w:r>
      <w:r>
        <w:t>“</w:t>
      </w:r>
      <w:r>
        <w:rPr>
          <w:rFonts w:hint="eastAsia"/>
        </w:rPr>
        <w:t xml:space="preserve">all the causes </w:t>
      </w:r>
      <w:r>
        <w:rPr>
          <w:rFonts w:hint="eastAsia"/>
        </w:rPr>
        <w:t xml:space="preserve">of </w:t>
      </w:r>
      <w:r>
        <w:t>action”</w:t>
      </w:r>
      <w:r>
        <w:rPr>
          <w:rFonts w:hint="eastAsia"/>
        </w:rPr>
        <w:t xml:space="preserve"> must cover</w:t>
      </w:r>
      <w:r>
        <w:t xml:space="preserve"> the causes of action against the 1</w:t>
      </w:r>
      <w:r>
        <w:rPr>
          <w:vertAlign w:val="superscript"/>
        </w:rPr>
        <w:t>st</w:t>
      </w:r>
      <w:r>
        <w:t xml:space="preserve"> Defendant, </w:t>
      </w:r>
      <w:r>
        <w:rPr>
          <w:rFonts w:hint="eastAsia"/>
        </w:rPr>
        <w:t xml:space="preserve">as well as </w:t>
      </w:r>
      <w:r>
        <w:t>the cause of action against the 2</w:t>
      </w:r>
      <w:r>
        <w:rPr>
          <w:vertAlign w:val="superscript"/>
        </w:rPr>
        <w:t>nd</w:t>
      </w:r>
      <w:r>
        <w:t xml:space="preserve"> Defendant.</w:t>
      </w:r>
      <w:r>
        <w:rPr>
          <w:rFonts w:hint="eastAsia"/>
        </w:rPr>
        <w:t xml:space="preserve">  </w:t>
      </w:r>
      <w:r>
        <w:t>If the 2</w:t>
      </w:r>
      <w:r>
        <w:rPr>
          <w:vertAlign w:val="superscript"/>
        </w:rPr>
        <w:t>nd</w:t>
      </w:r>
      <w:r>
        <w:t xml:space="preserve"> Defendant had intended to pay in $75,000 in satisfaction of the Plaintiff’s cause of action against the 2</w:t>
      </w:r>
      <w:r>
        <w:rPr>
          <w:vertAlign w:val="superscript"/>
        </w:rPr>
        <w:t>nd</w:t>
      </w:r>
      <w:r>
        <w:t xml:space="preserve"> Defendant only, it could have specified that cause of action; alternatively</w:t>
      </w:r>
      <w:r>
        <w:rPr>
          <w:rFonts w:hint="eastAsia"/>
        </w:rPr>
        <w:t>,</w:t>
      </w:r>
      <w:r>
        <w:t xml:space="preserve"> it could have specified that the money paid in is in satisfaction of the Plaintiff’s cause of action against the 2</w:t>
      </w:r>
      <w:r>
        <w:rPr>
          <w:vertAlign w:val="superscript"/>
        </w:rPr>
        <w:t>nd</w:t>
      </w:r>
      <w:r>
        <w:t xml:space="preserve"> Defendant only.</w:t>
      </w:r>
      <w:r>
        <w:rPr>
          <w:rFonts w:hint="eastAsia"/>
        </w:rPr>
        <w:t xml:space="preserve">  But it had not done so.   </w:t>
      </w:r>
      <w:r>
        <w:t>There is no ambiguity in th</w:t>
      </w:r>
      <w:r>
        <w:t>e notice of payment into court by the 2</w:t>
      </w:r>
      <w:r>
        <w:rPr>
          <w:vertAlign w:val="superscript"/>
        </w:rPr>
        <w:t>nd</w:t>
      </w:r>
      <w:r>
        <w:t xml:space="preserve"> Defendant.  It must be given the effect according to law.</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rPr>
          <w:rFonts w:hint="eastAsia"/>
        </w:rPr>
        <w:t>What is the effect of the Plaintiff</w:t>
      </w:r>
      <w:r>
        <w:t>’</w:t>
      </w:r>
      <w:r>
        <w:rPr>
          <w:rFonts w:hint="eastAsia"/>
        </w:rPr>
        <w:t xml:space="preserve">s acceptance of the payment in? The answer lies in </w:t>
      </w:r>
      <w:r>
        <w:t>Order 22 r.3(4)</w:t>
      </w:r>
      <w:r>
        <w:rPr>
          <w:rFonts w:hint="eastAsia"/>
        </w:rPr>
        <w:t xml:space="preserve"> of the Rules of the District Court (</w:t>
      </w:r>
      <w:r>
        <w:t>“</w:t>
      </w:r>
      <w:r>
        <w:rPr>
          <w:rFonts w:hint="eastAsia"/>
        </w:rPr>
        <w:t>RDC</w:t>
      </w:r>
      <w:r>
        <w:t>”</w:t>
      </w:r>
      <w:r>
        <w:rPr>
          <w:rFonts w:hint="eastAsia"/>
        </w:rPr>
        <w:t>), which</w:t>
      </w:r>
      <w:r>
        <w:t xml:space="preserve"> provides:-</w:t>
      </w:r>
    </w:p>
    <w:p w:rsidR="0024434F" w:rsidRDefault="0024434F">
      <w:pPr>
        <w:pStyle w:val="BodyText"/>
        <w:tabs>
          <w:tab w:val="left" w:pos="1440"/>
        </w:tabs>
        <w:snapToGrid w:val="0"/>
        <w:jc w:val="both"/>
      </w:pPr>
    </w:p>
    <w:p w:rsidR="0024434F" w:rsidRDefault="0024434F">
      <w:pPr>
        <w:pStyle w:val="BodyText"/>
        <w:tabs>
          <w:tab w:val="left" w:pos="2100"/>
        </w:tabs>
        <w:snapToGrid w:val="0"/>
        <w:spacing w:line="240" w:lineRule="auto"/>
        <w:ind w:left="2100" w:right="746" w:hanging="560"/>
        <w:jc w:val="both"/>
        <w:rPr>
          <w:sz w:val="24"/>
        </w:rPr>
      </w:pPr>
      <w:r>
        <w:rPr>
          <w:sz w:val="24"/>
        </w:rPr>
        <w:t xml:space="preserve">“(4) </w:t>
      </w:r>
      <w:r>
        <w:rPr>
          <w:sz w:val="24"/>
        </w:rPr>
        <w:tab/>
        <w:t>On the plaintiff accepting any money paid into court all further proceedings in the action or in respect of the specified cause or causes of action, as the case may be, to which the acceptance relates, both against the defendant making the payment and against any other defendant sued jointly with or in the alternative to him, shall be stayed.”</w:t>
      </w:r>
    </w:p>
    <w:p w:rsidR="0024434F" w:rsidRDefault="0024434F">
      <w:pPr>
        <w:pStyle w:val="BodyText"/>
        <w:tabs>
          <w:tab w:val="left" w:pos="1440"/>
        </w:tabs>
        <w:snapToGrid w:val="0"/>
        <w:spacing w:line="240" w:lineRule="auto"/>
        <w:ind w:left="1540" w:right="746"/>
        <w:jc w:val="both"/>
        <w:rPr>
          <w:sz w:val="24"/>
        </w:rPr>
      </w:pPr>
    </w:p>
    <w:p w:rsidR="0024434F" w:rsidRDefault="0024434F">
      <w:pPr>
        <w:pStyle w:val="BodyText"/>
        <w:tabs>
          <w:tab w:val="left" w:pos="1440"/>
        </w:tabs>
        <w:snapToGrid w:val="0"/>
        <w:jc w:val="both"/>
      </w:pPr>
    </w:p>
    <w:p w:rsidR="0024434F" w:rsidRDefault="0024434F">
      <w:pPr>
        <w:pStyle w:val="BodyText"/>
        <w:tabs>
          <w:tab w:val="left" w:pos="1440"/>
        </w:tabs>
        <w:snapToGrid w:val="0"/>
        <w:jc w:val="both"/>
      </w:pPr>
      <w:r>
        <w:t>The 2</w:t>
      </w:r>
      <w:r>
        <w:rPr>
          <w:vertAlign w:val="superscript"/>
        </w:rPr>
        <w:t>nd</w:t>
      </w:r>
      <w:r>
        <w:t xml:space="preserve"> Defendant submits that “Since the 1</w:t>
      </w:r>
      <w:r>
        <w:rPr>
          <w:vertAlign w:val="superscript"/>
        </w:rPr>
        <w:t>st</w:t>
      </w:r>
      <w:r>
        <w:t xml:space="preserve"> and 2</w:t>
      </w:r>
      <w:r>
        <w:rPr>
          <w:vertAlign w:val="superscript"/>
        </w:rPr>
        <w:t>nd</w:t>
      </w:r>
      <w:r>
        <w:t xml:space="preserve"> Defendants are sued in different causes of action, acceptance of the 2</w:t>
      </w:r>
      <w:r>
        <w:rPr>
          <w:vertAlign w:val="superscript"/>
        </w:rPr>
        <w:t>nd</w:t>
      </w:r>
      <w:r>
        <w:t xml:space="preserve"> Defendant’s payment into court by the Plaintiff does not have the effect of staying the Plaintiff’s proceedings against the 1</w:t>
      </w:r>
      <w:r>
        <w:rPr>
          <w:vertAlign w:val="superscript"/>
        </w:rPr>
        <w:t>st</w:t>
      </w:r>
      <w:r>
        <w:t xml:space="preserve"> Defendant.”  This submission cannot stand, because the 2</w:t>
      </w:r>
      <w:r>
        <w:rPr>
          <w:vertAlign w:val="superscript"/>
        </w:rPr>
        <w:t>nd</w:t>
      </w:r>
      <w:r>
        <w:t xml:space="preserve"> Defendant’s payment is “in satisfaction of </w:t>
      </w:r>
      <w:r>
        <w:rPr>
          <w:rFonts w:hint="eastAsia"/>
        </w:rPr>
        <w:t xml:space="preserve">all </w:t>
      </w:r>
      <w:r>
        <w:t>the cause</w:t>
      </w:r>
      <w:r>
        <w:rPr>
          <w:rFonts w:hint="eastAsia"/>
        </w:rPr>
        <w:t>s</w:t>
      </w:r>
      <w:r>
        <w:t xml:space="preserve"> of action the Plaintiff claims”</w:t>
      </w:r>
      <w:r>
        <w:rPr>
          <w:rFonts w:hint="eastAsia"/>
        </w:rPr>
        <w:t>,</w:t>
      </w:r>
      <w:r>
        <w:t xml:space="preserve"> and the Plaintiff has accepted such payment in. </w:t>
      </w:r>
      <w:r>
        <w:rPr>
          <w:rFonts w:hint="eastAsia"/>
        </w:rPr>
        <w:t xml:space="preserve"> Accordingly </w:t>
      </w:r>
      <w:r>
        <w:t>O.22 r.3(4) of the RDC applies, and all further pro</w:t>
      </w:r>
      <w:r>
        <w:t>ceedings in the action</w:t>
      </w:r>
      <w:r>
        <w:rPr>
          <w:rFonts w:hint="eastAsia"/>
        </w:rPr>
        <w:t xml:space="preserve"> against both Defendants</w:t>
      </w:r>
      <w:r>
        <w:t xml:space="preserve"> must be stayed.</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t>Order 62, r.10(2) of the RDC reads:-</w:t>
      </w:r>
    </w:p>
    <w:p w:rsidR="0024434F" w:rsidRDefault="0024434F">
      <w:pPr>
        <w:pStyle w:val="BodyText"/>
        <w:tabs>
          <w:tab w:val="left" w:pos="1440"/>
        </w:tabs>
        <w:snapToGrid w:val="0"/>
        <w:jc w:val="both"/>
      </w:pPr>
    </w:p>
    <w:p w:rsidR="0024434F" w:rsidRDefault="0024434F">
      <w:pPr>
        <w:pStyle w:val="BodyText"/>
        <w:tabs>
          <w:tab w:val="left" w:pos="2100"/>
        </w:tabs>
        <w:snapToGrid w:val="0"/>
        <w:ind w:left="2100" w:right="746" w:hanging="560"/>
        <w:jc w:val="both"/>
      </w:pPr>
      <w:r>
        <w:t>“(2)</w:t>
      </w:r>
      <w:r>
        <w:tab/>
        <w:t>Where a plaintiff by notice in writing in accordance with Order 22, rule 3(1), accepts money paid into court in satisfaction of the cause of action or of all the causes of action in respect of which he claims, or accepts money paid in satisfaction if one or more specified causes of action and gives notice that he abandons the others, he shall be entitled to his costs of the action incurred up to the time of giving notice of acceptance.”</w:t>
      </w:r>
    </w:p>
    <w:p w:rsidR="0024434F" w:rsidRDefault="0024434F">
      <w:pPr>
        <w:pStyle w:val="BodyText"/>
        <w:tabs>
          <w:tab w:val="left" w:pos="1440"/>
        </w:tabs>
        <w:snapToGrid w:val="0"/>
        <w:jc w:val="both"/>
      </w:pPr>
    </w:p>
    <w:p w:rsidR="0024434F" w:rsidRDefault="0024434F">
      <w:pPr>
        <w:pStyle w:val="BodyText"/>
        <w:tabs>
          <w:tab w:val="left" w:pos="1440"/>
        </w:tabs>
        <w:snapToGrid w:val="0"/>
        <w:jc w:val="both"/>
      </w:pPr>
      <w:r>
        <w:t>Order 62, r.10(2) applies to the present case.  Therefore item 2 of the summons should succeed.</w:t>
      </w:r>
      <w:r>
        <w:rPr>
          <w:rFonts w:hint="eastAsia"/>
        </w:rPr>
        <w:t xml:space="preserve">  But</w:t>
      </w:r>
      <w:r>
        <w:t xml:space="preserve"> the costs </w:t>
      </w:r>
      <w:r>
        <w:rPr>
          <w:rFonts w:hint="eastAsia"/>
        </w:rPr>
        <w:t>should be those</w:t>
      </w:r>
      <w:r>
        <w:t xml:space="preserve"> incurred </w:t>
      </w:r>
      <w:r>
        <w:rPr>
          <w:rFonts w:hint="eastAsia"/>
        </w:rPr>
        <w:t xml:space="preserve">by the Plaintiff </w:t>
      </w:r>
      <w:r>
        <w:t>up to the time of giving notice of acceptance.</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t>Section 53A of the District Court Ordinance provides that “The costs of and incidental to all proceedings in the Court, including the administration of estates and trusts, are in the discretion of the Court, and the Court has full power to determine by whom and to what extent the costs are to be paid.”</w:t>
      </w:r>
      <w:r>
        <w:rPr>
          <w:rFonts w:hint="eastAsia"/>
        </w:rPr>
        <w:t xml:space="preserve">  </w:t>
      </w:r>
      <w:r>
        <w:t>As a result of the Plaintiff’s accepting the payment in by the 2</w:t>
      </w:r>
      <w:r>
        <w:rPr>
          <w:vertAlign w:val="superscript"/>
        </w:rPr>
        <w:t>nd</w:t>
      </w:r>
      <w:r>
        <w:t xml:space="preserve"> Defendant all further proceedings in the action have been stayed.  Under O.62 10(2) of </w:t>
      </w:r>
      <w:r>
        <w:rPr>
          <w:rFonts w:hint="eastAsia"/>
        </w:rPr>
        <w:t xml:space="preserve">the </w:t>
      </w:r>
      <w:r>
        <w:t>RDC, the Plaintiff is entitled to costs incurred up to the time of giving notice of acceptance.</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t xml:space="preserve">The Plaintiff is entitled to have the claims heard at a trial so that liability </w:t>
      </w:r>
      <w:r>
        <w:rPr>
          <w:rFonts w:hint="eastAsia"/>
        </w:rPr>
        <w:t xml:space="preserve">among </w:t>
      </w:r>
      <w:r>
        <w:t>the parties can be determined.  Because of the payment in by the 2</w:t>
      </w:r>
      <w:r>
        <w:rPr>
          <w:vertAlign w:val="superscript"/>
        </w:rPr>
        <w:t>nd</w:t>
      </w:r>
      <w:r>
        <w:t xml:space="preserve"> Defendant</w:t>
      </w:r>
      <w:r>
        <w:rPr>
          <w:rFonts w:hint="eastAsia"/>
        </w:rPr>
        <w:t>, all</w:t>
      </w:r>
      <w:r>
        <w:t xml:space="preserve"> further proceedings are stayed and there will be no trial to determine liability.  As a result under Order 62, r.10 (2) of the RDC he is awarded costs for all the expenses incurred up to the time of his giving notice of accepting the payment into Court by the 2</w:t>
      </w:r>
      <w:r>
        <w:rPr>
          <w:vertAlign w:val="superscript"/>
        </w:rPr>
        <w:t>nd</w:t>
      </w:r>
      <w:r>
        <w:t xml:space="preserve"> Defendant.  A</w:t>
      </w:r>
      <w:r>
        <w:rPr>
          <w:rFonts w:hint="eastAsia"/>
        </w:rPr>
        <w:t xml:space="preserve">pplying </w:t>
      </w:r>
      <w:r>
        <w:t>the same logic,</w:t>
      </w:r>
      <w:r>
        <w:rPr>
          <w:rFonts w:hint="eastAsia"/>
        </w:rPr>
        <w:t xml:space="preserve"> I adjudge that</w:t>
      </w:r>
      <w:r>
        <w:t xml:space="preserve"> the 1</w:t>
      </w:r>
      <w:r>
        <w:rPr>
          <w:vertAlign w:val="superscript"/>
        </w:rPr>
        <w:t>st</w:t>
      </w:r>
      <w:r>
        <w:t xml:space="preserve"> Defendant is entitled to have the claims brought against it heard at a trial for the purpose of de</w:t>
      </w:r>
      <w:r>
        <w:t>termining liability.  Because of the payment in by the 2</w:t>
      </w:r>
      <w:r>
        <w:rPr>
          <w:vertAlign w:val="superscript"/>
        </w:rPr>
        <w:t>nd</w:t>
      </w:r>
      <w:r>
        <w:t xml:space="preserve"> Defendant, the trial will never materialize.  So all the expenses it incurred up to the time</w:t>
      </w:r>
      <w:r>
        <w:rPr>
          <w:rFonts w:hint="eastAsia"/>
        </w:rPr>
        <w:t xml:space="preserve"> it received </w:t>
      </w:r>
      <w:r>
        <w:t>the Plaintiff’</w:t>
      </w:r>
      <w:r>
        <w:rPr>
          <w:rFonts w:hint="eastAsia"/>
        </w:rPr>
        <w:t xml:space="preserve">s </w:t>
      </w:r>
      <w:r>
        <w:t>notice of his acceptance of the payment in will be wasted.  It is the 2</w:t>
      </w:r>
      <w:r>
        <w:rPr>
          <w:vertAlign w:val="superscript"/>
        </w:rPr>
        <w:t>nd</w:t>
      </w:r>
      <w:r>
        <w:t xml:space="preserve"> Defendant which brought about this situation; so the 2</w:t>
      </w:r>
      <w:r>
        <w:rPr>
          <w:vertAlign w:val="superscript"/>
        </w:rPr>
        <w:t>nd</w:t>
      </w:r>
      <w:r>
        <w:t xml:space="preserve"> Defendant must </w:t>
      </w:r>
      <w:r>
        <w:rPr>
          <w:rFonts w:hint="eastAsia"/>
        </w:rPr>
        <w:t>compensate the 1</w:t>
      </w:r>
      <w:r>
        <w:rPr>
          <w:rFonts w:hint="eastAsia"/>
          <w:vertAlign w:val="superscript"/>
        </w:rPr>
        <w:t>st</w:t>
      </w:r>
      <w:r>
        <w:rPr>
          <w:rFonts w:hint="eastAsia"/>
        </w:rPr>
        <w:t xml:space="preserve"> Defendant, and </w:t>
      </w:r>
      <w:r>
        <w:t>pay to it all the costs up to the time it received the Plaintiff’s acceptance of the payment in.  I</w:t>
      </w:r>
      <w:r>
        <w:rPr>
          <w:rFonts w:hint="eastAsia"/>
        </w:rPr>
        <w:t>n this regard</w:t>
      </w:r>
      <w:r>
        <w:t xml:space="preserve"> the Plaintiff succeeds in item 3 of the</w:t>
      </w:r>
      <w:r>
        <w:t xml:space="preserve"> Summons.</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t>The 2</w:t>
      </w:r>
      <w:r>
        <w:rPr>
          <w:vertAlign w:val="superscript"/>
        </w:rPr>
        <w:t>nd</w:t>
      </w:r>
      <w:r>
        <w:t xml:space="preserve"> Defendant cited the judgment of the Hon. Mr. Justice Yam at P.129 of the General Accident Insurance Asia Ltd. v. Hampton Winter &amp; Glynn and Hill Taylor Dickinson [1999] 2 HKLRD 109.  That judgment does not apply in this case because in </w:t>
      </w:r>
      <w:r>
        <w:rPr>
          <w:rFonts w:hint="eastAsia"/>
        </w:rPr>
        <w:t>that case</w:t>
      </w:r>
      <w:r>
        <w:t xml:space="preserve"> the payments-in made by one co-defendant did not stay the action against the other non-paying defendant.  That case involves a difference scenario. </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rPr>
          <w:rFonts w:hint="eastAsia"/>
        </w:rPr>
      </w:pPr>
      <w:r>
        <w:t>The 2</w:t>
      </w:r>
      <w:r>
        <w:rPr>
          <w:vertAlign w:val="superscript"/>
        </w:rPr>
        <w:t>nd</w:t>
      </w:r>
      <w:r>
        <w:t xml:space="preserve"> Defendant also cited the case of Pang Lai Hung v. Maxson Transportation Limited and Others (DCPI 1565/2005), and submitted that “Furthermore, the question to be considered in awarding costs ultimately rests on liability and liability cannot be determined until there is a full trial of the case or until there is an admission of liability by the party concerned.”  The scenario in that case appears to be different from the present case.  That case involved 3 defendants.  It appears that the payment in by 2 </w:t>
      </w:r>
      <w:r>
        <w:t xml:space="preserve">defendants did not </w:t>
      </w:r>
      <w:r>
        <w:rPr>
          <w:rFonts w:hint="eastAsia"/>
        </w:rPr>
        <w:t>affect the proceedings against the 3</w:t>
      </w:r>
      <w:r>
        <w:rPr>
          <w:rFonts w:hint="eastAsia"/>
          <w:vertAlign w:val="superscript"/>
        </w:rPr>
        <w:t>rd</w:t>
      </w:r>
      <w:r>
        <w:rPr>
          <w:rFonts w:hint="eastAsia"/>
        </w:rPr>
        <w:t xml:space="preserve"> Defendant.</w:t>
      </w:r>
      <w:r>
        <w:t xml:space="preserve"> So that case is of no assistance to the 2</w:t>
      </w:r>
      <w:r>
        <w:rPr>
          <w:vertAlign w:val="superscript"/>
        </w:rPr>
        <w:t>nd</w:t>
      </w:r>
      <w:r>
        <w:t xml:space="preserve"> </w:t>
      </w:r>
      <w:r>
        <w:rPr>
          <w:rFonts w:hint="eastAsia"/>
        </w:rPr>
        <w:t>Defendant.</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rPr>
          <w:rFonts w:hint="eastAsia"/>
        </w:rPr>
        <w:t>There is no opposition to item 1 of the Summons.</w:t>
      </w:r>
    </w:p>
    <w:p w:rsidR="0024434F" w:rsidRDefault="0024434F">
      <w:pPr>
        <w:pStyle w:val="BodyText"/>
        <w:tabs>
          <w:tab w:val="left" w:pos="1440"/>
        </w:tabs>
        <w:snapToGrid w:val="0"/>
        <w:jc w:val="both"/>
      </w:pPr>
    </w:p>
    <w:p w:rsidR="0024434F" w:rsidRDefault="0024434F">
      <w:pPr>
        <w:pStyle w:val="BodyText"/>
        <w:numPr>
          <w:ilvl w:val="0"/>
          <w:numId w:val="74"/>
        </w:numPr>
        <w:tabs>
          <w:tab w:val="clear" w:pos="2340"/>
          <w:tab w:val="left" w:pos="1440"/>
        </w:tabs>
        <w:snapToGrid w:val="0"/>
        <w:ind w:left="0"/>
        <w:jc w:val="both"/>
      </w:pPr>
      <w:r>
        <w:t>By reason of the matters aforesaid, I make the following orders:-</w:t>
      </w:r>
    </w:p>
    <w:p w:rsidR="0024434F" w:rsidRDefault="0024434F">
      <w:pPr>
        <w:pStyle w:val="BodyText"/>
        <w:tabs>
          <w:tab w:val="left" w:pos="1440"/>
        </w:tabs>
        <w:snapToGrid w:val="0"/>
        <w:jc w:val="both"/>
      </w:pPr>
      <w:r>
        <w:tab/>
      </w:r>
    </w:p>
    <w:p w:rsidR="0024434F" w:rsidRDefault="0024434F">
      <w:pPr>
        <w:pStyle w:val="BodyText"/>
        <w:numPr>
          <w:ilvl w:val="0"/>
          <w:numId w:val="76"/>
        </w:numPr>
        <w:tabs>
          <w:tab w:val="clear" w:pos="1800"/>
          <w:tab w:val="left" w:pos="1440"/>
          <w:tab w:val="num" w:pos="2100"/>
        </w:tabs>
        <w:snapToGrid w:val="0"/>
        <w:ind w:left="2100" w:hanging="660"/>
        <w:jc w:val="both"/>
      </w:pPr>
      <w:r>
        <w:t>Regarding item 1, I make an order in terms of this item.</w:t>
      </w:r>
    </w:p>
    <w:p w:rsidR="0024434F" w:rsidRDefault="0024434F">
      <w:pPr>
        <w:pStyle w:val="BodyText"/>
        <w:tabs>
          <w:tab w:val="left" w:pos="1440"/>
          <w:tab w:val="num" w:pos="2100"/>
        </w:tabs>
        <w:snapToGrid w:val="0"/>
        <w:ind w:left="2100" w:hanging="660"/>
        <w:jc w:val="both"/>
      </w:pPr>
    </w:p>
    <w:p w:rsidR="0024434F" w:rsidRDefault="0024434F">
      <w:pPr>
        <w:pStyle w:val="BodyText"/>
        <w:numPr>
          <w:ilvl w:val="0"/>
          <w:numId w:val="76"/>
        </w:numPr>
        <w:tabs>
          <w:tab w:val="clear" w:pos="1800"/>
          <w:tab w:val="left" w:pos="1440"/>
          <w:tab w:val="num" w:pos="2100"/>
        </w:tabs>
        <w:snapToGrid w:val="0"/>
        <w:ind w:left="2100" w:hanging="660"/>
        <w:jc w:val="both"/>
      </w:pPr>
      <w:r>
        <w:t>Regarding item 2, I order that the 2</w:t>
      </w:r>
      <w:r>
        <w:rPr>
          <w:vertAlign w:val="superscript"/>
        </w:rPr>
        <w:t>nd</w:t>
      </w:r>
      <w:r>
        <w:t xml:space="preserve"> Defendant do pay the Plaintiff costs of this action, up to the time of giving notice of</w:t>
      </w:r>
      <w:r>
        <w:rPr>
          <w:rFonts w:hint="eastAsia"/>
        </w:rPr>
        <w:t xml:space="preserve"> acceptance of the </w:t>
      </w:r>
      <w:r>
        <w:t>payment in, to be taxed, if not agreed, and such costs to include all costs incurred by reason of there being two defendants.</w:t>
      </w:r>
    </w:p>
    <w:p w:rsidR="0024434F" w:rsidRDefault="0024434F">
      <w:pPr>
        <w:pStyle w:val="BodyText"/>
        <w:tabs>
          <w:tab w:val="left" w:pos="1440"/>
          <w:tab w:val="num" w:pos="2100"/>
        </w:tabs>
        <w:snapToGrid w:val="0"/>
        <w:ind w:left="2100" w:hanging="660"/>
        <w:jc w:val="both"/>
      </w:pPr>
    </w:p>
    <w:p w:rsidR="0024434F" w:rsidRDefault="0024434F">
      <w:pPr>
        <w:pStyle w:val="BodyText"/>
        <w:numPr>
          <w:ilvl w:val="0"/>
          <w:numId w:val="76"/>
        </w:numPr>
        <w:tabs>
          <w:tab w:val="clear" w:pos="1800"/>
          <w:tab w:val="left" w:pos="1440"/>
          <w:tab w:val="num" w:pos="2100"/>
        </w:tabs>
        <w:snapToGrid w:val="0"/>
        <w:ind w:left="2100" w:hanging="660"/>
        <w:jc w:val="both"/>
        <w:rPr>
          <w:rFonts w:hint="eastAsia"/>
        </w:rPr>
      </w:pPr>
      <w:r>
        <w:t>Regarding item 3, I order that the 2</w:t>
      </w:r>
      <w:r>
        <w:rPr>
          <w:vertAlign w:val="superscript"/>
        </w:rPr>
        <w:t>nd</w:t>
      </w:r>
      <w:r>
        <w:t xml:space="preserve"> Defendant do pay  the 1</w:t>
      </w:r>
      <w:r>
        <w:rPr>
          <w:vertAlign w:val="superscript"/>
        </w:rPr>
        <w:t>st</w:t>
      </w:r>
      <w:r>
        <w:t xml:space="preserve"> Defendant costs of defending this action, up to the time the 1</w:t>
      </w:r>
      <w:r>
        <w:rPr>
          <w:vertAlign w:val="superscript"/>
        </w:rPr>
        <w:t>st</w:t>
      </w:r>
      <w:r>
        <w:t xml:space="preserve"> Defendant received the Plaintiff’s notice of </w:t>
      </w:r>
      <w:r>
        <w:rPr>
          <w:rFonts w:hint="eastAsia"/>
        </w:rPr>
        <w:t xml:space="preserve"> </w:t>
      </w:r>
      <w:r>
        <w:t xml:space="preserve">acceptance of </w:t>
      </w:r>
      <w:r>
        <w:rPr>
          <w:rFonts w:hint="eastAsia"/>
        </w:rPr>
        <w:t xml:space="preserve">the </w:t>
      </w:r>
      <w:r>
        <w:t>payment in, to be taxed, if not agreed.</w:t>
      </w:r>
    </w:p>
    <w:p w:rsidR="0024434F" w:rsidRDefault="0024434F">
      <w:pPr>
        <w:pStyle w:val="BodyText"/>
        <w:tabs>
          <w:tab w:val="left" w:pos="1440"/>
        </w:tabs>
        <w:snapToGrid w:val="0"/>
        <w:jc w:val="both"/>
        <w:rPr>
          <w:u w:val="single"/>
        </w:rPr>
      </w:pPr>
      <w:r>
        <w:rPr>
          <w:u w:val="single"/>
        </w:rPr>
        <w:t>Costs</w:t>
      </w:r>
    </w:p>
    <w:p w:rsidR="0024434F" w:rsidRDefault="0024434F">
      <w:pPr>
        <w:pStyle w:val="BodyText"/>
        <w:tabs>
          <w:tab w:val="left" w:pos="1440"/>
        </w:tabs>
        <w:snapToGrid w:val="0"/>
        <w:jc w:val="both"/>
      </w:pPr>
    </w:p>
    <w:p w:rsidR="0024434F" w:rsidRDefault="0024434F">
      <w:pPr>
        <w:pStyle w:val="BodyText"/>
        <w:numPr>
          <w:ilvl w:val="0"/>
          <w:numId w:val="74"/>
        </w:numPr>
        <w:tabs>
          <w:tab w:val="left" w:pos="1440"/>
        </w:tabs>
        <w:snapToGrid w:val="0"/>
        <w:ind w:left="0"/>
        <w:jc w:val="both"/>
      </w:pPr>
      <w:r>
        <w:t>I make an order nisi, to be made absolute in 14 days’ time</w:t>
      </w:r>
      <w:r>
        <w:rPr>
          <w:rFonts w:hint="eastAsia"/>
        </w:rPr>
        <w:t>,</w:t>
      </w:r>
      <w:r>
        <w:t xml:space="preserve"> that the 2</w:t>
      </w:r>
      <w:r>
        <w:rPr>
          <w:vertAlign w:val="superscript"/>
        </w:rPr>
        <w:t>nd</w:t>
      </w:r>
      <w:r>
        <w:t xml:space="preserve"> Defendant do pay costs of this summons to the Plaintiff and to the 1</w:t>
      </w:r>
      <w:r>
        <w:rPr>
          <w:vertAlign w:val="superscript"/>
        </w:rPr>
        <w:t>st</w:t>
      </w:r>
      <w:r>
        <w:t xml:space="preserve"> Defendant, to be taxed, if not agreed.</w:t>
      </w:r>
    </w:p>
    <w:p w:rsidR="0024434F" w:rsidRDefault="0024434F">
      <w:pPr>
        <w:pStyle w:val="BodyText"/>
        <w:tabs>
          <w:tab w:val="left" w:pos="1440"/>
        </w:tabs>
        <w:snapToGrid w:val="0"/>
        <w:jc w:val="both"/>
      </w:pPr>
    </w:p>
    <w:p w:rsidR="0024434F" w:rsidRDefault="0024434F">
      <w:pPr>
        <w:pStyle w:val="BodyText"/>
        <w:tabs>
          <w:tab w:val="left" w:pos="1440"/>
        </w:tabs>
        <w:snapToGrid w:val="0"/>
        <w:jc w:val="both"/>
      </w:pPr>
    </w:p>
    <w:p w:rsidR="0024434F" w:rsidRDefault="0024434F">
      <w:pPr>
        <w:pStyle w:val="BodyText"/>
        <w:snapToGrid w:val="0"/>
        <w:jc w:val="both"/>
      </w:pPr>
    </w:p>
    <w:p w:rsidR="0024434F" w:rsidRDefault="0024434F">
      <w:pPr>
        <w:pStyle w:val="BodyText"/>
        <w:tabs>
          <w:tab w:val="center" w:pos="6480"/>
        </w:tabs>
        <w:snapToGrid w:val="0"/>
        <w:spacing w:line="240" w:lineRule="auto"/>
        <w:rPr>
          <w:rFonts w:hint="eastAsia"/>
        </w:rPr>
      </w:pPr>
      <w:r>
        <w:rPr>
          <w:rFonts w:hint="eastAsia"/>
        </w:rPr>
        <w:tab/>
        <w:t>( S. Chow )</w:t>
      </w:r>
    </w:p>
    <w:p w:rsidR="0024434F" w:rsidRDefault="0024434F">
      <w:pPr>
        <w:pStyle w:val="BodyText"/>
        <w:tabs>
          <w:tab w:val="center" w:pos="6480"/>
        </w:tabs>
        <w:snapToGrid w:val="0"/>
        <w:spacing w:line="240" w:lineRule="auto"/>
        <w:rPr>
          <w:rFonts w:hint="eastAsia"/>
        </w:rPr>
      </w:pPr>
      <w:r>
        <w:rPr>
          <w:rFonts w:hint="eastAsia"/>
        </w:rPr>
        <w:tab/>
        <w:t>District Judge</w:t>
      </w:r>
    </w:p>
    <w:p w:rsidR="0024434F" w:rsidRDefault="0024434F">
      <w:pPr>
        <w:pStyle w:val="BodyText"/>
        <w:tabs>
          <w:tab w:val="left" w:pos="1440"/>
        </w:tabs>
        <w:snapToGrid w:val="0"/>
        <w:spacing w:line="240" w:lineRule="auto"/>
        <w:rPr>
          <w:rFonts w:hint="eastAsia"/>
        </w:rPr>
      </w:pPr>
    </w:p>
    <w:p w:rsidR="0024434F" w:rsidRDefault="0024434F">
      <w:pPr>
        <w:pStyle w:val="BodyText"/>
        <w:tabs>
          <w:tab w:val="left" w:pos="1440"/>
        </w:tabs>
        <w:snapToGrid w:val="0"/>
        <w:spacing w:line="240" w:lineRule="auto"/>
        <w:rPr>
          <w:rFonts w:hint="eastAsia"/>
        </w:rPr>
      </w:pPr>
    </w:p>
    <w:p w:rsidR="0024434F" w:rsidRDefault="0024434F">
      <w:pPr>
        <w:pStyle w:val="BodyText"/>
        <w:tabs>
          <w:tab w:val="left" w:pos="1440"/>
        </w:tabs>
        <w:snapToGrid w:val="0"/>
        <w:spacing w:line="240" w:lineRule="auto"/>
      </w:pPr>
    </w:p>
    <w:p w:rsidR="0024434F" w:rsidRDefault="0024434F">
      <w:pPr>
        <w:pStyle w:val="BodyText"/>
        <w:tabs>
          <w:tab w:val="left" w:pos="1820"/>
          <w:tab w:val="left" w:pos="2660"/>
        </w:tabs>
        <w:snapToGrid w:val="0"/>
        <w:spacing w:line="240" w:lineRule="auto"/>
        <w:ind w:left="2660" w:hanging="2660"/>
        <w:jc w:val="both"/>
      </w:pPr>
      <w:r>
        <w:t>T</w:t>
      </w:r>
      <w:r>
        <w:rPr>
          <w:rFonts w:hint="eastAsia"/>
        </w:rPr>
        <w:t xml:space="preserve">he </w:t>
      </w:r>
      <w:r>
        <w:t xml:space="preserve">Plaintiff </w:t>
      </w:r>
      <w:r>
        <w:tab/>
        <w:t xml:space="preserve">    :</w:t>
      </w:r>
      <w:r>
        <w:rPr>
          <w:rFonts w:hint="eastAsia"/>
        </w:rPr>
        <w:t xml:space="preserve"> </w:t>
      </w:r>
      <w:r>
        <w:rPr>
          <w:rFonts w:hint="eastAsia"/>
        </w:rPr>
        <w:tab/>
      </w:r>
      <w:r>
        <w:t>represented by Mr. Kevin Chan of M/S. Tang, Chan &amp; Woo, Solicitors.</w:t>
      </w:r>
    </w:p>
    <w:p w:rsidR="0024434F" w:rsidRDefault="0024434F">
      <w:pPr>
        <w:pStyle w:val="BodyText"/>
        <w:tabs>
          <w:tab w:val="left" w:pos="1820"/>
          <w:tab w:val="left" w:pos="2380"/>
        </w:tabs>
        <w:snapToGrid w:val="0"/>
        <w:spacing w:line="240" w:lineRule="auto"/>
        <w:ind w:left="2380" w:hanging="2380"/>
        <w:jc w:val="both"/>
        <w:rPr>
          <w:rFonts w:hint="eastAsia"/>
        </w:rPr>
      </w:pPr>
    </w:p>
    <w:p w:rsidR="0024434F" w:rsidRDefault="0024434F">
      <w:pPr>
        <w:pStyle w:val="BodyText"/>
        <w:tabs>
          <w:tab w:val="left" w:pos="1820"/>
          <w:tab w:val="left" w:pos="2660"/>
        </w:tabs>
        <w:snapToGrid w:val="0"/>
        <w:spacing w:line="240" w:lineRule="auto"/>
        <w:ind w:left="2660" w:hanging="2660"/>
        <w:jc w:val="both"/>
      </w:pPr>
      <w:r>
        <w:t>The 1</w:t>
      </w:r>
      <w:r>
        <w:rPr>
          <w:vertAlign w:val="superscript"/>
        </w:rPr>
        <w:t>st</w:t>
      </w:r>
      <w:r>
        <w:t xml:space="preserve"> Defendant  :</w:t>
      </w:r>
      <w:r>
        <w:tab/>
        <w:t>represented by Miss Jane Lee of M/S. JSM, Solicitors.</w:t>
      </w:r>
    </w:p>
    <w:p w:rsidR="0024434F" w:rsidRDefault="0024434F">
      <w:pPr>
        <w:pStyle w:val="BodyText"/>
        <w:tabs>
          <w:tab w:val="left" w:pos="1820"/>
          <w:tab w:val="left" w:pos="2660"/>
        </w:tabs>
        <w:snapToGrid w:val="0"/>
        <w:spacing w:line="240" w:lineRule="auto"/>
        <w:ind w:left="2660" w:hanging="2660"/>
        <w:jc w:val="both"/>
      </w:pPr>
    </w:p>
    <w:p w:rsidR="0024434F" w:rsidRDefault="0024434F">
      <w:pPr>
        <w:pStyle w:val="BodyText"/>
        <w:tabs>
          <w:tab w:val="left" w:pos="1820"/>
          <w:tab w:val="left" w:pos="2660"/>
        </w:tabs>
        <w:snapToGrid w:val="0"/>
        <w:spacing w:line="240" w:lineRule="auto"/>
        <w:ind w:left="2660" w:hanging="2660"/>
        <w:jc w:val="both"/>
        <w:rPr>
          <w:rFonts w:hint="eastAsia"/>
        </w:rPr>
      </w:pPr>
      <w:r>
        <w:t>The 2</w:t>
      </w:r>
      <w:r>
        <w:rPr>
          <w:vertAlign w:val="superscript"/>
        </w:rPr>
        <w:t>nd</w:t>
      </w:r>
      <w:r>
        <w:t xml:space="preserve"> Defendant  :</w:t>
      </w:r>
      <w:r>
        <w:tab/>
        <w:t>represent</w:t>
      </w:r>
      <w:r>
        <w:t>ed by Mr. Tang Chi Keung of M/S. Paul C.K. Tang &amp; Co., Solicitors.</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434F" w:rsidRDefault="0024434F">
      <w:r>
        <w:separator/>
      </w:r>
    </w:p>
  </w:endnote>
  <w:endnote w:type="continuationSeparator" w:id="0">
    <w:p w:rsidR="0024434F" w:rsidRDefault="0024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34F" w:rsidRDefault="002443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4434F" w:rsidRDefault="002443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34F" w:rsidRDefault="0024434F">
    <w:pPr>
      <w:pStyle w:val="Footer"/>
      <w:framePr w:wrap="around" w:vAnchor="text" w:hAnchor="margin" w:xAlign="right" w:y="1"/>
      <w:rPr>
        <w:rStyle w:val="PageNumber"/>
      </w:rPr>
    </w:pPr>
  </w:p>
  <w:p w:rsidR="0024434F" w:rsidRDefault="0024434F">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434F" w:rsidRDefault="0024434F">
      <w:r>
        <w:separator/>
      </w:r>
    </w:p>
  </w:footnote>
  <w:footnote w:type="continuationSeparator" w:id="0">
    <w:p w:rsidR="0024434F" w:rsidRDefault="00244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34F" w:rsidRDefault="0024434F">
    <w:pPr>
      <w:pStyle w:val="Header"/>
      <w:rPr>
        <w:rFonts w:hint="eastAsia"/>
      </w:rPr>
    </w:pPr>
    <w:r>
      <w:rPr>
        <w:noProof/>
        <w:sz w:val="20"/>
      </w:rPr>
    </w:r>
    <w:r w:rsidR="0024434F">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4434F" w:rsidRDefault="0024434F">
                <w:pPr>
                  <w:rPr>
                    <w:rFonts w:hint="eastAsia"/>
                    <w:b/>
                    <w:sz w:val="20"/>
                  </w:rPr>
                </w:pPr>
                <w:r>
                  <w:rPr>
                    <w:rFonts w:hint="eastAsia"/>
                    <w:b/>
                    <w:sz w:val="20"/>
                  </w:rPr>
                  <w:t>A</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20"/>
                  </w:rPr>
                </w:pPr>
                <w:r>
                  <w:rPr>
                    <w:rFonts w:hint="eastAsia"/>
                    <w:b/>
                    <w:sz w:val="20"/>
                  </w:rPr>
                  <w:t>B</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C</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pStyle w:val="Heading2"/>
                  <w:rPr>
                    <w:rFonts w:hint="eastAsia"/>
                    <w:sz w:val="16"/>
                  </w:rPr>
                </w:pPr>
                <w:r>
                  <w:rPr>
                    <w:rFonts w:hint="eastAsia"/>
                  </w:rPr>
                  <w:t>D</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E</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20"/>
                  </w:rPr>
                </w:pPr>
                <w:r>
                  <w:rPr>
                    <w:rFonts w:hint="eastAsia"/>
                    <w:b/>
                    <w:sz w:val="20"/>
                  </w:rPr>
                  <w:t>F</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G</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H</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I</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J</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K</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L</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M</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N</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O</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P</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Q</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R</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S</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T</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U</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pStyle w:val="Heading3"/>
                  <w:jc w:val="left"/>
                  <w:rPr>
                    <w:rFonts w:hint="eastAsia"/>
                  </w:rPr>
                </w:pPr>
                <w:r>
                  <w:rPr>
                    <w:rFonts w:hint="eastAsia"/>
                  </w:rPr>
                  <w:t>V</w:t>
                </w:r>
              </w:p>
            </w:txbxContent>
          </v:textbox>
        </v:shape>
      </w:pict>
    </w:r>
    <w:r>
      <w:rPr>
        <w:noProof/>
        <w:sz w:val="20"/>
      </w:rPr>
    </w:r>
    <w:r w:rsidR="0024434F">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4434F" w:rsidRDefault="0024434F">
                <w:pPr>
                  <w:rPr>
                    <w:rFonts w:eastAsia="SimHei" w:hint="eastAsia"/>
                    <w:b/>
                    <w:sz w:val="18"/>
                  </w:rPr>
                </w:pPr>
                <w:r>
                  <w:rPr>
                    <w:rFonts w:eastAsia="SimHei" w:hint="eastAsia"/>
                    <w:b/>
                    <w:sz w:val="18"/>
                  </w:rPr>
                  <w:t>由此</w:t>
                </w:r>
              </w:p>
            </w:txbxContent>
          </v:textbox>
        </v:shape>
      </w:pict>
    </w:r>
    <w:r>
      <w:rPr>
        <w:noProof/>
        <w:sz w:val="20"/>
      </w:rPr>
    </w:r>
    <w:r w:rsidR="0024434F">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4434F" w:rsidRDefault="0024434F">
                <w:pPr>
                  <w:rPr>
                    <w:rFonts w:hint="eastAsia"/>
                    <w:b/>
                    <w:sz w:val="20"/>
                  </w:rPr>
                </w:pPr>
                <w:r>
                  <w:rPr>
                    <w:rFonts w:hint="eastAsia"/>
                    <w:b/>
                    <w:sz w:val="20"/>
                  </w:rPr>
                  <w:t>A</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20"/>
                  </w:rPr>
                </w:pPr>
                <w:r>
                  <w:rPr>
                    <w:rFonts w:hint="eastAsia"/>
                    <w:b/>
                    <w:sz w:val="20"/>
                  </w:rPr>
                  <w:t>B</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C</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pStyle w:val="Heading2"/>
                  <w:rPr>
                    <w:rFonts w:hint="eastAsia"/>
                    <w:sz w:val="16"/>
                  </w:rPr>
                </w:pPr>
                <w:r>
                  <w:rPr>
                    <w:rFonts w:hint="eastAsia"/>
                  </w:rPr>
                  <w:t>D</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E</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20"/>
                  </w:rPr>
                </w:pPr>
                <w:r>
                  <w:rPr>
                    <w:rFonts w:hint="eastAsia"/>
                    <w:b/>
                    <w:sz w:val="20"/>
                  </w:rPr>
                  <w:t>F</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G</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H</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I</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J</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K</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L</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M</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N</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O</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P</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Q</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R</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S</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T</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U</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34F" w:rsidRDefault="0024434F">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8</w:t>
    </w:r>
    <w:r>
      <w:rPr>
        <w:rStyle w:val="PageNumber"/>
        <w:sz w:val="28"/>
      </w:rPr>
      <w:fldChar w:fldCharType="end"/>
    </w:r>
    <w:r>
      <w:rPr>
        <w:rStyle w:val="PageNumber"/>
        <w:rFonts w:hint="eastAsia"/>
        <w:sz w:val="28"/>
      </w:rPr>
      <w:t xml:space="preserve">  -</w:t>
    </w:r>
    <w:r>
      <w:rPr>
        <w:noProof/>
        <w:sz w:val="28"/>
      </w:rPr>
    </w:r>
    <w:r w:rsidR="0024434F">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4434F" w:rsidRDefault="0024434F">
                <w:pPr>
                  <w:rPr>
                    <w:rFonts w:hint="eastAsia"/>
                    <w:b/>
                    <w:sz w:val="20"/>
                  </w:rPr>
                </w:pPr>
                <w:r>
                  <w:rPr>
                    <w:rFonts w:hint="eastAsia"/>
                    <w:b/>
                    <w:sz w:val="20"/>
                  </w:rPr>
                  <w:t>A</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20"/>
                  </w:rPr>
                </w:pPr>
                <w:r>
                  <w:rPr>
                    <w:rFonts w:hint="eastAsia"/>
                    <w:b/>
                    <w:sz w:val="20"/>
                  </w:rPr>
                  <w:t>B</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C</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pStyle w:val="Heading2"/>
                  <w:rPr>
                    <w:rFonts w:hint="eastAsia"/>
                    <w:sz w:val="16"/>
                  </w:rPr>
                </w:pPr>
                <w:r>
                  <w:rPr>
                    <w:rFonts w:hint="eastAsia"/>
                  </w:rPr>
                  <w:t>D</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E</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20"/>
                  </w:rPr>
                </w:pPr>
                <w:r>
                  <w:rPr>
                    <w:rFonts w:hint="eastAsia"/>
                    <w:b/>
                    <w:sz w:val="20"/>
                  </w:rPr>
                  <w:t>F</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G</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H</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I</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J</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K</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L</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M</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N</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O</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P</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Q</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R</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S</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T</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U</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pStyle w:val="Heading3"/>
                  <w:jc w:val="left"/>
                  <w:rPr>
                    <w:rFonts w:hint="eastAsia"/>
                  </w:rPr>
                </w:pPr>
                <w:r>
                  <w:rPr>
                    <w:rFonts w:hint="eastAsia"/>
                  </w:rPr>
                  <w:t>V</w:t>
                </w:r>
              </w:p>
            </w:txbxContent>
          </v:textbox>
        </v:shape>
      </w:pict>
    </w:r>
    <w:r>
      <w:rPr>
        <w:noProof/>
        <w:sz w:val="28"/>
      </w:rPr>
    </w:r>
    <w:r w:rsidR="0024434F">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4434F" w:rsidRDefault="0024434F">
                <w:pPr>
                  <w:rPr>
                    <w:rFonts w:eastAsia="SimHei" w:hint="eastAsia"/>
                    <w:b/>
                    <w:sz w:val="18"/>
                  </w:rPr>
                </w:pPr>
                <w:r>
                  <w:rPr>
                    <w:rFonts w:eastAsia="SimHei" w:hint="eastAsia"/>
                    <w:b/>
                    <w:sz w:val="18"/>
                  </w:rPr>
                  <w:t>由此</w:t>
                </w:r>
              </w:p>
            </w:txbxContent>
          </v:textbox>
        </v:shape>
      </w:pict>
    </w:r>
    <w:r>
      <w:rPr>
        <w:noProof/>
        <w:sz w:val="28"/>
      </w:rPr>
    </w:r>
    <w:r w:rsidR="0024434F">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4434F" w:rsidRDefault="0024434F">
                <w:pPr>
                  <w:rPr>
                    <w:rFonts w:hint="eastAsia"/>
                    <w:b/>
                    <w:sz w:val="20"/>
                  </w:rPr>
                </w:pPr>
                <w:r>
                  <w:rPr>
                    <w:rFonts w:hint="eastAsia"/>
                    <w:b/>
                    <w:sz w:val="20"/>
                  </w:rPr>
                  <w:t>A</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20"/>
                  </w:rPr>
                </w:pPr>
                <w:r>
                  <w:rPr>
                    <w:rFonts w:hint="eastAsia"/>
                    <w:b/>
                    <w:sz w:val="20"/>
                  </w:rPr>
                  <w:t>B</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C</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pStyle w:val="Heading2"/>
                  <w:rPr>
                    <w:rFonts w:hint="eastAsia"/>
                    <w:sz w:val="16"/>
                  </w:rPr>
                </w:pPr>
                <w:r>
                  <w:rPr>
                    <w:rFonts w:hint="eastAsia"/>
                  </w:rPr>
                  <w:t>D</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E</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20"/>
                  </w:rPr>
                </w:pPr>
                <w:r>
                  <w:rPr>
                    <w:rFonts w:hint="eastAsia"/>
                    <w:b/>
                    <w:sz w:val="20"/>
                  </w:rPr>
                  <w:t>F</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G</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H</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I</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J</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K</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L</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M</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N</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O</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P</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Q</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R</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S</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T</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rPr>
                    <w:rFonts w:hint="eastAsia"/>
                    <w:b/>
                    <w:sz w:val="16"/>
                  </w:rPr>
                </w:pPr>
                <w:r>
                  <w:rPr>
                    <w:rFonts w:hint="eastAsia"/>
                    <w:b/>
                    <w:sz w:val="20"/>
                  </w:rPr>
                  <w:t>U</w:t>
                </w:r>
              </w:p>
              <w:p w:rsidR="0024434F" w:rsidRDefault="0024434F">
                <w:pPr>
                  <w:rPr>
                    <w:rFonts w:hint="eastAsia"/>
                    <w:b/>
                    <w:sz w:val="10"/>
                  </w:rPr>
                </w:pPr>
              </w:p>
              <w:p w:rsidR="0024434F" w:rsidRDefault="0024434F">
                <w:pPr>
                  <w:rPr>
                    <w:rFonts w:hint="eastAsia"/>
                    <w:b/>
                    <w:sz w:val="16"/>
                  </w:rPr>
                </w:pPr>
              </w:p>
              <w:p w:rsidR="0024434F" w:rsidRDefault="0024434F">
                <w:pPr>
                  <w:rPr>
                    <w:rFonts w:hint="eastAsia"/>
                    <w:b/>
                    <w:sz w:val="16"/>
                  </w:rPr>
                </w:pPr>
              </w:p>
              <w:p w:rsidR="0024434F" w:rsidRDefault="0024434F">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90A3F6B"/>
    <w:multiLevelType w:val="hybridMultilevel"/>
    <w:tmpl w:val="B172061C"/>
    <w:lvl w:ilvl="0" w:tplc="326E3334">
      <w:start w:val="26"/>
      <w:numFmt w:val="bullet"/>
      <w:lvlText w:val="–"/>
      <w:lvlJc w:val="left"/>
      <w:pPr>
        <w:tabs>
          <w:tab w:val="num" w:pos="3300"/>
        </w:tabs>
        <w:ind w:left="3300" w:hanging="9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6"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8"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4" w15:restartNumberingAfterBreak="0">
    <w:nsid w:val="28854090"/>
    <w:multiLevelType w:val="hybridMultilevel"/>
    <w:tmpl w:val="A12A3658"/>
    <w:lvl w:ilvl="0" w:tplc="5D28314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4"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5"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6"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8" w15:restartNumberingAfterBreak="0">
    <w:nsid w:val="34E877CA"/>
    <w:multiLevelType w:val="hybridMultilevel"/>
    <w:tmpl w:val="C19C2A04"/>
    <w:lvl w:ilvl="0" w:tplc="ACB056CC">
      <w:start w:val="1"/>
      <w:numFmt w:val="decimal"/>
      <w:lvlText w:val="%1."/>
      <w:lvlJc w:val="left"/>
      <w:pPr>
        <w:tabs>
          <w:tab w:val="num" w:pos="1080"/>
        </w:tabs>
        <w:ind w:left="1080" w:hanging="720"/>
      </w:pPr>
      <w:rPr>
        <w:rFonts w:hint="eastAsia"/>
      </w:rPr>
    </w:lvl>
    <w:lvl w:ilvl="1" w:tplc="54D624D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40"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1"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2" w15:restartNumberingAfterBreak="0">
    <w:nsid w:val="3ABC76EF"/>
    <w:multiLevelType w:val="hybridMultilevel"/>
    <w:tmpl w:val="266EAD36"/>
    <w:lvl w:ilvl="0" w:tplc="80302E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4"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6"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7"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8"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50"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5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2"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3"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56" w15:restartNumberingAfterBreak="0">
    <w:nsid w:val="508E26AD"/>
    <w:multiLevelType w:val="hybridMultilevel"/>
    <w:tmpl w:val="6BD0A304"/>
    <w:lvl w:ilvl="0" w:tplc="55A8A520">
      <w:start w:val="26"/>
      <w:numFmt w:val="bullet"/>
      <w:lvlText w:val="-"/>
      <w:lvlJc w:val="left"/>
      <w:pPr>
        <w:tabs>
          <w:tab w:val="num" w:pos="2700"/>
        </w:tabs>
        <w:ind w:left="2700" w:hanging="3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57"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2"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4"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5"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6" w15:restartNumberingAfterBreak="0">
    <w:nsid w:val="60810DD0"/>
    <w:multiLevelType w:val="hybridMultilevel"/>
    <w:tmpl w:val="B2DC3A0A"/>
    <w:lvl w:ilvl="0" w:tplc="54F4AAD6">
      <w:start w:val="1"/>
      <w:numFmt w:val="decimal"/>
      <w:lvlText w:val="%1."/>
      <w:lvlJc w:val="left"/>
      <w:pPr>
        <w:tabs>
          <w:tab w:val="num" w:pos="1800"/>
        </w:tabs>
        <w:ind w:left="1800" w:hanging="360"/>
      </w:pPr>
      <w:rPr>
        <w:rFonts w:hint="default"/>
      </w:rPr>
    </w:lvl>
    <w:lvl w:ilvl="1" w:tplc="193C515C">
      <w:start w:val="4"/>
      <w:numFmt w:val="decimal"/>
      <w:lvlText w:val="(%2)"/>
      <w:lvlJc w:val="left"/>
      <w:pPr>
        <w:tabs>
          <w:tab w:val="num" w:pos="2880"/>
        </w:tabs>
        <w:ind w:left="2880" w:hanging="720"/>
      </w:pPr>
      <w:rPr>
        <w:rFonts w:hint="default"/>
      </w:rPr>
    </w:lvl>
    <w:lvl w:ilvl="2" w:tplc="E63082BA">
      <w:start w:val="1"/>
      <w:numFmt w:val="lowerLetter"/>
      <w:lvlText w:val="(%3)"/>
      <w:lvlJc w:val="left"/>
      <w:pPr>
        <w:tabs>
          <w:tab w:val="num" w:pos="3495"/>
        </w:tabs>
        <w:ind w:left="3495" w:hanging="435"/>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7"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8"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9"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0"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1"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73"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4"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465001034">
    <w:abstractNumId w:val="9"/>
  </w:num>
  <w:num w:numId="2" w16cid:durableId="1883590651">
    <w:abstractNumId w:val="0"/>
  </w:num>
  <w:num w:numId="3" w16cid:durableId="672992602">
    <w:abstractNumId w:val="21"/>
  </w:num>
  <w:num w:numId="4" w16cid:durableId="1468278898">
    <w:abstractNumId w:val="4"/>
  </w:num>
  <w:num w:numId="5" w16cid:durableId="1786079891">
    <w:abstractNumId w:val="53"/>
  </w:num>
  <w:num w:numId="6" w16cid:durableId="1718119244">
    <w:abstractNumId w:val="2"/>
  </w:num>
  <w:num w:numId="7" w16cid:durableId="168716485">
    <w:abstractNumId w:val="70"/>
  </w:num>
  <w:num w:numId="8" w16cid:durableId="147019148">
    <w:abstractNumId w:val="69"/>
  </w:num>
  <w:num w:numId="9" w16cid:durableId="727848533">
    <w:abstractNumId w:val="35"/>
  </w:num>
  <w:num w:numId="10" w16cid:durableId="1559127503">
    <w:abstractNumId w:val="26"/>
  </w:num>
  <w:num w:numId="11" w16cid:durableId="1943144367">
    <w:abstractNumId w:val="63"/>
  </w:num>
  <w:num w:numId="12" w16cid:durableId="29109497">
    <w:abstractNumId w:val="32"/>
  </w:num>
  <w:num w:numId="13" w16cid:durableId="125589975">
    <w:abstractNumId w:val="73"/>
  </w:num>
  <w:num w:numId="14" w16cid:durableId="1363479649">
    <w:abstractNumId w:val="34"/>
  </w:num>
  <w:num w:numId="15" w16cid:durableId="69734577">
    <w:abstractNumId w:val="14"/>
  </w:num>
  <w:num w:numId="16" w16cid:durableId="470245150">
    <w:abstractNumId w:val="25"/>
  </w:num>
  <w:num w:numId="17" w16cid:durableId="1592855788">
    <w:abstractNumId w:val="30"/>
  </w:num>
  <w:num w:numId="18" w16cid:durableId="1704937031">
    <w:abstractNumId w:val="54"/>
  </w:num>
  <w:num w:numId="19" w16cid:durableId="1696686759">
    <w:abstractNumId w:val="19"/>
  </w:num>
  <w:num w:numId="20" w16cid:durableId="1950433865">
    <w:abstractNumId w:val="57"/>
  </w:num>
  <w:num w:numId="21" w16cid:durableId="914128374">
    <w:abstractNumId w:val="11"/>
  </w:num>
  <w:num w:numId="22" w16cid:durableId="320937832">
    <w:abstractNumId w:val="39"/>
  </w:num>
  <w:num w:numId="23" w16cid:durableId="533078623">
    <w:abstractNumId w:val="68"/>
  </w:num>
  <w:num w:numId="24" w16cid:durableId="1101291457">
    <w:abstractNumId w:val="58"/>
  </w:num>
  <w:num w:numId="25" w16cid:durableId="740450202">
    <w:abstractNumId w:val="45"/>
  </w:num>
  <w:num w:numId="26" w16cid:durableId="1684360391">
    <w:abstractNumId w:val="13"/>
  </w:num>
  <w:num w:numId="27" w16cid:durableId="826168114">
    <w:abstractNumId w:val="20"/>
  </w:num>
  <w:num w:numId="28" w16cid:durableId="2013020804">
    <w:abstractNumId w:val="41"/>
  </w:num>
  <w:num w:numId="29" w16cid:durableId="128324980">
    <w:abstractNumId w:val="8"/>
  </w:num>
  <w:num w:numId="30" w16cid:durableId="662705419">
    <w:abstractNumId w:val="22"/>
  </w:num>
  <w:num w:numId="31" w16cid:durableId="47150212">
    <w:abstractNumId w:val="40"/>
  </w:num>
  <w:num w:numId="32" w16cid:durableId="766459177">
    <w:abstractNumId w:val="37"/>
  </w:num>
  <w:num w:numId="33" w16cid:durableId="545139071">
    <w:abstractNumId w:val="17"/>
  </w:num>
  <w:num w:numId="34" w16cid:durableId="468327303">
    <w:abstractNumId w:val="72"/>
  </w:num>
  <w:num w:numId="35" w16cid:durableId="1105419494">
    <w:abstractNumId w:val="49"/>
  </w:num>
  <w:num w:numId="36" w16cid:durableId="922185636">
    <w:abstractNumId w:val="3"/>
  </w:num>
  <w:num w:numId="37" w16cid:durableId="696081527">
    <w:abstractNumId w:val="65"/>
  </w:num>
  <w:num w:numId="38" w16cid:durableId="170879292">
    <w:abstractNumId w:val="44"/>
  </w:num>
  <w:num w:numId="39" w16cid:durableId="1569925813">
    <w:abstractNumId w:val="1"/>
  </w:num>
  <w:num w:numId="40" w16cid:durableId="498544832">
    <w:abstractNumId w:val="75"/>
  </w:num>
  <w:num w:numId="41" w16cid:durableId="2016954984">
    <w:abstractNumId w:val="50"/>
  </w:num>
  <w:num w:numId="42" w16cid:durableId="1232345719">
    <w:abstractNumId w:val="60"/>
  </w:num>
  <w:num w:numId="43" w16cid:durableId="2085297450">
    <w:abstractNumId w:val="29"/>
  </w:num>
  <w:num w:numId="44" w16cid:durableId="461000099">
    <w:abstractNumId w:val="71"/>
  </w:num>
  <w:num w:numId="45" w16cid:durableId="540630682">
    <w:abstractNumId w:val="48"/>
  </w:num>
  <w:num w:numId="46" w16cid:durableId="2058042288">
    <w:abstractNumId w:val="62"/>
  </w:num>
  <w:num w:numId="47" w16cid:durableId="127015539">
    <w:abstractNumId w:val="18"/>
  </w:num>
  <w:num w:numId="48" w16cid:durableId="1401560857">
    <w:abstractNumId w:val="31"/>
  </w:num>
  <w:num w:numId="49" w16cid:durableId="1179201669">
    <w:abstractNumId w:val="5"/>
  </w:num>
  <w:num w:numId="50" w16cid:durableId="390689453">
    <w:abstractNumId w:val="36"/>
  </w:num>
  <w:num w:numId="51" w16cid:durableId="677270322">
    <w:abstractNumId w:val="52"/>
  </w:num>
  <w:num w:numId="52" w16cid:durableId="1505165725">
    <w:abstractNumId w:val="46"/>
  </w:num>
  <w:num w:numId="53" w16cid:durableId="159741308">
    <w:abstractNumId w:val="7"/>
  </w:num>
  <w:num w:numId="54" w16cid:durableId="1527983909">
    <w:abstractNumId w:val="12"/>
  </w:num>
  <w:num w:numId="55" w16cid:durableId="1296987578">
    <w:abstractNumId w:val="61"/>
  </w:num>
  <w:num w:numId="56" w16cid:durableId="904560143">
    <w:abstractNumId w:val="10"/>
  </w:num>
  <w:num w:numId="57" w16cid:durableId="1796824711">
    <w:abstractNumId w:val="59"/>
  </w:num>
  <w:num w:numId="58" w16cid:durableId="882254960">
    <w:abstractNumId w:val="64"/>
  </w:num>
  <w:num w:numId="59" w16cid:durableId="401106407">
    <w:abstractNumId w:val="6"/>
  </w:num>
  <w:num w:numId="60" w16cid:durableId="487014765">
    <w:abstractNumId w:val="23"/>
  </w:num>
  <w:num w:numId="61" w16cid:durableId="1111120778">
    <w:abstractNumId w:val="47"/>
  </w:num>
  <w:num w:numId="62" w16cid:durableId="298730536">
    <w:abstractNumId w:val="43"/>
  </w:num>
  <w:num w:numId="63" w16cid:durableId="1712807582">
    <w:abstractNumId w:val="67"/>
  </w:num>
  <w:num w:numId="64" w16cid:durableId="313293366">
    <w:abstractNumId w:val="51"/>
  </w:num>
  <w:num w:numId="65" w16cid:durableId="1235320009">
    <w:abstractNumId w:val="28"/>
  </w:num>
  <w:num w:numId="66" w16cid:durableId="270938162">
    <w:abstractNumId w:val="33"/>
  </w:num>
  <w:num w:numId="67" w16cid:durableId="696811124">
    <w:abstractNumId w:val="16"/>
  </w:num>
  <w:num w:numId="68" w16cid:durableId="121459544">
    <w:abstractNumId w:val="27"/>
  </w:num>
  <w:num w:numId="69" w16cid:durableId="240720147">
    <w:abstractNumId w:val="74"/>
  </w:num>
  <w:num w:numId="70" w16cid:durableId="809057930">
    <w:abstractNumId w:val="38"/>
  </w:num>
  <w:num w:numId="71" w16cid:durableId="2114931502">
    <w:abstractNumId w:val="15"/>
  </w:num>
  <w:num w:numId="72" w16cid:durableId="1936984062">
    <w:abstractNumId w:val="56"/>
  </w:num>
  <w:num w:numId="73" w16cid:durableId="1465849112">
    <w:abstractNumId w:val="42"/>
  </w:num>
  <w:num w:numId="74" w16cid:durableId="7606110">
    <w:abstractNumId w:val="55"/>
  </w:num>
  <w:num w:numId="75" w16cid:durableId="1083181186">
    <w:abstractNumId w:val="66"/>
  </w:num>
  <w:num w:numId="76" w16cid:durableId="3408189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434F"/>
    <w:rsid w:val="002443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E5A1970-3A81-B742-88A9-1770CF58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2008-09-08T07:13:00Z</cp:lastPrinted>
  <dcterms:created xsi:type="dcterms:W3CDTF">2023-10-14T01:14:00Z</dcterms:created>
  <dcterms:modified xsi:type="dcterms:W3CDTF">2023-10-14T01:14:00Z</dcterms:modified>
</cp:coreProperties>
</file>