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37A" w:rsidRDefault="00F746EF" w:rsidP="00F2437A">
      <w:pPr>
        <w:ind w:right="-622"/>
        <w:jc w:val="right"/>
        <w:rPr>
          <w:rFonts w:hint="eastAsia"/>
        </w:rPr>
      </w:pPr>
      <w:r>
        <w:rPr>
          <w:rFonts w:hint="eastAsia"/>
          <w:noProof/>
        </w:rPr>
      </w:r>
      <w:r w:rsidR="00F746EF">
        <w:rPr>
          <w:rFonts w:hint="eastAsia"/>
          <w:noProof/>
        </w:rPr>
        <w:pict>
          <v:shapetype id="_x0000_t202" coordsize="21600,21600" o:spt="202" path="m,l,21600r21600,l21600,xe">
            <v:stroke joinstyle="miter"/>
            <v:path gradientshapeok="t" o:connecttype="rect"/>
          </v:shapetype>
          <v:shape id="_x0000_s1027" type="#_x0000_t202" alt="" style="position:absolute;left:0;text-align:left;margin-left:177.75pt;margin-top:-66.75pt;width:63pt;height:41.25pt;z-index:251657728;mso-wrap-style:square;mso-wrap-edited:f;mso-width-percent:0;mso-height-percent:0;mso-width-percent:0;mso-height-percent:0;v-text-anchor:top" stroked="f">
            <v:textbox>
              <w:txbxContent>
                <w:p w:rsidR="005778AB" w:rsidRDefault="005778AB"/>
              </w:txbxContent>
            </v:textbox>
          </v:shape>
        </w:pict>
      </w:r>
      <w:r w:rsidR="00F2437A">
        <w:rPr>
          <w:rFonts w:hint="eastAsia"/>
        </w:rPr>
        <w:t>DC</w:t>
      </w:r>
      <w:r w:rsidR="00780BB1">
        <w:rPr>
          <w:rFonts w:eastAsia="PMingLiU" w:hint="eastAsia"/>
          <w:lang w:eastAsia="zh-HK"/>
        </w:rPr>
        <w:t>PI</w:t>
      </w:r>
      <w:r w:rsidR="00FB10BC">
        <w:rPr>
          <w:rFonts w:eastAsia="PMingLiU" w:hint="eastAsia"/>
          <w:lang w:eastAsia="zh-HK"/>
        </w:rPr>
        <w:t xml:space="preserve"> </w:t>
      </w:r>
      <w:r w:rsidR="00F2437A">
        <w:rPr>
          <w:rFonts w:hint="eastAsia"/>
        </w:rPr>
        <w:t>1119</w:t>
      </w:r>
      <w:r w:rsidR="00F2437A">
        <w:t xml:space="preserve"> / 201</w:t>
      </w:r>
      <w:r w:rsidR="00F2437A">
        <w:rPr>
          <w:rFonts w:hint="eastAsia"/>
        </w:rPr>
        <w:t>2</w:t>
      </w:r>
    </w:p>
    <w:p w:rsidR="00F2437A" w:rsidRDefault="00F2437A" w:rsidP="00F2437A">
      <w:pPr>
        <w:ind w:right="-622"/>
        <w:jc w:val="right"/>
        <w:rPr>
          <w:rFonts w:hint="eastAsia"/>
        </w:rPr>
      </w:pPr>
    </w:p>
    <w:p w:rsidR="00F2437A" w:rsidRDefault="00F2437A" w:rsidP="00F2437A">
      <w:pPr>
        <w:ind w:right="-622"/>
        <w:jc w:val="right"/>
        <w:rPr>
          <w:rFonts w:hint="eastAsia"/>
        </w:rPr>
      </w:pPr>
    </w:p>
    <w:p w:rsidR="003004C2" w:rsidRDefault="003004C2" w:rsidP="003004C2">
      <w:pPr>
        <w:tabs>
          <w:tab w:val="clear" w:pos="4320"/>
          <w:tab w:val="clear" w:pos="9072"/>
        </w:tabs>
        <w:adjustRightInd w:val="0"/>
        <w:spacing w:line="360" w:lineRule="auto"/>
        <w:jc w:val="center"/>
        <w:rPr>
          <w:rFonts w:hint="eastAsia"/>
          <w:b/>
          <w:bCs/>
        </w:rPr>
      </w:pPr>
      <w:r>
        <w:rPr>
          <w:rFonts w:hint="eastAsia"/>
          <w:b/>
          <w:bCs/>
        </w:rPr>
        <w:t>IN THE DISTRICT COURT OF THE</w:t>
      </w:r>
    </w:p>
    <w:p w:rsidR="003004C2" w:rsidRDefault="003004C2" w:rsidP="003004C2">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3004C2" w:rsidRDefault="003004C2" w:rsidP="003004C2">
      <w:pPr>
        <w:tabs>
          <w:tab w:val="clear" w:pos="4320"/>
          <w:tab w:val="clear" w:pos="9072"/>
        </w:tabs>
        <w:adjustRightInd w:val="0"/>
        <w:spacing w:line="360" w:lineRule="auto"/>
        <w:jc w:val="center"/>
      </w:pPr>
      <w:r>
        <w:rPr>
          <w:rFonts w:hint="eastAsia"/>
        </w:rPr>
        <w:t>PERSONAL INJURIES</w:t>
      </w:r>
      <w:r>
        <w:t xml:space="preserve"> ACTION N</w:t>
      </w:r>
      <w:r>
        <w:rPr>
          <w:rFonts w:hint="eastAsia"/>
        </w:rPr>
        <w:t>O.</w:t>
      </w:r>
      <w:r>
        <w:t xml:space="preserve"> </w:t>
      </w:r>
      <w:r>
        <w:rPr>
          <w:rFonts w:hint="eastAsia"/>
        </w:rPr>
        <w:t>1119 OF 2012</w:t>
      </w:r>
    </w:p>
    <w:p w:rsidR="00F2437A" w:rsidRDefault="00F2437A" w:rsidP="00F2437A">
      <w:pPr>
        <w:pStyle w:val="Final"/>
        <w:tabs>
          <w:tab w:val="clear" w:pos="1440"/>
        </w:tabs>
        <w:spacing w:after="120" w:line="240" w:lineRule="auto"/>
      </w:pPr>
      <w:r>
        <w:tab/>
        <w:t>----------------------------</w:t>
      </w:r>
    </w:p>
    <w:p w:rsidR="00F2437A" w:rsidRDefault="00F2437A" w:rsidP="00F2437A">
      <w:pPr>
        <w:pStyle w:val="hspace"/>
      </w:pPr>
    </w:p>
    <w:p w:rsidR="00F2437A" w:rsidRDefault="00F2437A" w:rsidP="00F2437A">
      <w:pPr>
        <w:pStyle w:val="Final"/>
        <w:tabs>
          <w:tab w:val="clear" w:pos="1440"/>
        </w:tabs>
        <w:spacing w:after="120" w:line="240" w:lineRule="auto"/>
      </w:pPr>
      <w:r>
        <w:t>BETWEEN</w:t>
      </w:r>
    </w:p>
    <w:p w:rsidR="00F2437A" w:rsidRDefault="00F2437A" w:rsidP="00F2437A">
      <w:pPr>
        <w:pStyle w:val="hspace"/>
      </w:pPr>
    </w:p>
    <w:p w:rsidR="00F177AD" w:rsidRDefault="00F2437A" w:rsidP="00F177AD">
      <w:pPr>
        <w:tabs>
          <w:tab w:val="clear" w:pos="1440"/>
          <w:tab w:val="clear" w:pos="4320"/>
          <w:tab w:val="clear" w:pos="9072"/>
          <w:tab w:val="left" w:pos="3360"/>
          <w:tab w:val="left" w:pos="7140"/>
        </w:tabs>
        <w:jc w:val="right"/>
      </w:pPr>
      <w:r>
        <w:tab/>
      </w:r>
      <w:r w:rsidR="00F177AD">
        <w:br/>
      </w:r>
      <w:r w:rsidR="00F177AD">
        <w:rPr>
          <w:rFonts w:hint="eastAsia"/>
        </w:rPr>
        <w:t xml:space="preserve">MOHAMMAD-ISHAQ          </w:t>
      </w:r>
      <w:r w:rsidR="00F177AD">
        <w:t xml:space="preserve">             Plaintiff</w:t>
      </w:r>
    </w:p>
    <w:p w:rsidR="00F177AD" w:rsidRDefault="00F177AD" w:rsidP="00F177AD">
      <w:pPr>
        <w:pStyle w:val="Heading3"/>
        <w:tabs>
          <w:tab w:val="clear" w:pos="4320"/>
          <w:tab w:val="clear" w:pos="9072"/>
          <w:tab w:val="left" w:pos="2240"/>
        </w:tabs>
        <w:rPr>
          <w:b w:val="0"/>
          <w:sz w:val="28"/>
        </w:rPr>
      </w:pPr>
    </w:p>
    <w:p w:rsidR="00F177AD" w:rsidRDefault="00F177AD" w:rsidP="00F177AD">
      <w:pPr>
        <w:tabs>
          <w:tab w:val="clear" w:pos="1440"/>
          <w:tab w:val="clear" w:pos="4320"/>
          <w:tab w:val="clear" w:pos="9072"/>
          <w:tab w:val="left" w:pos="2240"/>
          <w:tab w:val="left" w:pos="7140"/>
        </w:tabs>
        <w:ind w:right="-94"/>
      </w:pPr>
      <w:r>
        <w:rPr>
          <w:rFonts w:hint="eastAsia"/>
        </w:rPr>
        <w:tab/>
        <w:t xml:space="preserve">                         </w:t>
      </w:r>
      <w:r>
        <w:t>and</w:t>
      </w:r>
    </w:p>
    <w:p w:rsidR="00F177AD" w:rsidRDefault="00F177AD" w:rsidP="00F177AD">
      <w:pPr>
        <w:tabs>
          <w:tab w:val="clear" w:pos="1440"/>
          <w:tab w:val="clear" w:pos="4320"/>
          <w:tab w:val="clear" w:pos="9072"/>
          <w:tab w:val="left" w:pos="2240"/>
          <w:tab w:val="left" w:pos="7140"/>
        </w:tabs>
        <w:ind w:right="-94"/>
        <w:jc w:val="center"/>
      </w:pPr>
    </w:p>
    <w:p w:rsidR="00F177AD" w:rsidRDefault="00F177AD" w:rsidP="00F177AD">
      <w:pPr>
        <w:tabs>
          <w:tab w:val="clear" w:pos="1440"/>
          <w:tab w:val="clear" w:pos="4320"/>
          <w:tab w:val="clear" w:pos="9072"/>
          <w:tab w:val="left" w:pos="3080"/>
          <w:tab w:val="left" w:pos="7140"/>
        </w:tabs>
        <w:ind w:right="-94"/>
        <w:jc w:val="right"/>
      </w:pPr>
      <w:r>
        <w:rPr>
          <w:rFonts w:hint="eastAsia"/>
        </w:rPr>
        <w:t>TRINITY WEALTH LIMITED trading as</w:t>
      </w:r>
      <w:r>
        <w:t xml:space="preserve">         Defendant</w:t>
      </w:r>
    </w:p>
    <w:p w:rsidR="00F177AD" w:rsidRDefault="00F177AD" w:rsidP="00F177AD">
      <w:pPr>
        <w:tabs>
          <w:tab w:val="clear" w:pos="1440"/>
          <w:tab w:val="clear" w:pos="4320"/>
          <w:tab w:val="clear" w:pos="9072"/>
          <w:tab w:val="left" w:pos="3080"/>
          <w:tab w:val="left" w:pos="7140"/>
        </w:tabs>
        <w:ind w:right="-94"/>
        <w:jc w:val="center"/>
        <w:rPr>
          <w:caps/>
        </w:rPr>
      </w:pPr>
      <w:r>
        <w:rPr>
          <w:rFonts w:hint="eastAsia"/>
          <w:caps/>
        </w:rPr>
        <w:t>BRILLIANT DELIGHT CLEANING CO.</w:t>
      </w:r>
    </w:p>
    <w:p w:rsidR="00F2437A" w:rsidRDefault="00F2437A" w:rsidP="00F2437A">
      <w:pPr>
        <w:pStyle w:val="Heading"/>
        <w:tabs>
          <w:tab w:val="clear" w:pos="1440"/>
        </w:tabs>
        <w:spacing w:after="120" w:line="240" w:lineRule="auto"/>
      </w:pPr>
      <w:r>
        <w:tab/>
      </w:r>
    </w:p>
    <w:p w:rsidR="00F2437A" w:rsidRDefault="00F2437A" w:rsidP="00F2437A">
      <w:pPr>
        <w:pStyle w:val="hspace"/>
        <w:tabs>
          <w:tab w:val="clear" w:pos="1440"/>
        </w:tabs>
      </w:pPr>
      <w:r>
        <w:tab/>
        <w:t>------------------------</w:t>
      </w:r>
    </w:p>
    <w:p w:rsidR="00F2437A" w:rsidRDefault="00F2437A" w:rsidP="00F2437A">
      <w:pPr>
        <w:pStyle w:val="hspace"/>
      </w:pPr>
    </w:p>
    <w:p w:rsidR="00F2437A" w:rsidRDefault="00F2437A" w:rsidP="00F2437A">
      <w:pPr>
        <w:pStyle w:val="hspace"/>
      </w:pPr>
    </w:p>
    <w:p w:rsidR="00F2437A" w:rsidRDefault="00F2437A" w:rsidP="00F2437A">
      <w:pPr>
        <w:pStyle w:val="hspace"/>
        <w:rPr>
          <w:color w:val="000000"/>
        </w:rPr>
      </w:pPr>
    </w:p>
    <w:p w:rsidR="00F2437A" w:rsidRDefault="00F2437A" w:rsidP="00F2437A">
      <w:pPr>
        <w:pStyle w:val="Final"/>
        <w:tabs>
          <w:tab w:val="clear" w:pos="1440"/>
        </w:tabs>
        <w:spacing w:after="120" w:line="240" w:lineRule="auto"/>
        <w:rPr>
          <w:rFonts w:hint="eastAsia"/>
          <w:color w:val="000000"/>
        </w:rPr>
      </w:pPr>
      <w:r>
        <w:rPr>
          <w:color w:val="000000"/>
        </w:rPr>
        <w:t>Coram :</w:t>
      </w:r>
      <w:r>
        <w:rPr>
          <w:rFonts w:hint="eastAsia"/>
          <w:color w:val="000000"/>
        </w:rPr>
        <w:t xml:space="preserve"> Deputy </w:t>
      </w:r>
      <w:r w:rsidR="006E6997">
        <w:rPr>
          <w:rFonts w:eastAsia="PMingLiU" w:hint="eastAsia"/>
          <w:color w:val="000000"/>
          <w:lang w:eastAsia="zh-HK"/>
        </w:rPr>
        <w:t xml:space="preserve">District </w:t>
      </w:r>
      <w:r>
        <w:rPr>
          <w:rFonts w:hint="eastAsia"/>
          <w:color w:val="000000"/>
        </w:rPr>
        <w:t>Judge A</w:t>
      </w:r>
      <w:r w:rsidR="006E6997">
        <w:rPr>
          <w:rFonts w:eastAsia="PMingLiU" w:hint="eastAsia"/>
          <w:color w:val="000000"/>
          <w:lang w:eastAsia="zh-HK"/>
        </w:rPr>
        <w:t>.</w:t>
      </w:r>
      <w:r>
        <w:rPr>
          <w:color w:val="000000"/>
        </w:rPr>
        <w:t xml:space="preserve"> Yim in Chambers</w:t>
      </w:r>
      <w:r w:rsidR="00384BD9">
        <w:rPr>
          <w:rFonts w:eastAsia="PMingLiU" w:hint="eastAsia"/>
          <w:color w:val="000000"/>
          <w:lang w:eastAsia="zh-HK"/>
        </w:rPr>
        <w:t xml:space="preserve"> </w:t>
      </w:r>
      <w:r>
        <w:rPr>
          <w:color w:val="000000"/>
        </w:rPr>
        <w:t xml:space="preserve"> </w:t>
      </w:r>
    </w:p>
    <w:p w:rsidR="001825C3" w:rsidRDefault="00F2437A" w:rsidP="001825C3">
      <w:pPr>
        <w:pStyle w:val="Final"/>
        <w:tabs>
          <w:tab w:val="clear" w:pos="1440"/>
        </w:tabs>
        <w:spacing w:after="120" w:line="240" w:lineRule="auto"/>
        <w:rPr>
          <w:rFonts w:eastAsia="PMingLiU" w:hint="eastAsia"/>
          <w:lang w:eastAsia="zh-HK"/>
        </w:rPr>
      </w:pPr>
      <w:r>
        <w:t xml:space="preserve">Date of </w:t>
      </w:r>
      <w:r>
        <w:rPr>
          <w:rFonts w:hint="eastAsia"/>
        </w:rPr>
        <w:t>Defendant</w:t>
      </w:r>
      <w:r>
        <w:t>’</w:t>
      </w:r>
      <w:r>
        <w:rPr>
          <w:rFonts w:hint="eastAsia"/>
        </w:rPr>
        <w:t>s Statement of Costs for Summary Assessment</w:t>
      </w:r>
      <w:r>
        <w:t xml:space="preserve"> : </w:t>
      </w:r>
    </w:p>
    <w:p w:rsidR="00F2437A" w:rsidRDefault="00F2437A" w:rsidP="001825C3">
      <w:pPr>
        <w:pStyle w:val="Final"/>
        <w:tabs>
          <w:tab w:val="clear" w:pos="1440"/>
        </w:tabs>
        <w:spacing w:after="120" w:line="240" w:lineRule="auto"/>
        <w:rPr>
          <w:rFonts w:hint="eastAsia"/>
        </w:rPr>
      </w:pPr>
      <w:r>
        <w:rPr>
          <w:rFonts w:hint="eastAsia"/>
        </w:rPr>
        <w:t>6 September 2013</w:t>
      </w:r>
    </w:p>
    <w:p w:rsidR="00F2437A" w:rsidRDefault="00F2437A" w:rsidP="00F2437A">
      <w:pPr>
        <w:pStyle w:val="Final"/>
        <w:tabs>
          <w:tab w:val="clear" w:pos="1440"/>
        </w:tabs>
        <w:spacing w:after="120" w:line="240" w:lineRule="auto"/>
        <w:rPr>
          <w:rFonts w:hint="eastAsia"/>
        </w:rPr>
      </w:pPr>
      <w:r>
        <w:rPr>
          <w:rFonts w:hint="eastAsia"/>
        </w:rPr>
        <w:t>Date of Plaintiff</w:t>
      </w:r>
      <w:r>
        <w:t>’</w:t>
      </w:r>
      <w:r>
        <w:rPr>
          <w:rFonts w:hint="eastAsia"/>
        </w:rPr>
        <w:t>s Objection: 17 September 2013</w:t>
      </w:r>
    </w:p>
    <w:p w:rsidR="00F2437A" w:rsidRDefault="00F2437A" w:rsidP="00F2437A">
      <w:pPr>
        <w:pStyle w:val="Final"/>
        <w:tabs>
          <w:tab w:val="clear" w:pos="1440"/>
        </w:tabs>
        <w:spacing w:after="120" w:line="240" w:lineRule="auto"/>
      </w:pPr>
      <w:r>
        <w:t xml:space="preserve">Date of </w:t>
      </w:r>
      <w:r>
        <w:rPr>
          <w:rFonts w:hint="eastAsia"/>
        </w:rPr>
        <w:t>Decision</w:t>
      </w:r>
      <w:r>
        <w:t xml:space="preserve">: </w:t>
      </w:r>
      <w:r>
        <w:rPr>
          <w:rFonts w:hint="eastAsia"/>
        </w:rPr>
        <w:t xml:space="preserve">24 September </w:t>
      </w:r>
      <w:r>
        <w:t>2013</w:t>
      </w:r>
    </w:p>
    <w:p w:rsidR="00F2437A" w:rsidRDefault="00F2437A" w:rsidP="00F2437A">
      <w:pPr>
        <w:pStyle w:val="hspace"/>
        <w:tabs>
          <w:tab w:val="clear" w:pos="1440"/>
        </w:tabs>
      </w:pPr>
    </w:p>
    <w:p w:rsidR="00F2437A" w:rsidRDefault="00F2437A" w:rsidP="00F2437A">
      <w:pPr>
        <w:pStyle w:val="hspace"/>
        <w:tabs>
          <w:tab w:val="clear" w:pos="1440"/>
        </w:tabs>
        <w:rPr>
          <w:b/>
          <w:bCs/>
        </w:rPr>
      </w:pPr>
      <w:r>
        <w:tab/>
      </w:r>
      <w:r>
        <w:rPr>
          <w:b/>
          <w:bCs/>
        </w:rPr>
        <w:t>------------</w:t>
      </w:r>
      <w:r>
        <w:rPr>
          <w:rFonts w:hint="eastAsia"/>
          <w:b/>
          <w:bCs/>
        </w:rPr>
        <w:t>------------------------</w:t>
      </w:r>
      <w:r>
        <w:rPr>
          <w:b/>
          <w:bCs/>
        </w:rPr>
        <w:t>-----------</w:t>
      </w:r>
    </w:p>
    <w:p w:rsidR="00F2437A" w:rsidRDefault="00F2437A" w:rsidP="00F2437A">
      <w:pPr>
        <w:pStyle w:val="normal3"/>
        <w:tabs>
          <w:tab w:val="clear" w:pos="1440"/>
          <w:tab w:val="clear" w:pos="4500"/>
        </w:tabs>
        <w:overflowPunct/>
        <w:autoSpaceDE/>
        <w:spacing w:before="30" w:after="30" w:line="240" w:lineRule="auto"/>
        <w:rPr>
          <w:rFonts w:eastAsia="SimSun" w:hint="eastAsia"/>
        </w:rPr>
      </w:pPr>
      <w:r>
        <w:rPr>
          <w:rFonts w:eastAsia="SimSun"/>
        </w:rPr>
        <w:tab/>
      </w:r>
      <w:r>
        <w:rPr>
          <w:rFonts w:eastAsia="SimSun" w:hint="eastAsia"/>
        </w:rPr>
        <w:t>Decision</w:t>
      </w:r>
    </w:p>
    <w:p w:rsidR="00F2437A" w:rsidRDefault="00F2437A" w:rsidP="00F2437A">
      <w:pPr>
        <w:pStyle w:val="normal3"/>
        <w:tabs>
          <w:tab w:val="clear" w:pos="1440"/>
          <w:tab w:val="clear" w:pos="4500"/>
        </w:tabs>
        <w:overflowPunct/>
        <w:autoSpaceDE/>
        <w:spacing w:before="30" w:after="30" w:line="240" w:lineRule="auto"/>
        <w:jc w:val="center"/>
        <w:rPr>
          <w:rFonts w:eastAsia="SimSun"/>
        </w:rPr>
      </w:pPr>
      <w:r>
        <w:rPr>
          <w:rFonts w:eastAsia="SimSun"/>
        </w:rPr>
        <w:t>O</w:t>
      </w:r>
      <w:r>
        <w:rPr>
          <w:rFonts w:eastAsia="SimSun" w:hint="eastAsia"/>
        </w:rPr>
        <w:t>n Summary Assessment of Costs</w:t>
      </w:r>
    </w:p>
    <w:p w:rsidR="00F2437A" w:rsidRDefault="00F2437A" w:rsidP="00F2437A">
      <w:pPr>
        <w:pStyle w:val="hspace"/>
        <w:tabs>
          <w:tab w:val="clear" w:pos="1440"/>
        </w:tabs>
        <w:rPr>
          <w:i/>
        </w:rPr>
      </w:pPr>
      <w:r>
        <w:tab/>
      </w:r>
      <w:r>
        <w:rPr>
          <w:b/>
          <w:bCs/>
        </w:rPr>
        <w:t>-------------</w:t>
      </w:r>
      <w:r>
        <w:rPr>
          <w:rFonts w:hint="eastAsia"/>
          <w:b/>
          <w:bCs/>
        </w:rPr>
        <w:t>-------------------------</w:t>
      </w:r>
      <w:r>
        <w:rPr>
          <w:b/>
          <w:bCs/>
        </w:rPr>
        <w:t>----------</w:t>
      </w:r>
    </w:p>
    <w:p w:rsidR="00F2437A" w:rsidRDefault="00F2437A" w:rsidP="00F2437A">
      <w:pPr>
        <w:rPr>
          <w:rFonts w:hint="eastAsia"/>
        </w:rPr>
      </w:pPr>
    </w:p>
    <w:p w:rsidR="00F2437A" w:rsidRDefault="00F2437A" w:rsidP="00F2437A">
      <w:pPr>
        <w:pStyle w:val="Final"/>
        <w:rPr>
          <w:b/>
        </w:rPr>
      </w:pPr>
      <w:r>
        <w:rPr>
          <w:b/>
        </w:rPr>
        <w:t>Introduction</w:t>
      </w:r>
    </w:p>
    <w:p w:rsidR="00F2437A" w:rsidRDefault="00F2437A" w:rsidP="00F2437A">
      <w:pPr>
        <w:pStyle w:val="Final"/>
        <w:jc w:val="both"/>
        <w:rPr>
          <w:rFonts w:hint="eastAsia"/>
        </w:rPr>
      </w:pPr>
      <w:r>
        <w:t>1.</w:t>
      </w:r>
      <w:r>
        <w:tab/>
      </w:r>
      <w:r>
        <w:rPr>
          <w:rFonts w:hint="eastAsia"/>
        </w:rPr>
        <w:t>On the 30 August 2013, I allowed the defendant</w:t>
      </w:r>
      <w:r>
        <w:t>’</w:t>
      </w:r>
      <w:r>
        <w:rPr>
          <w:rFonts w:hint="eastAsia"/>
        </w:rPr>
        <w:t xml:space="preserve">s application for striking out with costs to the </w:t>
      </w:r>
      <w:r>
        <w:t>defendant</w:t>
      </w:r>
      <w:r>
        <w:rPr>
          <w:rFonts w:hint="eastAsia"/>
        </w:rPr>
        <w:t xml:space="preserve"> with counsel certificate.  The parties jointly applied for the defendant</w:t>
      </w:r>
      <w:r>
        <w:t>’</w:t>
      </w:r>
      <w:r>
        <w:rPr>
          <w:rFonts w:hint="eastAsia"/>
        </w:rPr>
        <w:t xml:space="preserve">s costs be summarily assessed by letter dated 6 September 2013, in which the defendant </w:t>
      </w:r>
      <w:r>
        <w:t>enclosed</w:t>
      </w:r>
      <w:r>
        <w:rPr>
          <w:rFonts w:hint="eastAsia"/>
        </w:rPr>
        <w:t xml:space="preserve"> his </w:t>
      </w:r>
      <w:r>
        <w:rPr>
          <w:rFonts w:hint="eastAsia"/>
        </w:rPr>
        <w:lastRenderedPageBreak/>
        <w:t>statement of costs for summary assessment.  The plaintiff was directed to submit his comment if any on 10 September and he did so accordingly on 17 September.</w:t>
      </w:r>
    </w:p>
    <w:p w:rsidR="00F2437A" w:rsidRDefault="00F2437A" w:rsidP="00F2437A">
      <w:pPr>
        <w:pStyle w:val="Final"/>
        <w:jc w:val="both"/>
        <w:rPr>
          <w:rFonts w:hint="eastAsia"/>
        </w:rPr>
      </w:pPr>
    </w:p>
    <w:p w:rsidR="00F2437A" w:rsidRDefault="00F2437A" w:rsidP="00F2437A">
      <w:pPr>
        <w:spacing w:line="360" w:lineRule="auto"/>
        <w:rPr>
          <w:rFonts w:hint="eastAsia"/>
          <w:b/>
        </w:rPr>
      </w:pPr>
      <w:r>
        <w:rPr>
          <w:rFonts w:hint="eastAsia"/>
          <w:b/>
        </w:rPr>
        <w:t>Background</w:t>
      </w:r>
    </w:p>
    <w:p w:rsidR="00F2437A" w:rsidRDefault="00F2437A" w:rsidP="00F2437A">
      <w:pPr>
        <w:spacing w:line="360" w:lineRule="auto"/>
        <w:jc w:val="both"/>
        <w:rPr>
          <w:rFonts w:hint="eastAsia"/>
        </w:rPr>
      </w:pPr>
      <w:r>
        <w:rPr>
          <w:rFonts w:hint="eastAsia"/>
        </w:rPr>
        <w:t>2.</w:t>
      </w:r>
      <w:r>
        <w:rPr>
          <w:rFonts w:hint="eastAsia"/>
        </w:rPr>
        <w:tab/>
        <w:t>The Writ, Statement of Claim and Statement of Damages were issued on 4 June 2012 and were served on the defendant on 11</w:t>
      </w:r>
      <w:r w:rsidR="00B8503F">
        <w:rPr>
          <w:rFonts w:hint="eastAsia"/>
          <w:vertAlign w:val="superscript"/>
        </w:rPr>
        <w:t xml:space="preserve"> </w:t>
      </w:r>
      <w:r>
        <w:rPr>
          <w:rFonts w:hint="eastAsia"/>
        </w:rPr>
        <w:t>October 2012.  Notice to insurer was served to the defendant</w:t>
      </w:r>
      <w:r>
        <w:t>’</w:t>
      </w:r>
      <w:r>
        <w:rPr>
          <w:rFonts w:hint="eastAsia"/>
        </w:rPr>
        <w:t>s insurer (BOC), BOC instructed Messrs. Tong &amp; Tsoi to</w:t>
      </w:r>
      <w:r w:rsidRPr="008D0DB9">
        <w:rPr>
          <w:rFonts w:hint="eastAsia"/>
        </w:rPr>
        <w:t xml:space="preserve"> </w:t>
      </w:r>
      <w:r>
        <w:rPr>
          <w:rFonts w:hint="eastAsia"/>
        </w:rPr>
        <w:t>represent the defendant but after the Acknowledgment of Service of Writ of Summons was filed, BOC considered the defendant has commit a breach of condition and repudiated the policy in question.  The defendant then instructed Messrs. Wong, Kwan &amp; Co to represent him thereafter.</w:t>
      </w:r>
    </w:p>
    <w:p w:rsidR="00F2437A" w:rsidRDefault="00F2437A" w:rsidP="00F2437A">
      <w:pPr>
        <w:spacing w:line="360" w:lineRule="auto"/>
        <w:rPr>
          <w:rFonts w:hint="eastAsia"/>
        </w:rPr>
      </w:pPr>
    </w:p>
    <w:p w:rsidR="00F2437A" w:rsidRDefault="00F2437A" w:rsidP="00DF4FD1">
      <w:pPr>
        <w:spacing w:line="360" w:lineRule="auto"/>
        <w:jc w:val="both"/>
        <w:rPr>
          <w:rFonts w:hint="eastAsia"/>
        </w:rPr>
      </w:pPr>
      <w:r>
        <w:rPr>
          <w:rFonts w:hint="eastAsia"/>
        </w:rPr>
        <w:t>3.</w:t>
      </w:r>
      <w:r>
        <w:rPr>
          <w:rFonts w:hint="eastAsia"/>
        </w:rPr>
        <w:tab/>
        <w:t xml:space="preserve">The parties by consent summons filed on 8 January 2013, apply leave be granted to the plaintiff to amended his Statement of Damages.  The </w:t>
      </w:r>
      <w:r>
        <w:t>defendant</w:t>
      </w:r>
      <w:r>
        <w:rPr>
          <w:rFonts w:hint="eastAsia"/>
        </w:rPr>
        <w:t xml:space="preserve"> filed his Defence on 15</w:t>
      </w:r>
      <w:r w:rsidR="00287A21">
        <w:rPr>
          <w:rFonts w:eastAsia="PMingLiU" w:hint="eastAsia"/>
          <w:lang w:eastAsia="zh-HK"/>
        </w:rPr>
        <w:t xml:space="preserve"> </w:t>
      </w:r>
      <w:r>
        <w:rPr>
          <w:rFonts w:hint="eastAsia"/>
        </w:rPr>
        <w:t>January 2013. The plaintiff filed his Reply on</w:t>
      </w:r>
      <w:r w:rsidR="00AB677D">
        <w:rPr>
          <w:rFonts w:eastAsia="PMingLiU" w:hint="eastAsia"/>
          <w:lang w:eastAsia="zh-HK"/>
        </w:rPr>
        <w:t xml:space="preserve"> </w:t>
      </w:r>
      <w:r>
        <w:rPr>
          <w:rFonts w:hint="eastAsia"/>
        </w:rPr>
        <w:t>8</w:t>
      </w:r>
      <w:r w:rsidR="00AB677D">
        <w:rPr>
          <w:rFonts w:eastAsia="PMingLiU" w:hint="eastAsia"/>
          <w:lang w:eastAsia="zh-HK"/>
        </w:rPr>
        <w:t xml:space="preserve"> </w:t>
      </w:r>
      <w:r>
        <w:rPr>
          <w:rFonts w:hint="eastAsia"/>
        </w:rPr>
        <w:t xml:space="preserve">February 2013.  Thereafter, the </w:t>
      </w:r>
      <w:r>
        <w:t>defendant</w:t>
      </w:r>
      <w:r w:rsidR="00DF4FD1">
        <w:rPr>
          <w:rFonts w:eastAsia="PMingLiU" w:hint="eastAsia"/>
          <w:lang w:eastAsia="zh-HK"/>
        </w:rPr>
        <w:t xml:space="preserve"> </w:t>
      </w:r>
      <w:r>
        <w:rPr>
          <w:rFonts w:hint="eastAsia"/>
        </w:rPr>
        <w:t xml:space="preserve">filed his list of document on 26 March 2013.   </w:t>
      </w:r>
    </w:p>
    <w:p w:rsidR="00F2437A" w:rsidRPr="0061702C" w:rsidRDefault="00F2437A" w:rsidP="00F2437A">
      <w:pPr>
        <w:spacing w:line="360" w:lineRule="auto"/>
        <w:jc w:val="both"/>
        <w:rPr>
          <w:rFonts w:hint="eastAsia"/>
        </w:rPr>
      </w:pPr>
    </w:p>
    <w:p w:rsidR="00F2437A" w:rsidRDefault="00F2437A" w:rsidP="00F2437A">
      <w:pPr>
        <w:spacing w:line="360" w:lineRule="auto"/>
        <w:jc w:val="both"/>
        <w:rPr>
          <w:rFonts w:hint="eastAsia"/>
        </w:rPr>
      </w:pPr>
      <w:r>
        <w:rPr>
          <w:rFonts w:hint="eastAsia"/>
        </w:rPr>
        <w:t>4.</w:t>
      </w:r>
      <w:r>
        <w:rPr>
          <w:rFonts w:hint="eastAsia"/>
        </w:rPr>
        <w:tab/>
        <w:t>On 19 April 2013 the defendant took out the striking out summons.  On the 2</w:t>
      </w:r>
      <w:r w:rsidRPr="00426D79">
        <w:rPr>
          <w:rFonts w:hint="eastAsia"/>
          <w:vertAlign w:val="superscript"/>
        </w:rPr>
        <w:t>nd</w:t>
      </w:r>
      <w:r>
        <w:rPr>
          <w:rFonts w:hint="eastAsia"/>
        </w:rPr>
        <w:t xml:space="preserve"> Checklist Review hearing, directions were given in relation to the summons and adjourned to 28 August 2013 for argument with 2 hours reserved. </w:t>
      </w:r>
    </w:p>
    <w:p w:rsidR="00F2437A" w:rsidRDefault="00F2437A" w:rsidP="00F2437A">
      <w:pPr>
        <w:spacing w:line="360" w:lineRule="auto"/>
        <w:jc w:val="both"/>
        <w:rPr>
          <w:rFonts w:hint="eastAsia"/>
          <w:b/>
        </w:rPr>
      </w:pPr>
    </w:p>
    <w:p w:rsidR="00F2437A" w:rsidRDefault="00F2437A" w:rsidP="00F2437A">
      <w:pPr>
        <w:spacing w:line="360" w:lineRule="auto"/>
        <w:jc w:val="both"/>
        <w:rPr>
          <w:rFonts w:hint="eastAsia"/>
          <w:b/>
        </w:rPr>
      </w:pPr>
      <w:r>
        <w:rPr>
          <w:rFonts w:hint="eastAsia"/>
          <w:b/>
        </w:rPr>
        <w:t>General</w:t>
      </w:r>
    </w:p>
    <w:p w:rsidR="00F2437A" w:rsidRDefault="00F2437A" w:rsidP="00F2437A">
      <w:pPr>
        <w:spacing w:line="360" w:lineRule="auto"/>
        <w:jc w:val="both"/>
        <w:rPr>
          <w:rFonts w:hint="eastAsia"/>
        </w:rPr>
      </w:pPr>
      <w:r>
        <w:rPr>
          <w:rFonts w:hint="eastAsia"/>
        </w:rPr>
        <w:t>5.</w:t>
      </w:r>
      <w:r>
        <w:rPr>
          <w:rFonts w:hint="eastAsia"/>
        </w:rPr>
        <w:tab/>
        <w:t xml:space="preserve">The costs claimed by the defendant as per his Statement of Costs for Summary Assessment amount to $129,728.  I directed the </w:t>
      </w:r>
      <w:r>
        <w:rPr>
          <w:rFonts w:hint="eastAsia"/>
        </w:rPr>
        <w:lastRenderedPageBreak/>
        <w:t>plaintiff to submit his comment if any, the plaintiff submitted a List of Objection very similar to that for an oral taxation, asking to tax down the costs to $54,652.  As it is an exercise of summary assessment, I will not go through the objections item by item, instead I will adopt a broad brush approach in view of the background of the proceedings, the nature of the matter and the disputed issues involved.</w:t>
      </w:r>
    </w:p>
    <w:p w:rsidR="00F2437A" w:rsidRDefault="00F2437A" w:rsidP="00F2437A">
      <w:pPr>
        <w:spacing w:line="360" w:lineRule="auto"/>
        <w:jc w:val="both"/>
        <w:rPr>
          <w:rFonts w:hint="eastAsia"/>
        </w:rPr>
      </w:pPr>
    </w:p>
    <w:p w:rsidR="00F2437A" w:rsidRPr="00A13BA6" w:rsidRDefault="00F2437A" w:rsidP="00F2437A">
      <w:pPr>
        <w:spacing w:line="360" w:lineRule="auto"/>
        <w:jc w:val="both"/>
        <w:rPr>
          <w:rFonts w:hint="eastAsia"/>
          <w:b/>
        </w:rPr>
      </w:pPr>
      <w:r w:rsidRPr="00A13BA6">
        <w:rPr>
          <w:rFonts w:hint="eastAsia"/>
          <w:b/>
        </w:rPr>
        <w:t>Summary Assessment</w:t>
      </w:r>
    </w:p>
    <w:p w:rsidR="00F2437A" w:rsidRDefault="00F2437A" w:rsidP="00F2437A">
      <w:pPr>
        <w:spacing w:line="360" w:lineRule="auto"/>
        <w:jc w:val="both"/>
        <w:rPr>
          <w:rFonts w:hint="eastAsia"/>
        </w:rPr>
      </w:pPr>
      <w:r>
        <w:rPr>
          <w:rFonts w:hint="eastAsia"/>
        </w:rPr>
        <w:t>6.</w:t>
      </w:r>
      <w:r>
        <w:rPr>
          <w:rFonts w:hint="eastAsia"/>
        </w:rPr>
        <w:tab/>
        <w:t>As the plaintiff has pointed out in his List of objections, most of the items claimed are routine in nature, counsel was instructed at the early stage of the proceedings.  Further, the Defence was drafted by the counsel, and the defendant took out the striking out summons about three months after he filed his Defence.  There are in substance only two disputed issues related to the merit of the case, one concern the identity of the employer and the other about the condition of the vehicle involved.  I consider a counsel with 10 years experience would have handled the matter competently.</w:t>
      </w:r>
    </w:p>
    <w:p w:rsidR="00F2437A" w:rsidRDefault="00F2437A" w:rsidP="00F2437A">
      <w:pPr>
        <w:spacing w:line="360" w:lineRule="auto"/>
        <w:jc w:val="both"/>
        <w:rPr>
          <w:rFonts w:hint="eastAsia"/>
        </w:rPr>
      </w:pPr>
    </w:p>
    <w:p w:rsidR="00F2437A" w:rsidRDefault="00F2437A" w:rsidP="00F2437A">
      <w:pPr>
        <w:spacing w:line="360" w:lineRule="auto"/>
        <w:jc w:val="both"/>
        <w:rPr>
          <w:rFonts w:hint="eastAsia"/>
        </w:rPr>
      </w:pPr>
      <w:r>
        <w:rPr>
          <w:rFonts w:hint="eastAsia"/>
        </w:rPr>
        <w:t>7.</w:t>
      </w:r>
      <w:r>
        <w:rPr>
          <w:rFonts w:hint="eastAsia"/>
        </w:rPr>
        <w:tab/>
        <w:t xml:space="preserve">Taking into account of the </w:t>
      </w:r>
      <w:r>
        <w:t>volume</w:t>
      </w:r>
      <w:r>
        <w:rPr>
          <w:rFonts w:hint="eastAsia"/>
        </w:rPr>
        <w:t xml:space="preserve"> of the document and the number of the attendance by litigation clerk, I allow $2,000 for the manual work.  For communications and professional work undertook by the instructing solicitors, taking into account the background of the litigation, I consider a total of $30,000 would be reasonable.</w:t>
      </w:r>
    </w:p>
    <w:p w:rsidR="00F2437A" w:rsidRDefault="00F2437A" w:rsidP="00F2437A">
      <w:pPr>
        <w:spacing w:line="360" w:lineRule="auto"/>
        <w:jc w:val="both"/>
        <w:rPr>
          <w:rFonts w:hint="eastAsia"/>
        </w:rPr>
      </w:pPr>
    </w:p>
    <w:p w:rsidR="00F2437A" w:rsidRDefault="00F2437A" w:rsidP="00F2437A">
      <w:pPr>
        <w:spacing w:line="360" w:lineRule="auto"/>
        <w:jc w:val="both"/>
        <w:rPr>
          <w:rFonts w:hint="eastAsia"/>
        </w:rPr>
      </w:pPr>
      <w:r>
        <w:rPr>
          <w:rFonts w:hint="eastAsia"/>
        </w:rPr>
        <w:t>8.</w:t>
      </w:r>
      <w:r>
        <w:rPr>
          <w:rFonts w:hint="eastAsia"/>
        </w:rPr>
        <w:tab/>
        <w:t>For the counsel fees, as stated above, the issues involved were limited, and a counsel with 10 years experience would have handled the matter competently, I will assess this item accordingly and taxed it down to $45,000.</w:t>
      </w:r>
    </w:p>
    <w:p w:rsidR="00F2437A" w:rsidRDefault="00F2437A" w:rsidP="00F2437A">
      <w:pPr>
        <w:spacing w:line="360" w:lineRule="auto"/>
        <w:jc w:val="both"/>
        <w:rPr>
          <w:rFonts w:hint="eastAsia"/>
        </w:rPr>
      </w:pPr>
    </w:p>
    <w:p w:rsidR="00F2437A" w:rsidRPr="00706F7F" w:rsidRDefault="00F2437A" w:rsidP="00F2437A">
      <w:pPr>
        <w:spacing w:line="360" w:lineRule="auto"/>
        <w:jc w:val="both"/>
        <w:rPr>
          <w:rFonts w:hint="eastAsia"/>
          <w:b/>
        </w:rPr>
      </w:pPr>
      <w:r w:rsidRPr="00706F7F">
        <w:rPr>
          <w:rFonts w:hint="eastAsia"/>
          <w:b/>
        </w:rPr>
        <w:t>Summary</w:t>
      </w:r>
    </w:p>
    <w:p w:rsidR="00F2437A" w:rsidRDefault="00F2437A" w:rsidP="00F2437A">
      <w:pPr>
        <w:spacing w:line="360" w:lineRule="auto"/>
        <w:jc w:val="both"/>
        <w:rPr>
          <w:rFonts w:hint="eastAsia"/>
        </w:rPr>
      </w:pPr>
      <w:r>
        <w:rPr>
          <w:rFonts w:hint="eastAsia"/>
        </w:rPr>
        <w:t>9.</w:t>
      </w:r>
      <w:r>
        <w:rPr>
          <w:rFonts w:hint="eastAsia"/>
        </w:rPr>
        <w:tab/>
        <w:t xml:space="preserve"> For the reasons mentioned above I take a broad brush approach and the costs liable by the plaintiff</w:t>
      </w:r>
      <w:r>
        <w:t xml:space="preserve"> </w:t>
      </w:r>
      <w:r>
        <w:rPr>
          <w:rFonts w:hint="eastAsia"/>
        </w:rPr>
        <w:t xml:space="preserve">are </w:t>
      </w:r>
      <w:r>
        <w:t>globally</w:t>
      </w:r>
      <w:r>
        <w:rPr>
          <w:rFonts w:hint="eastAsia"/>
        </w:rPr>
        <w:t xml:space="preserve"> assessed and allowed at $77,000.</w:t>
      </w:r>
    </w:p>
    <w:p w:rsidR="00F2437A" w:rsidRDefault="00F2437A" w:rsidP="00F2437A">
      <w:pPr>
        <w:spacing w:line="360" w:lineRule="auto"/>
        <w:ind w:left="5040"/>
        <w:jc w:val="both"/>
        <w:rPr>
          <w:rFonts w:hint="eastAsia"/>
          <w:color w:val="000000"/>
        </w:rPr>
      </w:pPr>
    </w:p>
    <w:p w:rsidR="00F2437A" w:rsidRDefault="00F2437A" w:rsidP="00F2437A">
      <w:pPr>
        <w:spacing w:line="360" w:lineRule="auto"/>
        <w:ind w:left="5040"/>
        <w:jc w:val="both"/>
        <w:rPr>
          <w:rFonts w:hint="eastAsia"/>
          <w:color w:val="000000"/>
        </w:rPr>
      </w:pPr>
    </w:p>
    <w:p w:rsidR="00F2437A" w:rsidRDefault="00F2437A" w:rsidP="00F2437A">
      <w:pPr>
        <w:spacing w:line="360" w:lineRule="auto"/>
        <w:ind w:left="5040"/>
        <w:jc w:val="both"/>
        <w:rPr>
          <w:rFonts w:hint="eastAsia"/>
          <w:color w:val="000000"/>
        </w:rPr>
      </w:pPr>
    </w:p>
    <w:p w:rsidR="00205D97" w:rsidRDefault="00F2437A" w:rsidP="00205D97">
      <w:pPr>
        <w:pStyle w:val="BodyText"/>
        <w:tabs>
          <w:tab w:val="center" w:pos="6480"/>
        </w:tabs>
        <w:spacing w:line="240" w:lineRule="auto"/>
        <w:rPr>
          <w:rFonts w:hint="eastAsia"/>
        </w:rPr>
      </w:pPr>
      <w:r>
        <w:rPr>
          <w:color w:val="000000"/>
        </w:rPr>
        <w:t xml:space="preserve"> </w:t>
      </w:r>
      <w:r w:rsidR="0060328E">
        <w:rPr>
          <w:rFonts w:eastAsia="PMingLiU" w:hint="eastAsia"/>
          <w:color w:val="000000"/>
          <w:lang w:eastAsia="zh-HK"/>
        </w:rPr>
        <w:tab/>
      </w:r>
      <w:r>
        <w:rPr>
          <w:rFonts w:hint="eastAsia"/>
          <w:color w:val="000000"/>
        </w:rPr>
        <w:t xml:space="preserve"> </w:t>
      </w:r>
      <w:r w:rsidR="00205D97">
        <w:rPr>
          <w:rFonts w:hint="eastAsia"/>
        </w:rPr>
        <w:t>(A</w:t>
      </w:r>
      <w:r w:rsidR="0060328E">
        <w:rPr>
          <w:rFonts w:eastAsia="PMingLiU" w:hint="eastAsia"/>
          <w:lang w:eastAsia="zh-HK"/>
        </w:rPr>
        <w:t>.</w:t>
      </w:r>
      <w:r w:rsidR="00205D97">
        <w:rPr>
          <w:rFonts w:hint="eastAsia"/>
        </w:rPr>
        <w:t xml:space="preserve"> Yim )</w:t>
      </w:r>
    </w:p>
    <w:p w:rsidR="00205D97" w:rsidRDefault="00205D97" w:rsidP="00205D97">
      <w:pPr>
        <w:pStyle w:val="BodyText"/>
        <w:tabs>
          <w:tab w:val="center" w:pos="6480"/>
        </w:tabs>
        <w:spacing w:line="240" w:lineRule="auto"/>
      </w:pPr>
      <w:r>
        <w:rPr>
          <w:rFonts w:hint="eastAsia"/>
        </w:rPr>
        <w:tab/>
        <w:t>Deputy District Judge</w:t>
      </w:r>
    </w:p>
    <w:p w:rsidR="00F2437A" w:rsidRDefault="00F2437A" w:rsidP="00F2437A">
      <w:pPr>
        <w:spacing w:line="360" w:lineRule="auto"/>
        <w:ind w:left="5040"/>
        <w:jc w:val="both"/>
        <w:rPr>
          <w:rFonts w:hint="eastAsia"/>
          <w:color w:val="000000"/>
        </w:rPr>
      </w:pPr>
    </w:p>
    <w:p w:rsidR="00F2437A" w:rsidRDefault="00F2437A" w:rsidP="00F2437A">
      <w:pPr>
        <w:tabs>
          <w:tab w:val="clear" w:pos="4320"/>
        </w:tabs>
        <w:spacing w:line="360" w:lineRule="auto"/>
        <w:jc w:val="both"/>
        <w:rPr>
          <w:rFonts w:hint="eastAsia"/>
          <w:color w:val="000000"/>
        </w:rPr>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Deputy District Judge </w:t>
      </w:r>
    </w:p>
    <w:p w:rsidR="00F2437A" w:rsidRDefault="00F2437A" w:rsidP="00F2437A">
      <w:pPr>
        <w:tabs>
          <w:tab w:val="clear" w:pos="4320"/>
        </w:tabs>
        <w:spacing w:line="360" w:lineRule="auto"/>
        <w:jc w:val="both"/>
        <w:rPr>
          <w:rFonts w:hint="eastAsia"/>
          <w:color w:val="000000"/>
        </w:rPr>
      </w:pPr>
      <w:r>
        <w:rPr>
          <w:rFonts w:hint="eastAsia"/>
          <w:color w:val="000000"/>
        </w:rPr>
        <w:t>Or &amp; Partners for the Plaintiff</w:t>
      </w:r>
    </w:p>
    <w:p w:rsidR="00F2437A" w:rsidRPr="00596E48" w:rsidRDefault="00F2437A" w:rsidP="00F2437A">
      <w:pPr>
        <w:tabs>
          <w:tab w:val="clear" w:pos="4320"/>
        </w:tabs>
        <w:spacing w:line="360" w:lineRule="auto"/>
        <w:jc w:val="both"/>
      </w:pPr>
      <w:r>
        <w:rPr>
          <w:rFonts w:hint="eastAsia"/>
          <w:color w:val="000000"/>
        </w:rPr>
        <w:t>Wong, Kwan &amp; Co. for the Defendant</w:t>
      </w:r>
    </w:p>
    <w:p w:rsidR="00294D37" w:rsidRPr="00F2437A" w:rsidRDefault="00294D37" w:rsidP="00F2437A">
      <w:pPr>
        <w:rPr>
          <w:szCs w:val="28"/>
        </w:rPr>
      </w:pPr>
    </w:p>
    <w:sectPr w:rsidR="00294D37" w:rsidRPr="00F2437A" w:rsidSect="005778AB">
      <w:headerReference w:type="default" r:id="rId8"/>
      <w:pgSz w:w="11906" w:h="16838" w:code="9"/>
      <w:pgMar w:top="180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1EF4" w:rsidRDefault="00451EF4">
      <w:r>
        <w:separator/>
      </w:r>
    </w:p>
  </w:endnote>
  <w:endnote w:type="continuationSeparator" w:id="0">
    <w:p w:rsidR="00451EF4" w:rsidRDefault="0045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1EF4" w:rsidRDefault="00451EF4">
      <w:r>
        <w:separator/>
      </w:r>
    </w:p>
  </w:footnote>
  <w:footnote w:type="continuationSeparator" w:id="0">
    <w:p w:rsidR="00451EF4" w:rsidRDefault="00451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5EF" w:rsidRDefault="000935E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10E29">
      <w:rPr>
        <w:rStyle w:val="PageNumber"/>
        <w:noProof/>
        <w:sz w:val="28"/>
      </w:rPr>
      <w:t>1</w:t>
    </w:r>
    <w:r>
      <w:rPr>
        <w:rStyle w:val="PageNumber"/>
        <w:sz w:val="28"/>
      </w:rPr>
      <w:fldChar w:fldCharType="end"/>
    </w:r>
    <w:r>
      <w:rPr>
        <w:rStyle w:val="PageNumber"/>
        <w:rFonts w:hint="eastAsia"/>
        <w:sz w:val="28"/>
      </w:rPr>
      <w:t xml:space="preserve">  -</w:t>
    </w:r>
    <w:r w:rsidR="00F746EF">
      <w:rPr>
        <w:noProof/>
        <w:sz w:val="28"/>
      </w:rPr>
    </w:r>
    <w:r w:rsidR="00F746E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0935EF" w:rsidRDefault="000935EF">
                <w:pPr>
                  <w:rPr>
                    <w:rFonts w:hint="eastAsia"/>
                    <w:b/>
                    <w:sz w:val="20"/>
                  </w:rPr>
                </w:pPr>
                <w:r>
                  <w:rPr>
                    <w:rFonts w:hint="eastAsia"/>
                    <w:b/>
                    <w:sz w:val="20"/>
                  </w:rPr>
                  <w:t>A</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20"/>
                  </w:rPr>
                </w:pPr>
                <w:r>
                  <w:rPr>
                    <w:rFonts w:hint="eastAsia"/>
                    <w:b/>
                    <w:sz w:val="20"/>
                  </w:rPr>
                  <w:t>B</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C</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pStyle w:val="Heading2"/>
                  <w:rPr>
                    <w:rFonts w:hint="eastAsia"/>
                    <w:sz w:val="16"/>
                  </w:rPr>
                </w:pPr>
                <w:r>
                  <w:rPr>
                    <w:rFonts w:hint="eastAsia"/>
                  </w:rPr>
                  <w:t>D</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E</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20"/>
                  </w:rPr>
                </w:pPr>
                <w:r>
                  <w:rPr>
                    <w:rFonts w:hint="eastAsia"/>
                    <w:b/>
                    <w:sz w:val="20"/>
                  </w:rPr>
                  <w:t>F</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G</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H</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I</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J</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K</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L</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M</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N</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O</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P</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Q</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R</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S</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T</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U</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pStyle w:val="Heading3"/>
                  <w:jc w:val="left"/>
                  <w:rPr>
                    <w:rFonts w:hint="eastAsia"/>
                  </w:rPr>
                </w:pPr>
                <w:r>
                  <w:rPr>
                    <w:rFonts w:hint="eastAsia"/>
                  </w:rPr>
                  <w:t>V</w:t>
                </w:r>
              </w:p>
            </w:txbxContent>
          </v:textbox>
        </v:shape>
      </w:pict>
    </w:r>
    <w:r w:rsidR="00F746EF">
      <w:rPr>
        <w:noProof/>
        <w:sz w:val="28"/>
      </w:rPr>
    </w:r>
    <w:r w:rsidR="00F746EF">
      <w:rPr>
        <w:noProof/>
        <w:sz w:val="28"/>
      </w:rPr>
      <w:pict>
        <v:shape id="_x0000_s1030"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30">
            <w:txbxContent>
              <w:p w:rsidR="000935EF" w:rsidRDefault="000935EF">
                <w:pPr>
                  <w:rPr>
                    <w:rFonts w:eastAsia="SimHei" w:hint="eastAsia"/>
                    <w:b/>
                    <w:sz w:val="18"/>
                  </w:rPr>
                </w:pPr>
              </w:p>
            </w:txbxContent>
          </v:textbox>
        </v:shape>
      </w:pict>
    </w:r>
    <w:r w:rsidR="00F746EF">
      <w:rPr>
        <w:noProof/>
        <w:sz w:val="28"/>
      </w:rPr>
    </w:r>
    <w:r w:rsidR="00F746EF">
      <w:rPr>
        <w:noProof/>
        <w:sz w:val="28"/>
      </w:rPr>
      <w:pict>
        <v:shape id="_x0000_s1029"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29">
            <w:txbxContent>
              <w:p w:rsidR="000935EF" w:rsidRDefault="000935EF">
                <w:pPr>
                  <w:rPr>
                    <w:rFonts w:hint="eastAsia"/>
                    <w:b/>
                    <w:sz w:val="20"/>
                  </w:rPr>
                </w:pPr>
                <w:r>
                  <w:rPr>
                    <w:rFonts w:hint="eastAsia"/>
                    <w:b/>
                    <w:sz w:val="20"/>
                  </w:rPr>
                  <w:t>A</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20"/>
                  </w:rPr>
                </w:pPr>
                <w:r>
                  <w:rPr>
                    <w:rFonts w:hint="eastAsia"/>
                    <w:b/>
                    <w:sz w:val="20"/>
                  </w:rPr>
                  <w:t>B</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C</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pStyle w:val="Heading2"/>
                  <w:rPr>
                    <w:rFonts w:hint="eastAsia"/>
                    <w:sz w:val="16"/>
                  </w:rPr>
                </w:pPr>
                <w:r>
                  <w:rPr>
                    <w:rFonts w:hint="eastAsia"/>
                  </w:rPr>
                  <w:t>D</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E</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20"/>
                  </w:rPr>
                </w:pPr>
                <w:r>
                  <w:rPr>
                    <w:rFonts w:hint="eastAsia"/>
                    <w:b/>
                    <w:sz w:val="20"/>
                  </w:rPr>
                  <w:t>F</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G</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H</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I</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J</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K</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L</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M</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N</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O</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P</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Q</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R</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S</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T</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rPr>
                    <w:rFonts w:hint="eastAsia"/>
                    <w:b/>
                    <w:sz w:val="16"/>
                  </w:rPr>
                </w:pPr>
                <w:r>
                  <w:rPr>
                    <w:rFonts w:hint="eastAsia"/>
                    <w:b/>
                    <w:sz w:val="20"/>
                  </w:rPr>
                  <w:t>U</w:t>
                </w:r>
              </w:p>
              <w:p w:rsidR="000935EF" w:rsidRDefault="000935EF">
                <w:pPr>
                  <w:rPr>
                    <w:rFonts w:hint="eastAsia"/>
                    <w:b/>
                    <w:sz w:val="10"/>
                  </w:rPr>
                </w:pPr>
              </w:p>
              <w:p w:rsidR="000935EF" w:rsidRDefault="000935EF">
                <w:pPr>
                  <w:rPr>
                    <w:rFonts w:hint="eastAsia"/>
                    <w:b/>
                    <w:sz w:val="16"/>
                  </w:rPr>
                </w:pPr>
              </w:p>
              <w:p w:rsidR="000935EF" w:rsidRDefault="000935EF">
                <w:pPr>
                  <w:rPr>
                    <w:rFonts w:hint="eastAsia"/>
                    <w:b/>
                    <w:sz w:val="16"/>
                  </w:rPr>
                </w:pPr>
              </w:p>
              <w:p w:rsidR="000935EF" w:rsidRDefault="000935E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8DE"/>
    <w:multiLevelType w:val="hybridMultilevel"/>
    <w:tmpl w:val="11AA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D89"/>
    <w:multiLevelType w:val="hybridMultilevel"/>
    <w:tmpl w:val="FF3058A0"/>
    <w:lvl w:ilvl="0" w:tplc="0409000F">
      <w:start w:val="1"/>
      <w:numFmt w:val="decimal"/>
      <w:lvlText w:val="%1."/>
      <w:lvlJc w:val="left"/>
      <w:pPr>
        <w:ind w:left="720" w:hanging="360"/>
      </w:pPr>
    </w:lvl>
    <w:lvl w:ilvl="1" w:tplc="8D206C3E">
      <w:start w:val="1"/>
      <w:numFmt w:val="japaneseCounting"/>
      <w:lvlText w:val="%2，"/>
      <w:lvlJc w:val="left"/>
      <w:pPr>
        <w:ind w:left="1800" w:hanging="720"/>
      </w:pPr>
      <w:rPr>
        <w:rFonts w:hAnsi="PMingLiU"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7653"/>
    <w:multiLevelType w:val="hybridMultilevel"/>
    <w:tmpl w:val="0840C5A0"/>
    <w:lvl w:ilvl="0" w:tplc="0409000F">
      <w:start w:val="1"/>
      <w:numFmt w:val="decimal"/>
      <w:lvlText w:val="%1."/>
      <w:lvlJc w:val="left"/>
      <w:pPr>
        <w:ind w:left="720" w:hanging="360"/>
      </w:pPr>
    </w:lvl>
    <w:lvl w:ilvl="1" w:tplc="143A5156">
      <w:start w:val="1"/>
      <w:numFmt w:val="upperLetter"/>
      <w:lvlText w:val="（%2）"/>
      <w:lvlJc w:val="left"/>
      <w:pPr>
        <w:ind w:left="1860" w:hanging="7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54604"/>
    <w:multiLevelType w:val="hybridMultilevel"/>
    <w:tmpl w:val="5F4EB08A"/>
    <w:lvl w:ilvl="0" w:tplc="8BEA2846">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1D68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9F34C8"/>
    <w:multiLevelType w:val="singleLevel"/>
    <w:tmpl w:val="31A4A8A0"/>
    <w:lvl w:ilvl="0">
      <w:start w:val="1"/>
      <w:numFmt w:val="decimal"/>
      <w:lvlText w:val="%1."/>
      <w:legacy w:legacy="1" w:legacySpace="0" w:legacyIndent="907"/>
      <w:lvlJc w:val="left"/>
    </w:lvl>
  </w:abstractNum>
  <w:abstractNum w:abstractNumId="6" w15:restartNumberingAfterBreak="0">
    <w:nsid w:val="2586366D"/>
    <w:multiLevelType w:val="hybridMultilevel"/>
    <w:tmpl w:val="4CD6358C"/>
    <w:lvl w:ilvl="0" w:tplc="C54C7012">
      <w:start w:val="1"/>
      <w:numFmt w:val="lowerRoman"/>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E62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26191A"/>
    <w:multiLevelType w:val="hybridMultilevel"/>
    <w:tmpl w:val="F8EC212E"/>
    <w:lvl w:ilvl="0" w:tplc="6A2A54BE">
      <w:start w:val="1"/>
      <w:numFmt w:val="lowerLetter"/>
      <w:lvlText w:val="(%1)"/>
      <w:lvlJc w:val="left"/>
      <w:pPr>
        <w:ind w:left="1725" w:hanging="645"/>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D605B8"/>
    <w:multiLevelType w:val="hybridMultilevel"/>
    <w:tmpl w:val="222A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76269"/>
    <w:multiLevelType w:val="hybridMultilevel"/>
    <w:tmpl w:val="5F74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C2788"/>
    <w:multiLevelType w:val="hybridMultilevel"/>
    <w:tmpl w:val="7D082098"/>
    <w:lvl w:ilvl="0" w:tplc="8A9C19C2">
      <w:start w:val="1"/>
      <w:numFmt w:val="lowerLetter"/>
      <w:lvlText w:val="(%1)"/>
      <w:lvlJc w:val="left"/>
      <w:pPr>
        <w:ind w:left="1440" w:hanging="360"/>
      </w:pPr>
      <w:rPr>
        <w:rFonts w:hAnsi="PMingLiU"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610255"/>
    <w:multiLevelType w:val="hybridMultilevel"/>
    <w:tmpl w:val="39CA6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F1288"/>
    <w:multiLevelType w:val="hybridMultilevel"/>
    <w:tmpl w:val="80969222"/>
    <w:lvl w:ilvl="0" w:tplc="6D6E7710">
      <w:start w:val="1"/>
      <w:numFmt w:val="decimal"/>
      <w:lvlText w:val="%1."/>
      <w:lvlJc w:val="left"/>
      <w:pPr>
        <w:tabs>
          <w:tab w:val="num" w:pos="1080"/>
        </w:tabs>
        <w:ind w:left="1080" w:hanging="720"/>
      </w:pPr>
      <w:rPr>
        <w:rFonts w:hint="eastAsia"/>
      </w:rPr>
    </w:lvl>
    <w:lvl w:ilvl="1" w:tplc="BD145518">
      <w:start w:val="1"/>
      <w:numFmt w:val="decimal"/>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F0527F"/>
    <w:multiLevelType w:val="hybridMultilevel"/>
    <w:tmpl w:val="E1E236E8"/>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4273C30"/>
    <w:multiLevelType w:val="hybridMultilevel"/>
    <w:tmpl w:val="6C4CF93A"/>
    <w:lvl w:ilvl="0" w:tplc="FCC4B550">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DF7798"/>
    <w:multiLevelType w:val="hybridMultilevel"/>
    <w:tmpl w:val="C04CCF08"/>
    <w:lvl w:ilvl="0" w:tplc="CFFED41E">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937240">
    <w:abstractNumId w:val="5"/>
  </w:num>
  <w:num w:numId="2" w16cid:durableId="497576916">
    <w:abstractNumId w:val="1"/>
  </w:num>
  <w:num w:numId="3" w16cid:durableId="2031566912">
    <w:abstractNumId w:val="12"/>
  </w:num>
  <w:num w:numId="4" w16cid:durableId="427166407">
    <w:abstractNumId w:val="0"/>
  </w:num>
  <w:num w:numId="5" w16cid:durableId="441807098">
    <w:abstractNumId w:val="10"/>
  </w:num>
  <w:num w:numId="6" w16cid:durableId="1833065123">
    <w:abstractNumId w:val="16"/>
  </w:num>
  <w:num w:numId="7" w16cid:durableId="1773090142">
    <w:abstractNumId w:val="4"/>
  </w:num>
  <w:num w:numId="8" w16cid:durableId="616525492">
    <w:abstractNumId w:val="15"/>
  </w:num>
  <w:num w:numId="9" w16cid:durableId="1321738499">
    <w:abstractNumId w:val="7"/>
  </w:num>
  <w:num w:numId="10" w16cid:durableId="564537013">
    <w:abstractNumId w:val="9"/>
  </w:num>
  <w:num w:numId="11" w16cid:durableId="931161398">
    <w:abstractNumId w:val="2"/>
  </w:num>
  <w:num w:numId="12" w16cid:durableId="310057929">
    <w:abstractNumId w:val="11"/>
  </w:num>
  <w:num w:numId="13" w16cid:durableId="343821618">
    <w:abstractNumId w:val="14"/>
  </w:num>
  <w:num w:numId="14" w16cid:durableId="1187793887">
    <w:abstractNumId w:val="3"/>
  </w:num>
  <w:num w:numId="15" w16cid:durableId="1591965432">
    <w:abstractNumId w:val="8"/>
  </w:num>
  <w:num w:numId="16" w16cid:durableId="1527786621">
    <w:abstractNumId w:val="13"/>
  </w:num>
  <w:num w:numId="17" w16cid:durableId="207653993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o:colormenu v:ext="edit" stroke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A25"/>
    <w:rsid w:val="000935EF"/>
    <w:rsid w:val="000A08C9"/>
    <w:rsid w:val="000A5336"/>
    <w:rsid w:val="000D6BA6"/>
    <w:rsid w:val="001050EF"/>
    <w:rsid w:val="00105220"/>
    <w:rsid w:val="00117055"/>
    <w:rsid w:val="00125B7D"/>
    <w:rsid w:val="00136EF6"/>
    <w:rsid w:val="00153BC2"/>
    <w:rsid w:val="001825C3"/>
    <w:rsid w:val="00183CD0"/>
    <w:rsid w:val="001C1936"/>
    <w:rsid w:val="001C2A6D"/>
    <w:rsid w:val="001D12D6"/>
    <w:rsid w:val="001F1EAC"/>
    <w:rsid w:val="001F5AD0"/>
    <w:rsid w:val="00205D97"/>
    <w:rsid w:val="00225D05"/>
    <w:rsid w:val="002376BA"/>
    <w:rsid w:val="00287A21"/>
    <w:rsid w:val="00294D37"/>
    <w:rsid w:val="00295D33"/>
    <w:rsid w:val="002C2E65"/>
    <w:rsid w:val="002C35AE"/>
    <w:rsid w:val="003004C2"/>
    <w:rsid w:val="003106B9"/>
    <w:rsid w:val="0032587E"/>
    <w:rsid w:val="0032681C"/>
    <w:rsid w:val="00343693"/>
    <w:rsid w:val="003463D1"/>
    <w:rsid w:val="003527A7"/>
    <w:rsid w:val="0035779E"/>
    <w:rsid w:val="003631EB"/>
    <w:rsid w:val="00384BD9"/>
    <w:rsid w:val="003D30D1"/>
    <w:rsid w:val="003D6785"/>
    <w:rsid w:val="003E31AF"/>
    <w:rsid w:val="003F29A2"/>
    <w:rsid w:val="0040065C"/>
    <w:rsid w:val="00413CA0"/>
    <w:rsid w:val="00451EF4"/>
    <w:rsid w:val="004555CF"/>
    <w:rsid w:val="00457610"/>
    <w:rsid w:val="004C75EF"/>
    <w:rsid w:val="004D79A3"/>
    <w:rsid w:val="00500F60"/>
    <w:rsid w:val="00521A4C"/>
    <w:rsid w:val="0057298B"/>
    <w:rsid w:val="005778AB"/>
    <w:rsid w:val="00584DCC"/>
    <w:rsid w:val="005A6466"/>
    <w:rsid w:val="005A650F"/>
    <w:rsid w:val="005C6907"/>
    <w:rsid w:val="0060328E"/>
    <w:rsid w:val="00617AC7"/>
    <w:rsid w:val="0063028B"/>
    <w:rsid w:val="00652412"/>
    <w:rsid w:val="00666823"/>
    <w:rsid w:val="00674223"/>
    <w:rsid w:val="006767D2"/>
    <w:rsid w:val="006E6997"/>
    <w:rsid w:val="00706657"/>
    <w:rsid w:val="007129BC"/>
    <w:rsid w:val="007239A5"/>
    <w:rsid w:val="00743F8D"/>
    <w:rsid w:val="0075066A"/>
    <w:rsid w:val="00765B5C"/>
    <w:rsid w:val="00780BB1"/>
    <w:rsid w:val="00796853"/>
    <w:rsid w:val="007C5286"/>
    <w:rsid w:val="007D0723"/>
    <w:rsid w:val="007F2814"/>
    <w:rsid w:val="00827B62"/>
    <w:rsid w:val="0086197F"/>
    <w:rsid w:val="00864210"/>
    <w:rsid w:val="00871866"/>
    <w:rsid w:val="00876A25"/>
    <w:rsid w:val="008C6FE8"/>
    <w:rsid w:val="008E14D9"/>
    <w:rsid w:val="008E1EE2"/>
    <w:rsid w:val="0094005D"/>
    <w:rsid w:val="009C6A32"/>
    <w:rsid w:val="009D0378"/>
    <w:rsid w:val="009D1811"/>
    <w:rsid w:val="009D5666"/>
    <w:rsid w:val="009F2FBD"/>
    <w:rsid w:val="009F7314"/>
    <w:rsid w:val="00A046E7"/>
    <w:rsid w:val="00A150D8"/>
    <w:rsid w:val="00AB677D"/>
    <w:rsid w:val="00AC2913"/>
    <w:rsid w:val="00AE63A5"/>
    <w:rsid w:val="00B14BAE"/>
    <w:rsid w:val="00B26A32"/>
    <w:rsid w:val="00B8503F"/>
    <w:rsid w:val="00B91AE3"/>
    <w:rsid w:val="00BB50E1"/>
    <w:rsid w:val="00BD6133"/>
    <w:rsid w:val="00BE2B82"/>
    <w:rsid w:val="00BF5771"/>
    <w:rsid w:val="00C06DB3"/>
    <w:rsid w:val="00C10E29"/>
    <w:rsid w:val="00C155F2"/>
    <w:rsid w:val="00C24103"/>
    <w:rsid w:val="00C434B4"/>
    <w:rsid w:val="00C4687E"/>
    <w:rsid w:val="00C64232"/>
    <w:rsid w:val="00C738C7"/>
    <w:rsid w:val="00C85473"/>
    <w:rsid w:val="00CA7366"/>
    <w:rsid w:val="00CC7CA2"/>
    <w:rsid w:val="00CE7DA0"/>
    <w:rsid w:val="00CF3ADC"/>
    <w:rsid w:val="00D012DB"/>
    <w:rsid w:val="00D557C4"/>
    <w:rsid w:val="00D71B76"/>
    <w:rsid w:val="00D73DD5"/>
    <w:rsid w:val="00DE45E6"/>
    <w:rsid w:val="00DF4FD1"/>
    <w:rsid w:val="00E33BB2"/>
    <w:rsid w:val="00E33D37"/>
    <w:rsid w:val="00E63C01"/>
    <w:rsid w:val="00E66AF1"/>
    <w:rsid w:val="00E82841"/>
    <w:rsid w:val="00E8686D"/>
    <w:rsid w:val="00E973FB"/>
    <w:rsid w:val="00EC1100"/>
    <w:rsid w:val="00EE61CE"/>
    <w:rsid w:val="00F079F5"/>
    <w:rsid w:val="00F177AD"/>
    <w:rsid w:val="00F2437A"/>
    <w:rsid w:val="00F32278"/>
    <w:rsid w:val="00F34222"/>
    <w:rsid w:val="00F51261"/>
    <w:rsid w:val="00F51434"/>
    <w:rsid w:val="00F60097"/>
    <w:rsid w:val="00F61DC4"/>
    <w:rsid w:val="00F63A16"/>
    <w:rsid w:val="00F746EF"/>
    <w:rsid w:val="00F75000"/>
    <w:rsid w:val="00F94958"/>
    <w:rsid w:val="00FA45AB"/>
    <w:rsid w:val="00FB10BC"/>
    <w:rsid w:val="00FB52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shapelayout>
  </w:shapeDefaults>
  <w:decimalSymbol w:val="."/>
  <w:listSeparator w:val=","/>
  <w15:chartTrackingRefBased/>
  <w15:docId w15:val="{3DF5B9E3-66CE-104A-A446-830A907C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pPr>
      <w:tabs>
        <w:tab w:val="clear" w:pos="4320"/>
      </w:tabs>
      <w:ind w:left="1120" w:hanging="1120"/>
    </w:pPr>
    <w:rPr>
      <w:sz w:val="26"/>
    </w:rPr>
  </w:style>
  <w:style w:type="paragraph" w:styleId="NoteHeading">
    <w:name w:val="Note Heading"/>
    <w:basedOn w:val="Normal"/>
    <w:next w:val="Normal"/>
    <w:semiHidden/>
    <w:rPr>
      <w:rFonts w:ascii="SimSun" w:hAnsi="SimSun"/>
      <w:sz w:val="26"/>
      <w:lang w:eastAsia="zh-TW"/>
    </w:rPr>
  </w:style>
  <w:style w:type="paragraph" w:styleId="Closing">
    <w:name w:val="Closing"/>
    <w:basedOn w:val="Normal"/>
    <w:semiHidden/>
    <w:pPr>
      <w:ind w:left="4252"/>
    </w:pPr>
    <w:rPr>
      <w:rFonts w:ascii="SimSun" w:hAnsi="SimSun"/>
      <w:sz w:val="26"/>
      <w:lang w:eastAsia="zh-TW"/>
    </w:rPr>
  </w:style>
  <w:style w:type="character" w:styleId="Hyperlink">
    <w:name w:val="Hyperlink"/>
    <w:basedOn w:val="DefaultParagraphFont"/>
    <w:semiHidden/>
    <w:rPr>
      <w:strike w:val="0"/>
      <w:dstrike w:val="0"/>
      <w:color w:val="0F3A6F"/>
      <w:u w:val="none"/>
      <w:effect w:val="none"/>
    </w:rPr>
  </w:style>
  <w:style w:type="character" w:customStyle="1" w:styleId="article">
    <w:name w:val="article"/>
    <w:basedOn w:val="DefaultParagraphFont"/>
  </w:style>
  <w:style w:type="paragraph" w:styleId="ListParagraph">
    <w:name w:val="List Paragraph"/>
    <w:basedOn w:val="Normal"/>
    <w:uiPriority w:val="34"/>
    <w:qFormat/>
    <w:rsid w:val="009F2FBD"/>
    <w:pPr>
      <w:ind w:left="720"/>
    </w:pPr>
  </w:style>
  <w:style w:type="table" w:styleId="TableGrid">
    <w:name w:val="Table Grid"/>
    <w:basedOn w:val="TableNormal"/>
    <w:uiPriority w:val="59"/>
    <w:rsid w:val="00E6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CF3ADC"/>
    <w:rPr>
      <w:sz w:val="20"/>
    </w:rPr>
  </w:style>
  <w:style w:type="character" w:customStyle="1" w:styleId="FootnoteTextChar">
    <w:name w:val="Footnote Text Char"/>
    <w:basedOn w:val="DefaultParagraphFont"/>
    <w:link w:val="FootnoteText"/>
    <w:uiPriority w:val="99"/>
    <w:semiHidden/>
    <w:rsid w:val="00CF3ADC"/>
  </w:style>
  <w:style w:type="character" w:styleId="FootnoteReference">
    <w:name w:val="footnote reference"/>
    <w:basedOn w:val="DefaultParagraphFont"/>
    <w:semiHidden/>
    <w:unhideWhenUsed/>
    <w:rsid w:val="00CF3ADC"/>
    <w:rPr>
      <w:vertAlign w:val="superscript"/>
    </w:rPr>
  </w:style>
  <w:style w:type="paragraph" w:styleId="NormalWeb">
    <w:name w:val="Normal (Web)"/>
    <w:basedOn w:val="Normal"/>
    <w:semiHidden/>
    <w:rsid w:val="002C35AE"/>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3C6C-25C9-4A5D-9074-04935C7E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2013-09-23T04:10:00Z</cp:lastPrinted>
  <dcterms:created xsi:type="dcterms:W3CDTF">2023-10-14T01:14:00Z</dcterms:created>
  <dcterms:modified xsi:type="dcterms:W3CDTF">2023-10-14T01:14:00Z</dcterms:modified>
</cp:coreProperties>
</file>