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3304EA" w:rsidRDefault="00183AAF" w:rsidP="00384F4A">
      <w:pPr>
        <w:pStyle w:val="Heading1"/>
        <w:keepNext w:val="0"/>
        <w:tabs>
          <w:tab w:val="left" w:pos="1440"/>
        </w:tabs>
        <w:snapToGrid w:val="0"/>
        <w:spacing w:before="0" w:after="0" w:line="360" w:lineRule="auto"/>
        <w:jc w:val="right"/>
        <w:rPr>
          <w:rFonts w:ascii="Times New Roman" w:eastAsia="PMingLiU" w:hAnsi="Times New Roman"/>
          <w:b w:val="0"/>
          <w:kern w:val="0"/>
          <w:szCs w:val="28"/>
          <w:lang w:eastAsia="zh-TW"/>
        </w:rPr>
      </w:pPr>
      <w:bookmarkStart w:id="0" w:name="_GoBack"/>
      <w:r w:rsidRPr="003304EA">
        <w:rPr>
          <w:rFonts w:ascii="Times New Roman" w:eastAsia="PMingLiU" w:hAnsi="Times New Roman"/>
          <w:b w:val="0"/>
          <w:kern w:val="0"/>
          <w:szCs w:val="28"/>
          <w:lang w:eastAsia="zh-TW"/>
        </w:rPr>
        <w:t xml:space="preserve">DCPI </w:t>
      </w:r>
      <w:r w:rsidR="0070773B">
        <w:rPr>
          <w:rFonts w:ascii="Times New Roman" w:eastAsia="PMingLiU" w:hAnsi="Times New Roman"/>
          <w:b w:val="0"/>
          <w:kern w:val="0"/>
          <w:szCs w:val="28"/>
          <w:lang w:eastAsia="zh-TW"/>
        </w:rPr>
        <w:t>1134</w:t>
      </w:r>
      <w:r w:rsidR="003D0654">
        <w:rPr>
          <w:rFonts w:ascii="Times New Roman" w:eastAsia="PMingLiU" w:hAnsi="Times New Roman"/>
          <w:b w:val="0"/>
          <w:kern w:val="0"/>
          <w:szCs w:val="28"/>
          <w:lang w:eastAsia="zh-TW"/>
        </w:rPr>
        <w:t>/20</w:t>
      </w:r>
      <w:r w:rsidR="0070773B">
        <w:rPr>
          <w:rFonts w:ascii="Times New Roman" w:eastAsia="PMingLiU" w:hAnsi="Times New Roman"/>
          <w:b w:val="0"/>
          <w:kern w:val="0"/>
          <w:szCs w:val="28"/>
          <w:lang w:eastAsia="zh-TW"/>
        </w:rPr>
        <w:t>19</w:t>
      </w:r>
    </w:p>
    <w:bookmarkEnd w:id="0"/>
    <w:p w:rsidR="0038513F" w:rsidRPr="00396207" w:rsidRDefault="00412105" w:rsidP="00384F4A">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396207" w:rsidRPr="00396207">
            <w:rPr>
              <w:rStyle w:val="PlaceholderText"/>
              <w:color w:val="auto"/>
            </w:rPr>
            <w:t>[2021] HKDC 1127</w:t>
          </w:r>
        </w:sdtContent>
      </w:sdt>
    </w:p>
    <w:p w:rsidR="00EF528F" w:rsidRPr="003304EA" w:rsidRDefault="00EF528F" w:rsidP="00384F4A">
      <w:pPr>
        <w:spacing w:line="360" w:lineRule="auto"/>
        <w:rPr>
          <w:rFonts w:eastAsia="PMingLiU"/>
          <w:szCs w:val="28"/>
          <w:lang w:val="en-GB" w:eastAsia="zh-TW"/>
        </w:rPr>
      </w:pPr>
    </w:p>
    <w:p w:rsidR="00183AAF" w:rsidRPr="003304EA" w:rsidRDefault="00183AAF" w:rsidP="00384F4A">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70773B" w:rsidRPr="00947A6A" w:rsidRDefault="0070773B" w:rsidP="0070773B">
      <w:pPr>
        <w:keepNext/>
        <w:tabs>
          <w:tab w:val="clear" w:pos="1440"/>
          <w:tab w:val="clear" w:pos="4320"/>
          <w:tab w:val="clear" w:pos="9072"/>
        </w:tabs>
        <w:snapToGrid/>
        <w:spacing w:line="360" w:lineRule="auto"/>
        <w:jc w:val="center"/>
        <w:outlineLvl w:val="2"/>
        <w:rPr>
          <w:b/>
          <w:bCs/>
          <w:szCs w:val="28"/>
          <w:lang w:val="en-GB"/>
        </w:rPr>
      </w:pPr>
      <w:r w:rsidRPr="00947A6A">
        <w:rPr>
          <w:b/>
          <w:bCs/>
          <w:szCs w:val="28"/>
          <w:lang w:val="en-GB"/>
        </w:rPr>
        <w:t>IN THE DISTRICT COURT OF THE</w:t>
      </w:r>
    </w:p>
    <w:p w:rsidR="0070773B" w:rsidRPr="00947A6A" w:rsidRDefault="0070773B" w:rsidP="0070773B">
      <w:pPr>
        <w:keepNext/>
        <w:tabs>
          <w:tab w:val="clear" w:pos="1440"/>
          <w:tab w:val="clear" w:pos="4320"/>
          <w:tab w:val="clear" w:pos="9072"/>
        </w:tabs>
        <w:snapToGrid/>
        <w:spacing w:line="360" w:lineRule="auto"/>
        <w:jc w:val="center"/>
        <w:outlineLvl w:val="2"/>
        <w:rPr>
          <w:b/>
          <w:bCs/>
          <w:szCs w:val="28"/>
          <w:lang w:val="en-GB" w:eastAsia="en-US"/>
        </w:rPr>
      </w:pPr>
      <w:r w:rsidRPr="00947A6A">
        <w:rPr>
          <w:b/>
          <w:bCs/>
          <w:szCs w:val="28"/>
          <w:lang w:val="en-GB" w:eastAsia="en-US"/>
        </w:rPr>
        <w:t>HONG KONG SPECIAL ADMINISTRATIVE REGION</w:t>
      </w:r>
    </w:p>
    <w:p w:rsidR="0070773B" w:rsidRPr="00947A6A" w:rsidRDefault="0070773B" w:rsidP="0070773B">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947A6A">
        <w:rPr>
          <w:rFonts w:ascii="Times New Roman" w:hAnsi="Times New Roman"/>
          <w:b w:val="0"/>
          <w:kern w:val="0"/>
          <w:szCs w:val="28"/>
          <w:lang w:val="en-US"/>
        </w:rPr>
        <w:t xml:space="preserve">PERSONAL INJURIES ACTION NO </w:t>
      </w:r>
      <w:r>
        <w:rPr>
          <w:rFonts w:ascii="Times New Roman" w:hAnsi="Times New Roman"/>
          <w:b w:val="0"/>
          <w:kern w:val="0"/>
          <w:szCs w:val="28"/>
          <w:lang w:val="en-US"/>
        </w:rPr>
        <w:t>1134 OF 2019</w:t>
      </w:r>
    </w:p>
    <w:p w:rsidR="0070773B" w:rsidRPr="00947A6A" w:rsidRDefault="0070773B" w:rsidP="0070773B">
      <w:pPr>
        <w:spacing w:line="360" w:lineRule="auto"/>
        <w:rPr>
          <w:szCs w:val="28"/>
          <w:lang w:val="en-GB" w:eastAsia="zh-TW"/>
        </w:rPr>
      </w:pPr>
    </w:p>
    <w:p w:rsidR="0070773B" w:rsidRPr="00947A6A" w:rsidRDefault="0070773B" w:rsidP="0070773B">
      <w:pPr>
        <w:tabs>
          <w:tab w:val="clear" w:pos="1440"/>
          <w:tab w:val="clear" w:pos="4320"/>
          <w:tab w:val="clear" w:pos="9072"/>
          <w:tab w:val="left" w:pos="2100"/>
        </w:tabs>
        <w:spacing w:line="360" w:lineRule="auto"/>
        <w:jc w:val="center"/>
        <w:rPr>
          <w:rFonts w:eastAsia="PMingLiU"/>
          <w:caps/>
          <w:szCs w:val="28"/>
          <w:lang w:eastAsia="zh-TW"/>
        </w:rPr>
      </w:pPr>
      <w:r w:rsidRPr="00947A6A">
        <w:rPr>
          <w:rFonts w:eastAsia="PMingLiU"/>
          <w:caps/>
          <w:szCs w:val="28"/>
          <w:lang w:eastAsia="zh-TW"/>
        </w:rPr>
        <w:t>---------------------------</w:t>
      </w:r>
    </w:p>
    <w:p w:rsidR="0070773B" w:rsidRPr="00947A6A" w:rsidRDefault="0070773B" w:rsidP="0070773B">
      <w:pPr>
        <w:tabs>
          <w:tab w:val="clear" w:pos="1440"/>
          <w:tab w:val="clear" w:pos="4320"/>
          <w:tab w:val="clear" w:pos="9072"/>
        </w:tabs>
        <w:snapToGrid/>
        <w:spacing w:line="360" w:lineRule="auto"/>
        <w:jc w:val="both"/>
        <w:rPr>
          <w:bCs/>
          <w:szCs w:val="28"/>
          <w:lang w:val="en-GB"/>
        </w:rPr>
      </w:pPr>
      <w:r w:rsidRPr="00947A6A">
        <w:rPr>
          <w:bCs/>
          <w:szCs w:val="28"/>
          <w:lang w:val="en-GB"/>
        </w:rPr>
        <w:t>BETWEEN</w:t>
      </w:r>
    </w:p>
    <w:p w:rsidR="0070773B" w:rsidRPr="00947A6A" w:rsidRDefault="0070773B" w:rsidP="0070773B">
      <w:pPr>
        <w:tabs>
          <w:tab w:val="clear" w:pos="1440"/>
          <w:tab w:val="clear" w:pos="4320"/>
          <w:tab w:val="clear" w:pos="9072"/>
          <w:tab w:val="center" w:pos="4140"/>
          <w:tab w:val="right" w:pos="8280"/>
        </w:tabs>
        <w:snapToGrid/>
        <w:spacing w:line="360" w:lineRule="auto"/>
        <w:rPr>
          <w:bCs/>
          <w:szCs w:val="28"/>
          <w:lang w:val="en-GB"/>
        </w:rPr>
      </w:pPr>
      <w:r w:rsidRPr="00947A6A">
        <w:rPr>
          <w:bCs/>
          <w:szCs w:val="28"/>
          <w:lang w:val="en-GB"/>
        </w:rPr>
        <w:tab/>
      </w:r>
      <w:r w:rsidRPr="00A03A4D">
        <w:rPr>
          <w:bCs/>
          <w:szCs w:val="28"/>
        </w:rPr>
        <w:t>LO KING HUNG</w:t>
      </w:r>
      <w:r w:rsidRPr="00947A6A">
        <w:rPr>
          <w:bCs/>
          <w:szCs w:val="28"/>
          <w:lang w:val="en-GB"/>
        </w:rPr>
        <w:tab/>
        <w:t>Plaintiff</w:t>
      </w:r>
    </w:p>
    <w:p w:rsidR="0070773B" w:rsidRPr="00947A6A" w:rsidRDefault="0070773B" w:rsidP="0070773B">
      <w:pPr>
        <w:tabs>
          <w:tab w:val="clear" w:pos="1440"/>
          <w:tab w:val="clear" w:pos="4320"/>
          <w:tab w:val="clear" w:pos="9072"/>
          <w:tab w:val="center" w:pos="4140"/>
        </w:tabs>
        <w:snapToGrid/>
        <w:spacing w:line="360" w:lineRule="auto"/>
        <w:jc w:val="center"/>
        <w:rPr>
          <w:bCs/>
          <w:szCs w:val="28"/>
          <w:lang w:val="en-GB"/>
        </w:rPr>
      </w:pPr>
      <w:r w:rsidRPr="00947A6A">
        <w:rPr>
          <w:bCs/>
          <w:szCs w:val="28"/>
          <w:lang w:val="en-GB"/>
        </w:rPr>
        <w:t>and</w:t>
      </w:r>
    </w:p>
    <w:p w:rsidR="0070773B" w:rsidRPr="00947A6A" w:rsidRDefault="0070773B" w:rsidP="0070773B">
      <w:pPr>
        <w:tabs>
          <w:tab w:val="clear" w:pos="1440"/>
          <w:tab w:val="clear" w:pos="4320"/>
          <w:tab w:val="clear" w:pos="9072"/>
          <w:tab w:val="center" w:pos="4140"/>
          <w:tab w:val="right" w:pos="8280"/>
        </w:tabs>
        <w:snapToGrid/>
        <w:spacing w:line="360" w:lineRule="auto"/>
        <w:rPr>
          <w:bCs/>
          <w:szCs w:val="28"/>
          <w:lang w:val="en-GB"/>
        </w:rPr>
      </w:pPr>
      <w:r w:rsidRPr="00947A6A">
        <w:rPr>
          <w:bCs/>
          <w:szCs w:val="28"/>
        </w:rPr>
        <w:tab/>
      </w:r>
      <w:r w:rsidRPr="00A03A4D">
        <w:rPr>
          <w:bCs/>
          <w:szCs w:val="28"/>
        </w:rPr>
        <w:t>ETERNAL RICHEST LIMITED</w:t>
      </w:r>
      <w:r w:rsidRPr="00947A6A">
        <w:rPr>
          <w:bCs/>
          <w:szCs w:val="28"/>
          <w:lang w:val="en-GB"/>
        </w:rPr>
        <w:tab/>
        <w:t>Defendant</w:t>
      </w:r>
    </w:p>
    <w:p w:rsidR="0070773B" w:rsidRPr="00947A6A" w:rsidRDefault="0070773B" w:rsidP="0070773B">
      <w:pPr>
        <w:tabs>
          <w:tab w:val="clear" w:pos="1440"/>
          <w:tab w:val="clear" w:pos="4320"/>
          <w:tab w:val="clear" w:pos="9072"/>
          <w:tab w:val="left" w:pos="2100"/>
        </w:tabs>
        <w:spacing w:line="360" w:lineRule="auto"/>
        <w:jc w:val="center"/>
        <w:rPr>
          <w:rFonts w:eastAsia="PMingLiU"/>
          <w:caps/>
          <w:szCs w:val="28"/>
          <w:lang w:eastAsia="zh-TW"/>
        </w:rPr>
      </w:pPr>
      <w:r w:rsidRPr="00947A6A">
        <w:rPr>
          <w:rFonts w:eastAsia="PMingLiU"/>
          <w:caps/>
          <w:szCs w:val="28"/>
          <w:lang w:eastAsia="zh-TW"/>
        </w:rPr>
        <w:t>---------------------------</w:t>
      </w:r>
    </w:p>
    <w:p w:rsidR="0070773B" w:rsidRPr="00947A6A" w:rsidRDefault="0070773B" w:rsidP="0070773B">
      <w:pPr>
        <w:pStyle w:val="normal3"/>
        <w:tabs>
          <w:tab w:val="clear" w:pos="4320"/>
          <w:tab w:val="clear" w:pos="4500"/>
          <w:tab w:val="clear" w:pos="9000"/>
          <w:tab w:val="clear" w:pos="9072"/>
        </w:tabs>
        <w:overflowPunct/>
        <w:autoSpaceDE/>
        <w:autoSpaceDN/>
        <w:adjustRightInd w:val="0"/>
        <w:jc w:val="both"/>
        <w:rPr>
          <w:rFonts w:eastAsia="宋体"/>
          <w:lang w:val="en-US" w:eastAsia="zh-TW"/>
        </w:rPr>
      </w:pPr>
    </w:p>
    <w:p w:rsidR="0070773B" w:rsidRPr="00947A6A" w:rsidRDefault="0070773B" w:rsidP="0070773B">
      <w:pPr>
        <w:pStyle w:val="Heading5"/>
        <w:tabs>
          <w:tab w:val="left" w:pos="1440"/>
        </w:tabs>
        <w:spacing w:line="360" w:lineRule="auto"/>
        <w:jc w:val="both"/>
        <w:rPr>
          <w:rFonts w:ascii="Times New Roman" w:hAnsi="Times New Roman"/>
          <w:b w:val="0"/>
          <w:sz w:val="28"/>
          <w:szCs w:val="28"/>
        </w:rPr>
      </w:pPr>
      <w:r w:rsidRPr="00947A6A">
        <w:rPr>
          <w:rFonts w:ascii="Times New Roman" w:hAnsi="Times New Roman"/>
          <w:b w:val="0"/>
          <w:sz w:val="28"/>
          <w:szCs w:val="28"/>
        </w:rPr>
        <w:t>Before:  His Honour Judge Andrew Li in Chambers (Open to public)</w:t>
      </w:r>
    </w:p>
    <w:p w:rsidR="0070773B" w:rsidRPr="00947A6A" w:rsidRDefault="0070773B" w:rsidP="0070773B">
      <w:pPr>
        <w:spacing w:line="360" w:lineRule="auto"/>
        <w:rPr>
          <w:bCs/>
          <w:szCs w:val="28"/>
          <w:lang w:val="en-GB"/>
        </w:rPr>
      </w:pPr>
      <w:r w:rsidRPr="00947A6A">
        <w:rPr>
          <w:bCs/>
          <w:szCs w:val="28"/>
          <w:lang w:val="en-GB"/>
        </w:rPr>
        <w:t xml:space="preserve">Date of Hearing:  </w:t>
      </w:r>
      <w:r>
        <w:rPr>
          <w:bCs/>
          <w:szCs w:val="28"/>
          <w:lang w:val="en-GB"/>
        </w:rPr>
        <w:t>17 August 2021</w:t>
      </w:r>
    </w:p>
    <w:p w:rsidR="0070773B" w:rsidRPr="00947A6A" w:rsidRDefault="0070773B" w:rsidP="0070773B">
      <w:pPr>
        <w:spacing w:line="360" w:lineRule="auto"/>
        <w:rPr>
          <w:bCs/>
          <w:szCs w:val="28"/>
          <w:lang w:val="en-GB"/>
        </w:rPr>
      </w:pPr>
      <w:r>
        <w:rPr>
          <w:bCs/>
          <w:szCs w:val="28"/>
          <w:lang w:val="en-GB"/>
        </w:rPr>
        <w:t>Date of Decision: 17 August 2021</w:t>
      </w:r>
    </w:p>
    <w:p w:rsidR="0070773B" w:rsidRPr="00947A6A" w:rsidRDefault="0070773B" w:rsidP="0070773B">
      <w:pPr>
        <w:spacing w:line="360" w:lineRule="auto"/>
        <w:rPr>
          <w:bCs/>
          <w:szCs w:val="28"/>
          <w:lang w:val="en-GB"/>
        </w:rPr>
      </w:pPr>
      <w:r w:rsidRPr="00947A6A">
        <w:rPr>
          <w:bCs/>
          <w:szCs w:val="28"/>
          <w:lang w:val="en-GB"/>
        </w:rPr>
        <w:t>Date of hand</w:t>
      </w:r>
      <w:r>
        <w:rPr>
          <w:bCs/>
          <w:szCs w:val="28"/>
          <w:lang w:val="en-GB"/>
        </w:rPr>
        <w:t xml:space="preserve">ing down Reasons for Decision: </w:t>
      </w:r>
      <w:r w:rsidR="009C50F6">
        <w:rPr>
          <w:bCs/>
          <w:szCs w:val="28"/>
          <w:lang w:val="en-GB"/>
        </w:rPr>
        <w:t>3</w:t>
      </w:r>
      <w:r w:rsidR="003570BE">
        <w:rPr>
          <w:bCs/>
          <w:szCs w:val="28"/>
          <w:lang w:val="en-GB"/>
        </w:rPr>
        <w:t xml:space="preserve"> September</w:t>
      </w:r>
      <w:r>
        <w:rPr>
          <w:bCs/>
          <w:szCs w:val="28"/>
          <w:lang w:val="en-GB"/>
        </w:rPr>
        <w:t xml:space="preserve"> </w:t>
      </w:r>
      <w:r w:rsidRPr="002D6D1C">
        <w:rPr>
          <w:bCs/>
          <w:szCs w:val="28"/>
          <w:lang w:val="en-GB"/>
        </w:rPr>
        <w:t>2021</w:t>
      </w:r>
    </w:p>
    <w:p w:rsidR="0070773B" w:rsidRPr="00947A6A" w:rsidRDefault="0070773B" w:rsidP="0070773B">
      <w:pPr>
        <w:tabs>
          <w:tab w:val="clear" w:pos="4320"/>
          <w:tab w:val="clear" w:pos="9072"/>
        </w:tabs>
        <w:adjustRightInd w:val="0"/>
        <w:spacing w:line="360" w:lineRule="auto"/>
        <w:rPr>
          <w:szCs w:val="28"/>
          <w:lang w:val="en-GB"/>
        </w:rPr>
      </w:pPr>
    </w:p>
    <w:p w:rsidR="0070773B" w:rsidRPr="00947A6A" w:rsidRDefault="0070773B" w:rsidP="0070773B">
      <w:pPr>
        <w:tabs>
          <w:tab w:val="clear" w:pos="4320"/>
          <w:tab w:val="clear" w:pos="9072"/>
          <w:tab w:val="left" w:pos="1620"/>
          <w:tab w:val="right" w:pos="8280"/>
        </w:tabs>
        <w:adjustRightInd w:val="0"/>
        <w:spacing w:line="360" w:lineRule="auto"/>
        <w:jc w:val="center"/>
        <w:rPr>
          <w:szCs w:val="28"/>
        </w:rPr>
      </w:pPr>
      <w:r w:rsidRPr="00947A6A">
        <w:rPr>
          <w:szCs w:val="28"/>
        </w:rPr>
        <w:t>---------------------------------------</w:t>
      </w:r>
    </w:p>
    <w:p w:rsidR="0070773B" w:rsidRPr="00947A6A" w:rsidRDefault="0070773B" w:rsidP="0070773B">
      <w:pPr>
        <w:tabs>
          <w:tab w:val="clear" w:pos="4320"/>
          <w:tab w:val="clear" w:pos="9072"/>
          <w:tab w:val="left" w:pos="1620"/>
          <w:tab w:val="right" w:pos="8280"/>
        </w:tabs>
        <w:adjustRightInd w:val="0"/>
        <w:spacing w:line="360" w:lineRule="auto"/>
        <w:jc w:val="center"/>
        <w:rPr>
          <w:rFonts w:eastAsia="PMingLiU"/>
          <w:szCs w:val="28"/>
          <w:lang w:eastAsia="zh-TW"/>
        </w:rPr>
      </w:pPr>
      <w:r w:rsidRPr="00947A6A">
        <w:rPr>
          <w:szCs w:val="28"/>
        </w:rPr>
        <w:t>REASONS FOR DECISION</w:t>
      </w:r>
    </w:p>
    <w:p w:rsidR="0070773B" w:rsidRPr="00947A6A" w:rsidRDefault="0070773B" w:rsidP="0070773B">
      <w:pPr>
        <w:tabs>
          <w:tab w:val="clear" w:pos="4320"/>
          <w:tab w:val="clear" w:pos="9072"/>
          <w:tab w:val="left" w:pos="1620"/>
          <w:tab w:val="right" w:pos="8280"/>
        </w:tabs>
        <w:adjustRightInd w:val="0"/>
        <w:spacing w:line="360" w:lineRule="auto"/>
        <w:jc w:val="center"/>
        <w:rPr>
          <w:szCs w:val="28"/>
        </w:rPr>
      </w:pPr>
      <w:r w:rsidRPr="00947A6A">
        <w:rPr>
          <w:szCs w:val="28"/>
        </w:rPr>
        <w:t>---------------------------------------</w:t>
      </w:r>
    </w:p>
    <w:p w:rsidR="0070773B" w:rsidRPr="00947A6A" w:rsidRDefault="0070773B" w:rsidP="0070773B">
      <w:pPr>
        <w:tabs>
          <w:tab w:val="clear" w:pos="4320"/>
          <w:tab w:val="clear" w:pos="9072"/>
        </w:tabs>
        <w:spacing w:line="360" w:lineRule="auto"/>
        <w:jc w:val="both"/>
        <w:rPr>
          <w:szCs w:val="28"/>
        </w:rPr>
      </w:pPr>
    </w:p>
    <w:p w:rsidR="0070773B" w:rsidRDefault="0070773B" w:rsidP="0070773B">
      <w:pPr>
        <w:pStyle w:val="ListParagraph"/>
        <w:numPr>
          <w:ilvl w:val="0"/>
          <w:numId w:val="8"/>
        </w:numPr>
        <w:spacing w:line="360" w:lineRule="auto"/>
        <w:ind w:left="0" w:firstLine="0"/>
        <w:jc w:val="both"/>
      </w:pPr>
      <w:r>
        <w:t xml:space="preserve">This </w:t>
      </w:r>
      <w:r w:rsidR="009A43E2">
        <w:t xml:space="preserve">is a </w:t>
      </w:r>
      <w:r>
        <w:t xml:space="preserve">summons </w:t>
      </w:r>
      <w:r w:rsidR="0070787A">
        <w:t xml:space="preserve">taken </w:t>
      </w:r>
      <w:r w:rsidR="009A43E2">
        <w:t xml:space="preserve">out </w:t>
      </w:r>
      <w:r>
        <w:t>by the plaintiff for an “</w:t>
      </w:r>
      <w:r w:rsidR="00C60018">
        <w:t>unless o</w:t>
      </w:r>
      <w:r>
        <w:t>rder” under Order 3 rule 5, Order 24 rule 16 and Order 42 rule 2</w:t>
      </w:r>
      <w:r w:rsidR="0070787A">
        <w:t xml:space="preserve"> of the Rules of </w:t>
      </w:r>
      <w:r w:rsidR="003570BE">
        <w:t xml:space="preserve">the </w:t>
      </w:r>
      <w:r w:rsidR="0070787A">
        <w:t>District Court</w:t>
      </w:r>
      <w:r w:rsidR="003570BE">
        <w:t>, Cap 336H</w:t>
      </w:r>
      <w:r w:rsidR="0070787A">
        <w:t xml:space="preserve"> (“RDC”) in the context of</w:t>
      </w:r>
      <w:r w:rsidR="007911FA">
        <w:t xml:space="preserve"> a personal injuries (“PI”) action</w:t>
      </w:r>
      <w:r w:rsidR="0070787A">
        <w:t>.</w:t>
      </w:r>
    </w:p>
    <w:p w:rsidR="0065747A" w:rsidRDefault="0065747A" w:rsidP="0065747A">
      <w:pPr>
        <w:pStyle w:val="ListParagraph"/>
        <w:spacing w:line="360" w:lineRule="auto"/>
        <w:ind w:left="0"/>
        <w:jc w:val="both"/>
      </w:pPr>
    </w:p>
    <w:p w:rsidR="00C60018" w:rsidRDefault="00C60018" w:rsidP="00C60018">
      <w:pPr>
        <w:pStyle w:val="ListParagraph"/>
        <w:numPr>
          <w:ilvl w:val="0"/>
          <w:numId w:val="8"/>
        </w:numPr>
        <w:spacing w:line="360" w:lineRule="auto"/>
        <w:ind w:left="0" w:firstLine="0"/>
        <w:jc w:val="both"/>
      </w:pPr>
      <w:r>
        <w:lastRenderedPageBreak/>
        <w:t xml:space="preserve">At the end of the hearing on 17 </w:t>
      </w:r>
      <w:r w:rsidR="003570BE">
        <w:t>A</w:t>
      </w:r>
      <w:r>
        <w:t>ugust 2021, I made the following orders:</w:t>
      </w:r>
    </w:p>
    <w:p w:rsidR="00C60018" w:rsidRDefault="00C60018" w:rsidP="006B04F9">
      <w:pPr>
        <w:tabs>
          <w:tab w:val="left" w:pos="1380"/>
          <w:tab w:val="left" w:pos="3645"/>
        </w:tabs>
        <w:spacing w:line="360" w:lineRule="auto"/>
        <w:jc w:val="both"/>
      </w:pPr>
      <w:r>
        <w:tab/>
      </w:r>
    </w:p>
    <w:p w:rsidR="00C60018" w:rsidRDefault="006B04F9" w:rsidP="006B04F9">
      <w:pPr>
        <w:tabs>
          <w:tab w:val="left" w:pos="3645"/>
        </w:tabs>
        <w:spacing w:before="80" w:after="80"/>
        <w:ind w:left="2160" w:right="746" w:hanging="720"/>
        <w:jc w:val="both"/>
        <w:rPr>
          <w:rFonts w:eastAsia="DFKai-SB"/>
          <w:sz w:val="24"/>
          <w:szCs w:val="24"/>
        </w:rPr>
      </w:pPr>
      <w:r>
        <w:rPr>
          <w:rFonts w:eastAsia="DFKai-SB"/>
          <w:sz w:val="24"/>
          <w:szCs w:val="24"/>
        </w:rPr>
        <w:t>“</w:t>
      </w:r>
      <w:r w:rsidR="003570BE">
        <w:rPr>
          <w:rFonts w:eastAsia="DFKai-SB"/>
          <w:sz w:val="24"/>
          <w:szCs w:val="24"/>
        </w:rPr>
        <w:t>1.</w:t>
      </w:r>
      <w:r>
        <w:rPr>
          <w:rFonts w:eastAsia="DFKai-SB"/>
          <w:sz w:val="24"/>
          <w:szCs w:val="24"/>
        </w:rPr>
        <w:t xml:space="preserve"> </w:t>
      </w:r>
      <w:r>
        <w:rPr>
          <w:rFonts w:eastAsia="DFKai-SB"/>
          <w:sz w:val="24"/>
          <w:szCs w:val="24"/>
        </w:rPr>
        <w:tab/>
      </w:r>
      <w:r w:rsidR="00C60018" w:rsidRPr="006B04F9">
        <w:rPr>
          <w:rFonts w:eastAsia="DFKai-SB"/>
          <w:sz w:val="24"/>
          <w:szCs w:val="24"/>
        </w:rPr>
        <w:t>Unless by 4:00 p</w:t>
      </w:r>
      <w:r w:rsidR="003570BE">
        <w:rPr>
          <w:rFonts w:eastAsia="DFKai-SB"/>
          <w:sz w:val="24"/>
          <w:szCs w:val="24"/>
        </w:rPr>
        <w:t>.</w:t>
      </w:r>
      <w:r w:rsidR="00C60018" w:rsidRPr="006B04F9">
        <w:rPr>
          <w:rFonts w:eastAsia="DFKai-SB"/>
          <w:sz w:val="24"/>
          <w:szCs w:val="24"/>
        </w:rPr>
        <w:t>m</w:t>
      </w:r>
      <w:r w:rsidR="003570BE">
        <w:rPr>
          <w:rFonts w:eastAsia="DFKai-SB"/>
          <w:sz w:val="24"/>
          <w:szCs w:val="24"/>
        </w:rPr>
        <w:t>.</w:t>
      </w:r>
      <w:r w:rsidR="00C60018" w:rsidRPr="006B04F9">
        <w:rPr>
          <w:rFonts w:eastAsia="DFKai-SB"/>
          <w:sz w:val="24"/>
          <w:szCs w:val="24"/>
        </w:rPr>
        <w:t xml:space="preserve"> on 24</w:t>
      </w:r>
      <w:r w:rsidR="003570BE" w:rsidRPr="003570BE">
        <w:rPr>
          <w:rFonts w:eastAsia="DFKai-SB"/>
          <w:sz w:val="24"/>
          <w:szCs w:val="24"/>
          <w:vertAlign w:val="superscript"/>
        </w:rPr>
        <w:t>th</w:t>
      </w:r>
      <w:r w:rsidR="00C60018" w:rsidRPr="006B04F9">
        <w:rPr>
          <w:rFonts w:eastAsia="DFKai-SB"/>
          <w:sz w:val="24"/>
          <w:szCs w:val="24"/>
        </w:rPr>
        <w:t xml:space="preserve"> August 2021 the </w:t>
      </w:r>
      <w:r w:rsidR="003570BE">
        <w:rPr>
          <w:rFonts w:eastAsia="DFKai-SB"/>
          <w:sz w:val="24"/>
          <w:szCs w:val="24"/>
        </w:rPr>
        <w:t>D</w:t>
      </w:r>
      <w:r w:rsidR="00C60018" w:rsidRPr="006B04F9">
        <w:rPr>
          <w:rFonts w:eastAsia="DFKai-SB"/>
          <w:sz w:val="24"/>
          <w:szCs w:val="24"/>
        </w:rPr>
        <w:t>efendant do comply with paragraphs 1 and 2 of the Order made by Master Matthew Leung dated 4</w:t>
      </w:r>
      <w:r w:rsidR="003570BE" w:rsidRPr="003570BE">
        <w:rPr>
          <w:rFonts w:eastAsia="DFKai-SB"/>
          <w:sz w:val="24"/>
          <w:szCs w:val="24"/>
          <w:vertAlign w:val="superscript"/>
        </w:rPr>
        <w:t>th</w:t>
      </w:r>
      <w:r w:rsidR="00C60018" w:rsidRPr="006B04F9">
        <w:rPr>
          <w:rFonts w:eastAsia="DFKai-SB"/>
          <w:sz w:val="24"/>
          <w:szCs w:val="24"/>
        </w:rPr>
        <w:t xml:space="preserve"> January 2021, the </w:t>
      </w:r>
      <w:proofErr w:type="spellStart"/>
      <w:r w:rsidR="003570BE">
        <w:rPr>
          <w:rFonts w:eastAsia="DFKai-SB"/>
          <w:sz w:val="24"/>
          <w:szCs w:val="24"/>
        </w:rPr>
        <w:t>D</w:t>
      </w:r>
      <w:r w:rsidR="00C60018" w:rsidRPr="006B04F9">
        <w:rPr>
          <w:rFonts w:eastAsia="DFKai-SB"/>
          <w:sz w:val="24"/>
          <w:szCs w:val="24"/>
        </w:rPr>
        <w:t>efence</w:t>
      </w:r>
      <w:proofErr w:type="spellEnd"/>
      <w:r w:rsidR="00C60018" w:rsidRPr="006B04F9">
        <w:rPr>
          <w:rFonts w:eastAsia="DFKai-SB"/>
          <w:sz w:val="24"/>
          <w:szCs w:val="24"/>
        </w:rPr>
        <w:t xml:space="preserve"> filed by the </w:t>
      </w:r>
      <w:r w:rsidR="003570BE">
        <w:rPr>
          <w:rFonts w:eastAsia="DFKai-SB"/>
          <w:sz w:val="24"/>
          <w:szCs w:val="24"/>
        </w:rPr>
        <w:t>D</w:t>
      </w:r>
      <w:r w:rsidR="00C60018" w:rsidRPr="006B04F9">
        <w:rPr>
          <w:rFonts w:eastAsia="DFKai-SB"/>
          <w:sz w:val="24"/>
          <w:szCs w:val="24"/>
        </w:rPr>
        <w:t>efendant dated 6</w:t>
      </w:r>
      <w:r w:rsidR="003570BE" w:rsidRPr="003570BE">
        <w:rPr>
          <w:rFonts w:eastAsia="DFKai-SB"/>
          <w:sz w:val="24"/>
          <w:szCs w:val="24"/>
          <w:vertAlign w:val="superscript"/>
        </w:rPr>
        <w:t>th</w:t>
      </w:r>
      <w:r w:rsidR="00C60018" w:rsidRPr="006B04F9">
        <w:rPr>
          <w:rFonts w:eastAsia="DFKai-SB"/>
          <w:sz w:val="24"/>
          <w:szCs w:val="24"/>
        </w:rPr>
        <w:t xml:space="preserve"> May 2019 be struck out and judgment on liability be entered for the </w:t>
      </w:r>
      <w:r w:rsidR="003570BE">
        <w:rPr>
          <w:rFonts w:eastAsia="DFKai-SB"/>
          <w:sz w:val="24"/>
          <w:szCs w:val="24"/>
        </w:rPr>
        <w:t>P</w:t>
      </w:r>
      <w:r w:rsidR="00C60018" w:rsidRPr="006B04F9">
        <w:rPr>
          <w:rFonts w:eastAsia="DFKai-SB"/>
          <w:sz w:val="24"/>
          <w:szCs w:val="24"/>
        </w:rPr>
        <w:t>laintiff with costs;</w:t>
      </w:r>
    </w:p>
    <w:p w:rsidR="006B04F9" w:rsidRDefault="006B04F9" w:rsidP="006B04F9">
      <w:pPr>
        <w:tabs>
          <w:tab w:val="left" w:pos="3645"/>
        </w:tabs>
        <w:spacing w:before="80" w:after="80"/>
        <w:ind w:left="2160" w:right="746" w:hanging="720"/>
        <w:jc w:val="both"/>
        <w:rPr>
          <w:rFonts w:eastAsia="DFKai-SB"/>
          <w:sz w:val="24"/>
          <w:szCs w:val="24"/>
        </w:rPr>
      </w:pPr>
    </w:p>
    <w:p w:rsidR="00C60018" w:rsidRDefault="003570BE" w:rsidP="006B04F9">
      <w:pPr>
        <w:tabs>
          <w:tab w:val="left" w:pos="3645"/>
        </w:tabs>
        <w:spacing w:before="80" w:after="80"/>
        <w:ind w:left="2160" w:right="746" w:hanging="720"/>
        <w:jc w:val="both"/>
        <w:rPr>
          <w:rFonts w:eastAsia="DFKai-SB"/>
          <w:sz w:val="24"/>
          <w:szCs w:val="24"/>
        </w:rPr>
      </w:pPr>
      <w:r>
        <w:rPr>
          <w:rFonts w:eastAsia="DFKai-SB"/>
          <w:sz w:val="24"/>
          <w:szCs w:val="24"/>
        </w:rPr>
        <w:t>2.</w:t>
      </w:r>
      <w:r w:rsidR="006B04F9">
        <w:rPr>
          <w:rFonts w:eastAsia="DFKai-SB"/>
          <w:sz w:val="24"/>
          <w:szCs w:val="24"/>
        </w:rPr>
        <w:t xml:space="preserve"> </w:t>
      </w:r>
      <w:r w:rsidR="006B04F9">
        <w:rPr>
          <w:rFonts w:eastAsia="DFKai-SB"/>
          <w:sz w:val="24"/>
          <w:szCs w:val="24"/>
        </w:rPr>
        <w:tab/>
      </w:r>
      <w:r w:rsidR="00C60018" w:rsidRPr="006B04F9">
        <w:rPr>
          <w:rFonts w:eastAsia="DFKai-SB"/>
          <w:sz w:val="24"/>
          <w:szCs w:val="24"/>
        </w:rPr>
        <w:t xml:space="preserve">Time be extended for the </w:t>
      </w:r>
      <w:r>
        <w:rPr>
          <w:rFonts w:eastAsia="DFKai-SB"/>
          <w:sz w:val="24"/>
          <w:szCs w:val="24"/>
        </w:rPr>
        <w:t>P</w:t>
      </w:r>
      <w:r w:rsidR="00C60018" w:rsidRPr="006B04F9">
        <w:rPr>
          <w:rFonts w:eastAsia="DFKai-SB"/>
          <w:sz w:val="24"/>
          <w:szCs w:val="24"/>
        </w:rPr>
        <w:t xml:space="preserve">laintiff to comply with paragraph 6 of the Order of </w:t>
      </w:r>
      <w:r>
        <w:rPr>
          <w:rFonts w:eastAsia="DFKai-SB"/>
          <w:sz w:val="24"/>
          <w:szCs w:val="24"/>
        </w:rPr>
        <w:t xml:space="preserve">Master </w:t>
      </w:r>
      <w:r w:rsidR="00C60018" w:rsidRPr="006B04F9">
        <w:rPr>
          <w:rFonts w:eastAsia="DFKai-SB"/>
          <w:sz w:val="24"/>
          <w:szCs w:val="24"/>
        </w:rPr>
        <w:t>Matthew Leung dated 4</w:t>
      </w:r>
      <w:r w:rsidRPr="003570BE">
        <w:rPr>
          <w:rFonts w:eastAsia="DFKai-SB"/>
          <w:sz w:val="24"/>
          <w:szCs w:val="24"/>
          <w:vertAlign w:val="superscript"/>
        </w:rPr>
        <w:t>th</w:t>
      </w:r>
      <w:r w:rsidR="00C60018" w:rsidRPr="006B04F9">
        <w:rPr>
          <w:rFonts w:eastAsia="DFKai-SB"/>
          <w:sz w:val="24"/>
          <w:szCs w:val="24"/>
        </w:rPr>
        <w:t xml:space="preserve"> May 2021 to file and serve the </w:t>
      </w:r>
      <w:r>
        <w:rPr>
          <w:rFonts w:eastAsia="DFKai-SB"/>
          <w:sz w:val="24"/>
          <w:szCs w:val="24"/>
        </w:rPr>
        <w:t>A</w:t>
      </w:r>
      <w:r w:rsidR="00C60018" w:rsidRPr="006B04F9">
        <w:rPr>
          <w:rFonts w:eastAsia="DFKai-SB"/>
          <w:sz w:val="24"/>
          <w:szCs w:val="24"/>
        </w:rPr>
        <w:t>pplication to set a case down for trial within 7 days from paragraph 1 hereinabove;</w:t>
      </w:r>
    </w:p>
    <w:p w:rsidR="006B04F9" w:rsidRDefault="006B04F9" w:rsidP="006B04F9">
      <w:pPr>
        <w:tabs>
          <w:tab w:val="left" w:pos="3645"/>
        </w:tabs>
        <w:spacing w:before="80" w:after="80"/>
        <w:ind w:left="2160" w:right="746" w:hanging="720"/>
        <w:jc w:val="both"/>
        <w:rPr>
          <w:rFonts w:eastAsia="DFKai-SB"/>
          <w:sz w:val="24"/>
          <w:szCs w:val="24"/>
        </w:rPr>
      </w:pPr>
    </w:p>
    <w:p w:rsidR="00C60018" w:rsidRDefault="00C60018" w:rsidP="003570BE">
      <w:pPr>
        <w:pStyle w:val="ListParagraph"/>
        <w:numPr>
          <w:ilvl w:val="0"/>
          <w:numId w:val="8"/>
        </w:numPr>
        <w:tabs>
          <w:tab w:val="clear" w:pos="1440"/>
          <w:tab w:val="left" w:pos="3645"/>
        </w:tabs>
        <w:spacing w:before="80" w:after="80"/>
        <w:ind w:left="2160" w:right="746" w:hanging="720"/>
        <w:jc w:val="both"/>
        <w:rPr>
          <w:rFonts w:eastAsia="DFKai-SB"/>
          <w:sz w:val="24"/>
          <w:szCs w:val="24"/>
        </w:rPr>
      </w:pPr>
      <w:r w:rsidRPr="003570BE">
        <w:rPr>
          <w:rFonts w:eastAsia="DFKai-SB"/>
          <w:sz w:val="24"/>
          <w:szCs w:val="24"/>
        </w:rPr>
        <w:t xml:space="preserve">The costs of the </w:t>
      </w:r>
      <w:r w:rsidR="003570BE" w:rsidRPr="003570BE">
        <w:rPr>
          <w:rFonts w:eastAsia="DFKai-SB"/>
          <w:sz w:val="24"/>
          <w:szCs w:val="24"/>
        </w:rPr>
        <w:t>Plaintiff’s S</w:t>
      </w:r>
      <w:r w:rsidRPr="003570BE">
        <w:rPr>
          <w:rFonts w:eastAsia="DFKai-SB"/>
          <w:sz w:val="24"/>
          <w:szCs w:val="24"/>
        </w:rPr>
        <w:t>ummons dated 19</w:t>
      </w:r>
      <w:r w:rsidR="003570BE" w:rsidRPr="003570BE">
        <w:rPr>
          <w:rFonts w:eastAsia="DFKai-SB"/>
          <w:sz w:val="24"/>
          <w:szCs w:val="24"/>
          <w:vertAlign w:val="superscript"/>
        </w:rPr>
        <w:t>th</w:t>
      </w:r>
      <w:r w:rsidRPr="003570BE">
        <w:rPr>
          <w:rFonts w:eastAsia="DFKai-SB"/>
          <w:sz w:val="24"/>
          <w:szCs w:val="24"/>
        </w:rPr>
        <w:t xml:space="preserve"> July 2021 </w:t>
      </w:r>
      <w:r w:rsidR="00905C9D" w:rsidRPr="003570BE">
        <w:rPr>
          <w:rFonts w:eastAsia="DFKai-SB"/>
          <w:sz w:val="24"/>
          <w:szCs w:val="24"/>
        </w:rPr>
        <w:t>and this application to</w:t>
      </w:r>
      <w:r w:rsidRPr="003570BE">
        <w:rPr>
          <w:rFonts w:eastAsia="DFKai-SB"/>
          <w:sz w:val="24"/>
          <w:szCs w:val="24"/>
        </w:rPr>
        <w:t xml:space="preserve"> be paid </w:t>
      </w:r>
      <w:r w:rsidR="00905C9D" w:rsidRPr="003570BE">
        <w:rPr>
          <w:rFonts w:eastAsia="DFKai-SB"/>
          <w:sz w:val="24"/>
          <w:szCs w:val="24"/>
        </w:rPr>
        <w:t xml:space="preserve">by the </w:t>
      </w:r>
      <w:r w:rsidR="003570BE" w:rsidRPr="003570BE">
        <w:rPr>
          <w:rFonts w:eastAsia="DFKai-SB"/>
          <w:sz w:val="24"/>
          <w:szCs w:val="24"/>
        </w:rPr>
        <w:t>D</w:t>
      </w:r>
      <w:r w:rsidR="00905C9D" w:rsidRPr="003570BE">
        <w:rPr>
          <w:rFonts w:eastAsia="DFKai-SB"/>
          <w:sz w:val="24"/>
          <w:szCs w:val="24"/>
        </w:rPr>
        <w:t xml:space="preserve">efendant </w:t>
      </w:r>
      <w:r w:rsidRPr="003570BE">
        <w:rPr>
          <w:rFonts w:eastAsia="DFKai-SB"/>
          <w:sz w:val="24"/>
          <w:szCs w:val="24"/>
        </w:rPr>
        <w:t xml:space="preserve">to the </w:t>
      </w:r>
      <w:r w:rsidR="003570BE" w:rsidRPr="003570BE">
        <w:rPr>
          <w:rFonts w:eastAsia="DFKai-SB"/>
          <w:sz w:val="24"/>
          <w:szCs w:val="24"/>
        </w:rPr>
        <w:t>P</w:t>
      </w:r>
      <w:r w:rsidRPr="003570BE">
        <w:rPr>
          <w:rFonts w:eastAsia="DFKai-SB"/>
          <w:sz w:val="24"/>
          <w:szCs w:val="24"/>
        </w:rPr>
        <w:t>laintiff on an indemnity basis to be summarily assessed by the</w:t>
      </w:r>
      <w:r w:rsidR="003570BE" w:rsidRPr="003570BE">
        <w:rPr>
          <w:rFonts w:eastAsia="DFKai-SB"/>
          <w:sz w:val="24"/>
          <w:szCs w:val="24"/>
        </w:rPr>
        <w:t xml:space="preserve"> Court and to be paid forthwith. The Plaintiff is directed to submit a statement of costs within 7 days and the Defendant to lodge with the Court a list of objections, if any, within 7 days thereafter;</w:t>
      </w:r>
    </w:p>
    <w:p w:rsidR="003570BE" w:rsidRDefault="003570BE" w:rsidP="003570BE">
      <w:pPr>
        <w:pStyle w:val="ListParagraph"/>
        <w:tabs>
          <w:tab w:val="clear" w:pos="1440"/>
          <w:tab w:val="left" w:pos="3645"/>
        </w:tabs>
        <w:spacing w:before="80" w:after="80"/>
        <w:ind w:left="2160" w:right="746"/>
        <w:jc w:val="both"/>
        <w:rPr>
          <w:rFonts w:eastAsia="DFKai-SB"/>
          <w:sz w:val="24"/>
          <w:szCs w:val="24"/>
        </w:rPr>
      </w:pPr>
    </w:p>
    <w:p w:rsidR="00C60018" w:rsidRDefault="00C60018" w:rsidP="003570BE">
      <w:pPr>
        <w:pStyle w:val="ListParagraph"/>
        <w:numPr>
          <w:ilvl w:val="0"/>
          <w:numId w:val="8"/>
        </w:numPr>
        <w:tabs>
          <w:tab w:val="clear" w:pos="1440"/>
          <w:tab w:val="left" w:pos="3645"/>
        </w:tabs>
        <w:spacing w:before="80" w:after="80"/>
        <w:ind w:left="2160" w:right="746" w:hanging="720"/>
        <w:jc w:val="both"/>
        <w:rPr>
          <w:rFonts w:eastAsia="DFKai-SB"/>
          <w:sz w:val="24"/>
          <w:szCs w:val="24"/>
        </w:rPr>
      </w:pPr>
      <w:r w:rsidRPr="003570BE">
        <w:rPr>
          <w:rFonts w:eastAsia="DFKai-SB"/>
          <w:sz w:val="24"/>
          <w:szCs w:val="24"/>
        </w:rPr>
        <w:t xml:space="preserve">All costs wasted as a result of the inactions and the non-compliances of the </w:t>
      </w:r>
      <w:r w:rsidR="003570BE" w:rsidRPr="003570BE">
        <w:rPr>
          <w:rFonts w:eastAsia="DFKai-SB"/>
          <w:sz w:val="24"/>
          <w:szCs w:val="24"/>
        </w:rPr>
        <w:t>P</w:t>
      </w:r>
      <w:r w:rsidRPr="003570BE">
        <w:rPr>
          <w:rFonts w:eastAsia="DFKai-SB"/>
          <w:sz w:val="24"/>
          <w:szCs w:val="24"/>
        </w:rPr>
        <w:t>laintiff’s requests and/or court</w:t>
      </w:r>
      <w:r w:rsidR="003570BE" w:rsidRPr="003570BE">
        <w:rPr>
          <w:rFonts w:eastAsia="DFKai-SB"/>
          <w:sz w:val="24"/>
          <w:szCs w:val="24"/>
        </w:rPr>
        <w:t>’s orders on the part of the D</w:t>
      </w:r>
      <w:r w:rsidRPr="003570BE">
        <w:rPr>
          <w:rFonts w:eastAsia="DFKai-SB"/>
          <w:sz w:val="24"/>
          <w:szCs w:val="24"/>
        </w:rPr>
        <w:t xml:space="preserve">efendant between November 2019 and July 2021 be borne by the </w:t>
      </w:r>
      <w:r w:rsidR="003570BE" w:rsidRPr="003570BE">
        <w:rPr>
          <w:rFonts w:eastAsia="DFKai-SB"/>
          <w:sz w:val="24"/>
          <w:szCs w:val="24"/>
        </w:rPr>
        <w:t>D</w:t>
      </w:r>
      <w:r w:rsidRPr="003570BE">
        <w:rPr>
          <w:rFonts w:eastAsia="DFKai-SB"/>
          <w:sz w:val="24"/>
          <w:szCs w:val="24"/>
        </w:rPr>
        <w:t xml:space="preserve">efendant; </w:t>
      </w:r>
    </w:p>
    <w:p w:rsidR="003570BE" w:rsidRPr="003570BE" w:rsidRDefault="003570BE" w:rsidP="003570BE">
      <w:pPr>
        <w:pStyle w:val="ListParagraph"/>
        <w:rPr>
          <w:rFonts w:eastAsia="DFKai-SB"/>
          <w:sz w:val="24"/>
          <w:szCs w:val="24"/>
        </w:rPr>
      </w:pPr>
    </w:p>
    <w:p w:rsidR="00C60018" w:rsidRDefault="00C60018" w:rsidP="003570BE">
      <w:pPr>
        <w:pStyle w:val="ListParagraph"/>
        <w:numPr>
          <w:ilvl w:val="0"/>
          <w:numId w:val="8"/>
        </w:numPr>
        <w:tabs>
          <w:tab w:val="clear" w:pos="1440"/>
          <w:tab w:val="left" w:pos="3645"/>
        </w:tabs>
        <w:spacing w:before="80" w:after="80"/>
        <w:ind w:left="2160" w:right="746" w:hanging="720"/>
        <w:jc w:val="both"/>
        <w:rPr>
          <w:rFonts w:eastAsia="DFKai-SB"/>
          <w:sz w:val="24"/>
          <w:szCs w:val="24"/>
        </w:rPr>
      </w:pPr>
      <w:r w:rsidRPr="003570BE">
        <w:rPr>
          <w:rFonts w:eastAsia="DFKai-SB"/>
          <w:sz w:val="24"/>
          <w:szCs w:val="24"/>
        </w:rPr>
        <w:t xml:space="preserve">The </w:t>
      </w:r>
      <w:r w:rsidR="003570BE" w:rsidRPr="003570BE">
        <w:rPr>
          <w:rFonts w:eastAsia="DFKai-SB"/>
          <w:sz w:val="24"/>
          <w:szCs w:val="24"/>
        </w:rPr>
        <w:t>D</w:t>
      </w:r>
      <w:r w:rsidRPr="003570BE">
        <w:rPr>
          <w:rFonts w:eastAsia="DFKai-SB"/>
          <w:sz w:val="24"/>
          <w:szCs w:val="24"/>
        </w:rPr>
        <w:t>efendant’s solicitors do show cause within 21 days</w:t>
      </w:r>
      <w:r w:rsidR="003570BE" w:rsidRPr="003570BE">
        <w:rPr>
          <w:rFonts w:eastAsia="DFKai-SB"/>
          <w:sz w:val="24"/>
          <w:szCs w:val="24"/>
        </w:rPr>
        <w:t xml:space="preserve"> after the handing down of the Reasons for D</w:t>
      </w:r>
      <w:r w:rsidRPr="003570BE">
        <w:rPr>
          <w:rFonts w:eastAsia="DFKai-SB"/>
          <w:sz w:val="24"/>
          <w:szCs w:val="24"/>
        </w:rPr>
        <w:t xml:space="preserve">ecision in this case as to why they should not personally bear those wasted costs and on an indemnity basis; </w:t>
      </w:r>
    </w:p>
    <w:p w:rsidR="003570BE" w:rsidRPr="003570BE" w:rsidRDefault="003570BE" w:rsidP="003570BE">
      <w:pPr>
        <w:pStyle w:val="ListParagraph"/>
        <w:rPr>
          <w:rFonts w:eastAsia="DFKai-SB"/>
          <w:sz w:val="24"/>
          <w:szCs w:val="24"/>
        </w:rPr>
      </w:pPr>
    </w:p>
    <w:p w:rsidR="00C60018" w:rsidRDefault="00C60018" w:rsidP="003570BE">
      <w:pPr>
        <w:pStyle w:val="ListParagraph"/>
        <w:numPr>
          <w:ilvl w:val="0"/>
          <w:numId w:val="8"/>
        </w:numPr>
        <w:tabs>
          <w:tab w:val="clear" w:pos="1440"/>
          <w:tab w:val="left" w:pos="3645"/>
        </w:tabs>
        <w:spacing w:before="80" w:after="80"/>
        <w:ind w:left="2160" w:right="746" w:hanging="720"/>
        <w:jc w:val="both"/>
        <w:rPr>
          <w:rFonts w:eastAsia="DFKai-SB"/>
          <w:sz w:val="24"/>
          <w:szCs w:val="24"/>
        </w:rPr>
      </w:pPr>
      <w:r w:rsidRPr="003570BE">
        <w:rPr>
          <w:rFonts w:eastAsia="DFKai-SB"/>
          <w:sz w:val="24"/>
          <w:szCs w:val="24"/>
        </w:rPr>
        <w:t xml:space="preserve">The </w:t>
      </w:r>
      <w:r w:rsidR="003570BE" w:rsidRPr="003570BE">
        <w:rPr>
          <w:rFonts w:eastAsia="DFKai-SB"/>
          <w:sz w:val="24"/>
          <w:szCs w:val="24"/>
        </w:rPr>
        <w:t>P</w:t>
      </w:r>
      <w:r w:rsidRPr="003570BE">
        <w:rPr>
          <w:rFonts w:eastAsia="DFKai-SB"/>
          <w:sz w:val="24"/>
          <w:szCs w:val="24"/>
        </w:rPr>
        <w:t>laintiff’s own costs be taxed in accordance with the Legal Aid Regulations; and</w:t>
      </w:r>
    </w:p>
    <w:p w:rsidR="003570BE" w:rsidRPr="003570BE" w:rsidRDefault="003570BE" w:rsidP="003570BE">
      <w:pPr>
        <w:pStyle w:val="ListParagraph"/>
        <w:rPr>
          <w:rFonts w:eastAsia="DFKai-SB"/>
          <w:sz w:val="24"/>
          <w:szCs w:val="24"/>
        </w:rPr>
      </w:pPr>
    </w:p>
    <w:p w:rsidR="00C60018" w:rsidRPr="003570BE" w:rsidRDefault="00C60018" w:rsidP="003570BE">
      <w:pPr>
        <w:pStyle w:val="ListParagraph"/>
        <w:numPr>
          <w:ilvl w:val="0"/>
          <w:numId w:val="8"/>
        </w:numPr>
        <w:tabs>
          <w:tab w:val="clear" w:pos="1440"/>
          <w:tab w:val="left" w:pos="3645"/>
        </w:tabs>
        <w:spacing w:before="80" w:after="80"/>
        <w:ind w:left="2160" w:right="746" w:hanging="720"/>
        <w:jc w:val="both"/>
        <w:rPr>
          <w:rFonts w:eastAsia="DFKai-SB"/>
          <w:sz w:val="24"/>
          <w:szCs w:val="24"/>
        </w:rPr>
      </w:pPr>
      <w:r w:rsidRPr="003570BE">
        <w:rPr>
          <w:rFonts w:eastAsia="DFKai-SB"/>
          <w:sz w:val="24"/>
          <w:szCs w:val="24"/>
        </w:rPr>
        <w:t>Liberty to apply.</w:t>
      </w:r>
      <w:r w:rsidR="006B04F9" w:rsidRPr="003570BE">
        <w:rPr>
          <w:rFonts w:eastAsia="DFKai-SB"/>
          <w:sz w:val="24"/>
          <w:szCs w:val="24"/>
        </w:rPr>
        <w:t>”</w:t>
      </w:r>
    </w:p>
    <w:p w:rsidR="00C60018" w:rsidRDefault="00C60018" w:rsidP="006B04F9">
      <w:pPr>
        <w:spacing w:line="360" w:lineRule="auto"/>
      </w:pPr>
    </w:p>
    <w:p w:rsidR="001D2378" w:rsidRDefault="001D2378" w:rsidP="003570BE">
      <w:pPr>
        <w:pStyle w:val="ListParagraph"/>
        <w:numPr>
          <w:ilvl w:val="0"/>
          <w:numId w:val="14"/>
        </w:numPr>
        <w:spacing w:line="360" w:lineRule="auto"/>
        <w:ind w:left="0" w:firstLine="0"/>
        <w:jc w:val="both"/>
      </w:pPr>
      <w:r>
        <w:t>I said I would give the reasons for my decision in due course.  Here are my reasons.</w:t>
      </w:r>
    </w:p>
    <w:p w:rsidR="0065747A" w:rsidRDefault="0065747A" w:rsidP="001D2378">
      <w:pPr>
        <w:pStyle w:val="ListParagraph"/>
        <w:spacing w:line="360" w:lineRule="auto"/>
        <w:ind w:left="0"/>
        <w:jc w:val="both"/>
      </w:pPr>
      <w:r>
        <w:lastRenderedPageBreak/>
        <w:t xml:space="preserve">  </w:t>
      </w:r>
    </w:p>
    <w:p w:rsidR="0070787A" w:rsidRDefault="0070787A" w:rsidP="0070787A">
      <w:pPr>
        <w:pStyle w:val="ListParagraph"/>
        <w:spacing w:line="360" w:lineRule="auto"/>
        <w:ind w:left="0"/>
        <w:jc w:val="both"/>
        <w:rPr>
          <w:i/>
        </w:rPr>
      </w:pPr>
      <w:r>
        <w:rPr>
          <w:i/>
        </w:rPr>
        <w:t>B</w:t>
      </w:r>
      <w:r w:rsidR="009A43E2">
        <w:rPr>
          <w:i/>
        </w:rPr>
        <w:t>ackground</w:t>
      </w:r>
    </w:p>
    <w:p w:rsidR="0070787A" w:rsidRPr="0070787A" w:rsidRDefault="0070787A" w:rsidP="0070787A">
      <w:pPr>
        <w:pStyle w:val="ListParagraph"/>
        <w:spacing w:line="360" w:lineRule="auto"/>
        <w:ind w:left="0"/>
        <w:jc w:val="both"/>
        <w:rPr>
          <w:i/>
        </w:rPr>
      </w:pPr>
    </w:p>
    <w:p w:rsidR="007911FA" w:rsidRDefault="007911FA" w:rsidP="003570BE">
      <w:pPr>
        <w:pStyle w:val="ListParagraph"/>
        <w:numPr>
          <w:ilvl w:val="0"/>
          <w:numId w:val="14"/>
        </w:numPr>
        <w:spacing w:line="360" w:lineRule="auto"/>
        <w:ind w:left="0" w:firstLine="0"/>
        <w:jc w:val="both"/>
      </w:pPr>
      <w:r>
        <w:t xml:space="preserve">This is a straightforward PI action arising out of an accident at work.  The accident happened on 24 September 2016 when the plaintiff was employed by the defendant as a carpenter, working at its warehouse in </w:t>
      </w:r>
      <w:proofErr w:type="spellStart"/>
      <w:r>
        <w:t>Kam</w:t>
      </w:r>
      <w:proofErr w:type="spellEnd"/>
      <w:r>
        <w:t xml:space="preserve"> </w:t>
      </w:r>
      <w:proofErr w:type="spellStart"/>
      <w:r>
        <w:t>Sheung</w:t>
      </w:r>
      <w:proofErr w:type="spellEnd"/>
      <w:r>
        <w:t xml:space="preserve"> Road, New Territories.  The defendant is a limited company registered in Hong Kong carrying on the business of advertisement production.  The accident happened when the plaintiff w</w:t>
      </w:r>
      <w:r w:rsidR="00C60018">
        <w:t xml:space="preserve">as in the process of helping </w:t>
      </w:r>
      <w:r>
        <w:t xml:space="preserve">some of </w:t>
      </w:r>
      <w:r w:rsidR="00C60018">
        <w:t>his</w:t>
      </w:r>
      <w:r>
        <w:t xml:space="preserve"> colleagues to transport </w:t>
      </w:r>
      <w:r w:rsidR="009C50F6">
        <w:t>a few pieces of</w:t>
      </w:r>
      <w:r>
        <w:t xml:space="preserve"> wooden planks on </w:t>
      </w:r>
      <w:r w:rsidR="00C60018">
        <w:t>a</w:t>
      </w:r>
      <w:r>
        <w:t xml:space="preserve"> trolley when the trolley suddenly turned over causing the wooden planks to fall onto the plaintiff’s leg.  As a result</w:t>
      </w:r>
      <w:r w:rsidR="00C60018">
        <w:t>,</w:t>
      </w:r>
      <w:r>
        <w:t xml:space="preserve"> he sustained serious injuries to his left leg (“the Accident”).  </w:t>
      </w:r>
    </w:p>
    <w:p w:rsidR="007911FA" w:rsidRDefault="007911FA" w:rsidP="00C60018">
      <w:pPr>
        <w:pStyle w:val="ListParagraph"/>
        <w:spacing w:line="360" w:lineRule="auto"/>
        <w:ind w:left="0"/>
        <w:jc w:val="both"/>
      </w:pPr>
    </w:p>
    <w:p w:rsidR="0070787A" w:rsidRDefault="0070787A" w:rsidP="003570BE">
      <w:pPr>
        <w:pStyle w:val="ListParagraph"/>
        <w:numPr>
          <w:ilvl w:val="0"/>
          <w:numId w:val="14"/>
        </w:numPr>
        <w:spacing w:line="360" w:lineRule="auto"/>
        <w:ind w:left="0" w:firstLine="0"/>
        <w:jc w:val="both"/>
      </w:pPr>
      <w:r>
        <w:t xml:space="preserve">By a summons dated 19 July 2021, the plaintiff seeks the </w:t>
      </w:r>
      <w:proofErr w:type="gramStart"/>
      <w:r>
        <w:t>following:-</w:t>
      </w:r>
      <w:proofErr w:type="gramEnd"/>
    </w:p>
    <w:p w:rsidR="0070787A" w:rsidRDefault="0070787A" w:rsidP="0070787A">
      <w:pPr>
        <w:spacing w:line="360" w:lineRule="auto"/>
        <w:jc w:val="both"/>
      </w:pPr>
    </w:p>
    <w:p w:rsidR="0070787A" w:rsidRPr="00EB0262" w:rsidRDefault="0070787A" w:rsidP="00EB0262">
      <w:pPr>
        <w:tabs>
          <w:tab w:val="clear" w:pos="4320"/>
          <w:tab w:val="clear" w:pos="9072"/>
          <w:tab w:val="left" w:pos="2160"/>
        </w:tabs>
        <w:ind w:left="2160" w:right="746" w:hanging="720"/>
        <w:jc w:val="both"/>
        <w:rPr>
          <w:sz w:val="24"/>
          <w:szCs w:val="24"/>
        </w:rPr>
      </w:pPr>
      <w:r w:rsidRPr="00EB0262">
        <w:rPr>
          <w:sz w:val="24"/>
          <w:szCs w:val="24"/>
        </w:rPr>
        <w:t>“(1)</w:t>
      </w:r>
      <w:r w:rsidRPr="00EB0262">
        <w:rPr>
          <w:sz w:val="24"/>
          <w:szCs w:val="24"/>
        </w:rPr>
        <w:tab/>
        <w:t>Unless by 4:00 p.m. on 24</w:t>
      </w:r>
      <w:r w:rsidRPr="00EB0262">
        <w:rPr>
          <w:sz w:val="24"/>
          <w:szCs w:val="24"/>
          <w:vertAlign w:val="superscript"/>
        </w:rPr>
        <w:t>th</w:t>
      </w:r>
      <w:r w:rsidRPr="00EB0262">
        <w:rPr>
          <w:sz w:val="24"/>
          <w:szCs w:val="24"/>
        </w:rPr>
        <w:t xml:space="preserve"> August 2021, the Defendant complies paragraphs 1 or 2 of the Order made</w:t>
      </w:r>
      <w:r w:rsidR="00EB0262" w:rsidRPr="00EB0262">
        <w:rPr>
          <w:sz w:val="24"/>
          <w:szCs w:val="24"/>
        </w:rPr>
        <w:t xml:space="preserve"> </w:t>
      </w:r>
      <w:r w:rsidRPr="00EB0262">
        <w:rPr>
          <w:sz w:val="24"/>
          <w:szCs w:val="24"/>
        </w:rPr>
        <w:t>by Master Matthew Leung dated 4</w:t>
      </w:r>
      <w:r w:rsidRPr="00EB0262">
        <w:rPr>
          <w:sz w:val="24"/>
          <w:szCs w:val="24"/>
          <w:vertAlign w:val="superscript"/>
        </w:rPr>
        <w:t>th</w:t>
      </w:r>
      <w:r w:rsidRPr="00EB0262">
        <w:rPr>
          <w:sz w:val="24"/>
          <w:szCs w:val="24"/>
        </w:rPr>
        <w:t xml:space="preserve"> </w:t>
      </w:r>
      <w:r w:rsidR="00EB0262" w:rsidRPr="00EB0262">
        <w:rPr>
          <w:sz w:val="24"/>
          <w:szCs w:val="24"/>
        </w:rPr>
        <w:t>January</w:t>
      </w:r>
      <w:r w:rsidRPr="00EB0262">
        <w:rPr>
          <w:sz w:val="24"/>
          <w:szCs w:val="24"/>
        </w:rPr>
        <w:t xml:space="preserve"> 2021, the </w:t>
      </w:r>
      <w:proofErr w:type="spellStart"/>
      <w:r w:rsidR="00EB0262" w:rsidRPr="00EB0262">
        <w:rPr>
          <w:sz w:val="24"/>
          <w:szCs w:val="24"/>
        </w:rPr>
        <w:t>Defence</w:t>
      </w:r>
      <w:proofErr w:type="spellEnd"/>
      <w:r w:rsidRPr="00EB0262">
        <w:rPr>
          <w:sz w:val="24"/>
          <w:szCs w:val="24"/>
        </w:rPr>
        <w:t xml:space="preserve"> filed by the Defendant dated 6</w:t>
      </w:r>
      <w:r w:rsidRPr="00EB0262">
        <w:rPr>
          <w:sz w:val="24"/>
          <w:szCs w:val="24"/>
          <w:vertAlign w:val="superscript"/>
        </w:rPr>
        <w:t>th</w:t>
      </w:r>
      <w:r w:rsidRPr="00EB0262">
        <w:rPr>
          <w:sz w:val="24"/>
          <w:szCs w:val="24"/>
        </w:rPr>
        <w:t xml:space="preserve"> May 2019 be </w:t>
      </w:r>
      <w:r w:rsidR="00EB0262" w:rsidRPr="00EB0262">
        <w:rPr>
          <w:sz w:val="24"/>
          <w:szCs w:val="24"/>
        </w:rPr>
        <w:t>struck</w:t>
      </w:r>
      <w:r w:rsidRPr="00EB0262">
        <w:rPr>
          <w:sz w:val="24"/>
          <w:szCs w:val="24"/>
        </w:rPr>
        <w:t xml:space="preserve"> out and judgment on liability be entered for the </w:t>
      </w:r>
      <w:r w:rsidR="00EB0262" w:rsidRPr="00EB0262">
        <w:rPr>
          <w:sz w:val="24"/>
          <w:szCs w:val="24"/>
        </w:rPr>
        <w:t xml:space="preserve">Plaintiff </w:t>
      </w:r>
      <w:r w:rsidRPr="00EB0262">
        <w:rPr>
          <w:sz w:val="24"/>
          <w:szCs w:val="24"/>
        </w:rPr>
        <w:t>with costs;</w:t>
      </w:r>
    </w:p>
    <w:p w:rsidR="00EB0262" w:rsidRPr="00EB0262" w:rsidRDefault="00EB0262" w:rsidP="00EB0262">
      <w:pPr>
        <w:tabs>
          <w:tab w:val="clear" w:pos="4320"/>
          <w:tab w:val="clear" w:pos="9072"/>
          <w:tab w:val="left" w:pos="2160"/>
        </w:tabs>
        <w:ind w:left="2160" w:right="746" w:hanging="720"/>
        <w:jc w:val="both"/>
        <w:rPr>
          <w:sz w:val="24"/>
          <w:szCs w:val="24"/>
        </w:rPr>
      </w:pPr>
    </w:p>
    <w:p w:rsidR="00EB0262" w:rsidRPr="00EB0262" w:rsidRDefault="0070787A" w:rsidP="00EB0262">
      <w:pPr>
        <w:tabs>
          <w:tab w:val="clear" w:pos="4320"/>
          <w:tab w:val="clear" w:pos="9072"/>
          <w:tab w:val="left" w:pos="2160"/>
        </w:tabs>
        <w:ind w:left="2160" w:right="746" w:hanging="720"/>
        <w:jc w:val="both"/>
        <w:rPr>
          <w:sz w:val="24"/>
          <w:szCs w:val="24"/>
        </w:rPr>
      </w:pPr>
      <w:r w:rsidRPr="00EB0262">
        <w:rPr>
          <w:sz w:val="24"/>
          <w:szCs w:val="24"/>
        </w:rPr>
        <w:t>(2)</w:t>
      </w:r>
      <w:r w:rsidRPr="00EB0262">
        <w:rPr>
          <w:sz w:val="24"/>
          <w:szCs w:val="24"/>
        </w:rPr>
        <w:tab/>
      </w:r>
      <w:r w:rsidR="00EB0262" w:rsidRPr="00EB0262">
        <w:rPr>
          <w:sz w:val="24"/>
          <w:szCs w:val="24"/>
        </w:rPr>
        <w:t>Time be extended for the Plaintiff to comply with paragraph 6 of the Order made by Master Matthew Leung dated 4</w:t>
      </w:r>
      <w:r w:rsidR="00EB0262" w:rsidRPr="00EB0262">
        <w:rPr>
          <w:sz w:val="24"/>
          <w:szCs w:val="24"/>
          <w:vertAlign w:val="superscript"/>
        </w:rPr>
        <w:t>th</w:t>
      </w:r>
      <w:r w:rsidR="00EB0262" w:rsidRPr="00EB0262">
        <w:rPr>
          <w:sz w:val="24"/>
          <w:szCs w:val="24"/>
        </w:rPr>
        <w:t xml:space="preserve"> May 2021 to file and serve the Application to set a case down for trial within 7 days from the paragraph 1 above;</w:t>
      </w:r>
    </w:p>
    <w:p w:rsidR="00EB0262" w:rsidRPr="00EB0262" w:rsidRDefault="00EB0262" w:rsidP="00EB0262">
      <w:pPr>
        <w:tabs>
          <w:tab w:val="clear" w:pos="4320"/>
          <w:tab w:val="clear" w:pos="9072"/>
          <w:tab w:val="left" w:pos="2160"/>
        </w:tabs>
        <w:ind w:right="746"/>
        <w:jc w:val="both"/>
        <w:rPr>
          <w:sz w:val="24"/>
          <w:szCs w:val="24"/>
        </w:rPr>
      </w:pPr>
    </w:p>
    <w:p w:rsidR="00EB0262" w:rsidRPr="00EB0262" w:rsidRDefault="00EB0262" w:rsidP="00EB0262">
      <w:pPr>
        <w:tabs>
          <w:tab w:val="clear" w:pos="4320"/>
          <w:tab w:val="clear" w:pos="9072"/>
          <w:tab w:val="left" w:pos="2160"/>
        </w:tabs>
        <w:ind w:left="2160" w:right="746" w:hanging="720"/>
        <w:jc w:val="both"/>
        <w:rPr>
          <w:sz w:val="24"/>
          <w:szCs w:val="24"/>
        </w:rPr>
      </w:pPr>
      <w:r w:rsidRPr="00EB0262">
        <w:rPr>
          <w:sz w:val="24"/>
          <w:szCs w:val="24"/>
        </w:rPr>
        <w:t>(3)</w:t>
      </w:r>
      <w:r w:rsidRPr="00EB0262">
        <w:rPr>
          <w:sz w:val="24"/>
          <w:szCs w:val="24"/>
        </w:rPr>
        <w:tab/>
        <w:t xml:space="preserve">Costs of this application be to the Plaintiff in any event to be taxed if not agreed; and </w:t>
      </w:r>
    </w:p>
    <w:p w:rsidR="00EB0262" w:rsidRPr="00EB0262" w:rsidRDefault="00EB0262" w:rsidP="00EB0262">
      <w:pPr>
        <w:tabs>
          <w:tab w:val="clear" w:pos="4320"/>
          <w:tab w:val="clear" w:pos="9072"/>
          <w:tab w:val="left" w:pos="2160"/>
        </w:tabs>
        <w:ind w:left="2160" w:right="746" w:hanging="720"/>
        <w:jc w:val="both"/>
        <w:rPr>
          <w:sz w:val="24"/>
          <w:szCs w:val="24"/>
        </w:rPr>
      </w:pPr>
    </w:p>
    <w:p w:rsidR="0070787A" w:rsidRDefault="00EB0262" w:rsidP="00EB0262">
      <w:pPr>
        <w:tabs>
          <w:tab w:val="clear" w:pos="4320"/>
          <w:tab w:val="clear" w:pos="9072"/>
          <w:tab w:val="left" w:pos="2160"/>
        </w:tabs>
        <w:ind w:left="2160" w:right="746" w:hanging="720"/>
        <w:jc w:val="both"/>
        <w:rPr>
          <w:sz w:val="24"/>
          <w:szCs w:val="24"/>
        </w:rPr>
      </w:pPr>
      <w:r w:rsidRPr="00EB0262">
        <w:rPr>
          <w:sz w:val="24"/>
          <w:szCs w:val="24"/>
        </w:rPr>
        <w:t>(4)</w:t>
      </w:r>
      <w:r w:rsidRPr="00EB0262">
        <w:rPr>
          <w:sz w:val="24"/>
          <w:szCs w:val="24"/>
        </w:rPr>
        <w:tab/>
        <w:t>The Plaintiff’s own costs be taxed in accordance with the Legal Aid Regulations.</w:t>
      </w:r>
      <w:r w:rsidR="0070787A" w:rsidRPr="00EB0262">
        <w:rPr>
          <w:sz w:val="24"/>
          <w:szCs w:val="24"/>
        </w:rPr>
        <w:t>”</w:t>
      </w:r>
    </w:p>
    <w:p w:rsidR="00EB0262" w:rsidRPr="00EB0262" w:rsidRDefault="00EB0262" w:rsidP="00EB0262">
      <w:pPr>
        <w:tabs>
          <w:tab w:val="clear" w:pos="4320"/>
          <w:tab w:val="clear" w:pos="9072"/>
          <w:tab w:val="left" w:pos="2160"/>
        </w:tabs>
        <w:ind w:right="746"/>
        <w:jc w:val="both"/>
        <w:rPr>
          <w:sz w:val="24"/>
          <w:szCs w:val="24"/>
        </w:rPr>
      </w:pPr>
    </w:p>
    <w:p w:rsidR="00486F5D" w:rsidRDefault="00486F5D" w:rsidP="00486F5D">
      <w:pPr>
        <w:pStyle w:val="ListParagraph"/>
        <w:spacing w:line="360" w:lineRule="auto"/>
        <w:ind w:left="0"/>
        <w:jc w:val="both"/>
      </w:pPr>
    </w:p>
    <w:p w:rsidR="00486F5D" w:rsidRDefault="00486F5D" w:rsidP="00E92B6A">
      <w:pPr>
        <w:pStyle w:val="ListParagraph"/>
        <w:keepNext/>
        <w:keepLines/>
        <w:widowControl w:val="0"/>
        <w:spacing w:line="360" w:lineRule="auto"/>
        <w:ind w:left="0"/>
        <w:jc w:val="both"/>
        <w:rPr>
          <w:rFonts w:eastAsiaTheme="minorEastAsia"/>
          <w:i/>
        </w:rPr>
      </w:pPr>
      <w:r>
        <w:rPr>
          <w:rFonts w:eastAsiaTheme="minorEastAsia" w:hint="eastAsia"/>
          <w:i/>
        </w:rPr>
        <w:t>H</w:t>
      </w:r>
      <w:r w:rsidR="009A43E2">
        <w:rPr>
          <w:rFonts w:eastAsiaTheme="minorEastAsia"/>
          <w:i/>
        </w:rPr>
        <w:t>istory of the proceedings</w:t>
      </w:r>
    </w:p>
    <w:p w:rsidR="00B52A29" w:rsidRPr="00486F5D" w:rsidRDefault="00B52A29" w:rsidP="00E92B6A">
      <w:pPr>
        <w:pStyle w:val="ListParagraph"/>
        <w:keepNext/>
        <w:keepLines/>
        <w:widowControl w:val="0"/>
        <w:spacing w:line="360" w:lineRule="auto"/>
        <w:ind w:left="0"/>
        <w:jc w:val="both"/>
        <w:rPr>
          <w:rFonts w:eastAsiaTheme="minorEastAsia"/>
          <w:i/>
        </w:rPr>
      </w:pPr>
    </w:p>
    <w:p w:rsidR="00337C1D" w:rsidRDefault="00C60018" w:rsidP="003570BE">
      <w:pPr>
        <w:pStyle w:val="ListParagraph"/>
        <w:keepNext/>
        <w:keepLines/>
        <w:widowControl w:val="0"/>
        <w:numPr>
          <w:ilvl w:val="0"/>
          <w:numId w:val="14"/>
        </w:numPr>
        <w:spacing w:line="360" w:lineRule="auto"/>
        <w:ind w:left="0" w:firstLine="0"/>
        <w:jc w:val="both"/>
      </w:pPr>
      <w:r>
        <w:t xml:space="preserve">There have been some extraordinary </w:t>
      </w:r>
      <w:r w:rsidR="007911FA">
        <w:t>delay</w:t>
      </w:r>
      <w:r>
        <w:t>s</w:t>
      </w:r>
      <w:r w:rsidR="007911FA">
        <w:t xml:space="preserve"> caused by the inaction of the defendant in this case as the </w:t>
      </w:r>
      <w:r w:rsidR="00337C1D">
        <w:t>history set out below will show</w:t>
      </w:r>
      <w:r w:rsidR="007911FA">
        <w:t>.</w:t>
      </w:r>
    </w:p>
    <w:p w:rsidR="00337C1D" w:rsidRDefault="00337C1D" w:rsidP="00337C1D">
      <w:pPr>
        <w:pStyle w:val="ListParagraph"/>
        <w:keepNext/>
        <w:keepLines/>
        <w:widowControl w:val="0"/>
        <w:spacing w:line="360" w:lineRule="auto"/>
        <w:ind w:left="0"/>
        <w:jc w:val="both"/>
      </w:pPr>
    </w:p>
    <w:p w:rsidR="00486F5D" w:rsidRDefault="00B52A29" w:rsidP="003570BE">
      <w:pPr>
        <w:pStyle w:val="ListParagraph"/>
        <w:keepNext/>
        <w:keepLines/>
        <w:widowControl w:val="0"/>
        <w:numPr>
          <w:ilvl w:val="0"/>
          <w:numId w:val="14"/>
        </w:numPr>
        <w:spacing w:line="360" w:lineRule="auto"/>
        <w:ind w:left="0" w:firstLine="0"/>
        <w:jc w:val="both"/>
      </w:pPr>
      <w:r>
        <w:t xml:space="preserve">The writ </w:t>
      </w:r>
      <w:r w:rsidR="009C50F6">
        <w:t xml:space="preserve">of summons (“the writ”) </w:t>
      </w:r>
      <w:r>
        <w:t xml:space="preserve">of this case was issued on behalf of the plaintiff on 27 March 2019.  On the same day, the </w:t>
      </w:r>
      <w:r w:rsidR="00337C1D">
        <w:t>s</w:t>
      </w:r>
      <w:r>
        <w:t xml:space="preserve">tatement of </w:t>
      </w:r>
      <w:r w:rsidR="00337C1D">
        <w:t>c</w:t>
      </w:r>
      <w:r>
        <w:t xml:space="preserve">laim and </w:t>
      </w:r>
      <w:r w:rsidR="009C50F6">
        <w:t xml:space="preserve">the </w:t>
      </w:r>
      <w:r w:rsidR="00337C1D">
        <w:t>s</w:t>
      </w:r>
      <w:r>
        <w:t xml:space="preserve">tatement of </w:t>
      </w:r>
      <w:r w:rsidR="00337C1D">
        <w:t>d</w:t>
      </w:r>
      <w:r>
        <w:t>amages were filed</w:t>
      </w:r>
      <w:r w:rsidR="00C60018">
        <w:t xml:space="preserve"> and served</w:t>
      </w:r>
      <w:r>
        <w:t xml:space="preserve">. </w:t>
      </w:r>
    </w:p>
    <w:p w:rsidR="00B52A29" w:rsidRDefault="00B52A29" w:rsidP="00B52A29">
      <w:pPr>
        <w:pStyle w:val="ListParagraph"/>
        <w:spacing w:line="360" w:lineRule="auto"/>
        <w:ind w:left="0"/>
        <w:jc w:val="both"/>
      </w:pPr>
    </w:p>
    <w:p w:rsidR="00B52A29" w:rsidRDefault="00B52A29" w:rsidP="003570BE">
      <w:pPr>
        <w:pStyle w:val="ListParagraph"/>
        <w:numPr>
          <w:ilvl w:val="0"/>
          <w:numId w:val="14"/>
        </w:numPr>
        <w:spacing w:line="360" w:lineRule="auto"/>
        <w:ind w:left="0" w:firstLine="0"/>
        <w:jc w:val="both"/>
      </w:pPr>
      <w:r>
        <w:t xml:space="preserve">On 3 April 2019, the defendant’s solicitors filed an </w:t>
      </w:r>
      <w:r w:rsidR="00337C1D">
        <w:t>a</w:t>
      </w:r>
      <w:r>
        <w:t xml:space="preserve">cknowledgment of </w:t>
      </w:r>
      <w:r w:rsidR="00337C1D">
        <w:t>s</w:t>
      </w:r>
      <w:r>
        <w:t xml:space="preserve">ervice on behalf of the defendant.     </w:t>
      </w:r>
    </w:p>
    <w:p w:rsidR="00B52A29" w:rsidRDefault="00B52A29" w:rsidP="00B52A29">
      <w:pPr>
        <w:pStyle w:val="ListParagraph"/>
      </w:pPr>
    </w:p>
    <w:p w:rsidR="00B52A29" w:rsidRDefault="00B52A29" w:rsidP="003570BE">
      <w:pPr>
        <w:pStyle w:val="ListParagraph"/>
        <w:numPr>
          <w:ilvl w:val="0"/>
          <w:numId w:val="14"/>
        </w:numPr>
        <w:spacing w:line="360" w:lineRule="auto"/>
        <w:ind w:left="0" w:firstLine="0"/>
        <w:jc w:val="both"/>
      </w:pPr>
      <w:r>
        <w:t>O</w:t>
      </w:r>
      <w:r w:rsidR="00C60018">
        <w:t xml:space="preserve">n 6 May 2019, the defendant </w:t>
      </w:r>
      <w:r>
        <w:t xml:space="preserve">filed the </w:t>
      </w:r>
      <w:proofErr w:type="spellStart"/>
      <w:r>
        <w:t>defence</w:t>
      </w:r>
      <w:proofErr w:type="spellEnd"/>
      <w:r>
        <w:t xml:space="preserve"> where, </w:t>
      </w:r>
      <w:r w:rsidRPr="00666BF0">
        <w:rPr>
          <w:i/>
        </w:rPr>
        <w:t>inter alia,</w:t>
      </w:r>
      <w:r>
        <w:t xml:space="preserve"> </w:t>
      </w:r>
      <w:r w:rsidR="00796320">
        <w:t>allegation</w:t>
      </w:r>
      <w:r w:rsidR="00337C1D">
        <w:t>s</w:t>
      </w:r>
      <w:r w:rsidR="00796320">
        <w:t xml:space="preserve"> of contributory negligence ha</w:t>
      </w:r>
      <w:r w:rsidR="00337C1D">
        <w:t>ve</w:t>
      </w:r>
      <w:r w:rsidR="00796320">
        <w:t xml:space="preserve"> been </w:t>
      </w:r>
      <w:r w:rsidR="00337C1D">
        <w:t>made</w:t>
      </w:r>
      <w:r w:rsidR="00796320">
        <w:t xml:space="preserve"> against the plaintiff.  </w:t>
      </w:r>
    </w:p>
    <w:p w:rsidR="00796320" w:rsidRDefault="00796320" w:rsidP="00796320">
      <w:pPr>
        <w:pStyle w:val="ListParagraph"/>
      </w:pPr>
    </w:p>
    <w:p w:rsidR="00796320" w:rsidRDefault="00796320" w:rsidP="003570BE">
      <w:pPr>
        <w:pStyle w:val="ListParagraph"/>
        <w:numPr>
          <w:ilvl w:val="0"/>
          <w:numId w:val="14"/>
        </w:numPr>
        <w:spacing w:line="360" w:lineRule="auto"/>
        <w:ind w:left="0" w:firstLine="0"/>
        <w:jc w:val="both"/>
      </w:pPr>
      <w:r>
        <w:t xml:space="preserve">On 9 May 2019, the plaintiff filed </w:t>
      </w:r>
      <w:r w:rsidR="005F6CE1">
        <w:t>h</w:t>
      </w:r>
      <w:r w:rsidR="00666BF0">
        <w:t>is</w:t>
      </w:r>
      <w:r w:rsidR="005F6CE1">
        <w:t xml:space="preserve"> </w:t>
      </w:r>
      <w:r>
        <w:t>reply where specific averments of facts regarding ho</w:t>
      </w:r>
      <w:r w:rsidR="00337C1D">
        <w:t>w the Accident happened have</w:t>
      </w:r>
      <w:r>
        <w:t xml:space="preserve"> been raised.  </w:t>
      </w:r>
    </w:p>
    <w:p w:rsidR="00796320" w:rsidRDefault="00796320" w:rsidP="00796320">
      <w:pPr>
        <w:pStyle w:val="ListParagraph"/>
      </w:pPr>
    </w:p>
    <w:p w:rsidR="00796320" w:rsidRDefault="00796320" w:rsidP="003570BE">
      <w:pPr>
        <w:pStyle w:val="ListParagraph"/>
        <w:numPr>
          <w:ilvl w:val="0"/>
          <w:numId w:val="14"/>
        </w:numPr>
        <w:spacing w:line="360" w:lineRule="auto"/>
        <w:ind w:left="0" w:firstLine="0"/>
        <w:jc w:val="both"/>
      </w:pPr>
      <w:r>
        <w:t xml:space="preserve">The plaintiff filed his list of documents on 19 June 2019 while the defendant filed </w:t>
      </w:r>
      <w:r w:rsidR="00666BF0">
        <w:t xml:space="preserve">its </w:t>
      </w:r>
      <w:r>
        <w:t>on 28 August 2019</w:t>
      </w:r>
      <w:r w:rsidR="000A36F3">
        <w:t>,</w:t>
      </w:r>
      <w:r w:rsidR="00D76EB6">
        <w:t xml:space="preserve"> with a </w:t>
      </w:r>
      <w:r w:rsidR="00337C1D">
        <w:t xml:space="preserve">supplementary list </w:t>
      </w:r>
      <w:r w:rsidR="00790D7D">
        <w:t xml:space="preserve">filed </w:t>
      </w:r>
      <w:r w:rsidR="00D76EB6">
        <w:t xml:space="preserve">on the next day, </w:t>
      </w:r>
      <w:proofErr w:type="spellStart"/>
      <w:r w:rsidR="00D76EB6">
        <w:t>ie</w:t>
      </w:r>
      <w:proofErr w:type="spellEnd"/>
      <w:r w:rsidR="00D76EB6">
        <w:t xml:space="preserve"> on 29 August 2019. </w:t>
      </w:r>
    </w:p>
    <w:p w:rsidR="00D76EB6" w:rsidRDefault="00D76EB6" w:rsidP="00D76EB6">
      <w:pPr>
        <w:pStyle w:val="ListParagraph"/>
      </w:pPr>
    </w:p>
    <w:p w:rsidR="00D76EB6" w:rsidRDefault="00D76EB6" w:rsidP="003570BE">
      <w:pPr>
        <w:pStyle w:val="ListParagraph"/>
        <w:numPr>
          <w:ilvl w:val="0"/>
          <w:numId w:val="14"/>
        </w:numPr>
        <w:spacing w:line="360" w:lineRule="auto"/>
        <w:ind w:left="0" w:firstLine="0"/>
        <w:jc w:val="both"/>
      </w:pPr>
      <w:r>
        <w:t xml:space="preserve">In accordance with the </w:t>
      </w:r>
      <w:r w:rsidR="00337C1D">
        <w:t xml:space="preserve">standard </w:t>
      </w:r>
      <w:r w:rsidR="00666BF0">
        <w:t xml:space="preserve">practice </w:t>
      </w:r>
      <w:r w:rsidR="00337C1D">
        <w:t>under P</w:t>
      </w:r>
      <w:r w:rsidR="003570BE">
        <w:t xml:space="preserve">ractice </w:t>
      </w:r>
      <w:r w:rsidR="00337C1D">
        <w:t>D</w:t>
      </w:r>
      <w:r w:rsidR="003570BE">
        <w:t>irection</w:t>
      </w:r>
      <w:r w:rsidR="00337C1D">
        <w:t xml:space="preserve"> 18.1, the first </w:t>
      </w:r>
      <w:r>
        <w:t>checklist review (“</w:t>
      </w:r>
      <w:r w:rsidR="00790D7D">
        <w:t>the 1</w:t>
      </w:r>
      <w:r w:rsidR="00790D7D" w:rsidRPr="00790D7D">
        <w:rPr>
          <w:vertAlign w:val="superscript"/>
        </w:rPr>
        <w:t>st</w:t>
      </w:r>
      <w:r w:rsidR="00790D7D">
        <w:t xml:space="preserve"> </w:t>
      </w:r>
      <w:r>
        <w:t xml:space="preserve">CLR”) </w:t>
      </w:r>
      <w:r w:rsidR="003570BE">
        <w:t xml:space="preserve">hearing </w:t>
      </w:r>
      <w:r>
        <w:t xml:space="preserve">was scheduled to take place on 2 September 2019, which was </w:t>
      </w:r>
      <w:r w:rsidR="00C47BBA">
        <w:t>set at a date between 5 and</w:t>
      </w:r>
      <w:r>
        <w:t xml:space="preserve"> 6 months after the </w:t>
      </w:r>
      <w:r w:rsidR="00790D7D">
        <w:t>issue of the writ</w:t>
      </w:r>
      <w:r>
        <w:t xml:space="preserve">.  </w:t>
      </w:r>
    </w:p>
    <w:p w:rsidR="00D76EB6" w:rsidRDefault="00D76EB6" w:rsidP="00D76EB6">
      <w:pPr>
        <w:pStyle w:val="ListParagraph"/>
      </w:pPr>
    </w:p>
    <w:p w:rsidR="00D76EB6" w:rsidRDefault="005C0AEE" w:rsidP="003570BE">
      <w:pPr>
        <w:pStyle w:val="ListParagraph"/>
        <w:numPr>
          <w:ilvl w:val="0"/>
          <w:numId w:val="14"/>
        </w:numPr>
        <w:spacing w:line="360" w:lineRule="auto"/>
        <w:ind w:left="0" w:firstLine="0"/>
        <w:jc w:val="both"/>
      </w:pPr>
      <w:r>
        <w:lastRenderedPageBreak/>
        <w:t xml:space="preserve">As of usual </w:t>
      </w:r>
      <w:r w:rsidR="00F5729B">
        <w:t xml:space="preserve">in </w:t>
      </w:r>
      <w:r>
        <w:t xml:space="preserve">such cases, on 30 August 2019, the parties </w:t>
      </w:r>
      <w:r w:rsidR="003C5CA9">
        <w:rPr>
          <w:rFonts w:hint="eastAsia"/>
        </w:rPr>
        <w:t>file</w:t>
      </w:r>
      <w:r w:rsidR="003C5CA9">
        <w:t>d</w:t>
      </w:r>
      <w:r>
        <w:t xml:space="preserve"> </w:t>
      </w:r>
      <w:r w:rsidR="00C47BBA">
        <w:t>a consent summons</w:t>
      </w:r>
      <w:r w:rsidR="009C50F6">
        <w:t xml:space="preserve"> (“the Consent Summons”)</w:t>
      </w:r>
      <w:r w:rsidR="00C47BBA">
        <w:t xml:space="preserve"> which contained </w:t>
      </w:r>
      <w:r>
        <w:t>some agreed case management directions for the court</w:t>
      </w:r>
      <w:r w:rsidR="00F5729B">
        <w:t>’s</w:t>
      </w:r>
      <w:r w:rsidR="009C50F6">
        <w:t xml:space="preserve"> approval. In the meantime, they </w:t>
      </w:r>
      <w:r>
        <w:t>asked</w:t>
      </w:r>
      <w:r w:rsidR="009C50F6">
        <w:t xml:space="preserve"> </w:t>
      </w:r>
      <w:r>
        <w:t>the court</w:t>
      </w:r>
      <w:r w:rsidR="000A36F3">
        <w:t xml:space="preserve"> </w:t>
      </w:r>
      <w:r>
        <w:t xml:space="preserve">to </w:t>
      </w:r>
      <w:r w:rsidR="000A36F3">
        <w:t>adjourn</w:t>
      </w:r>
      <w:r w:rsidR="00991B0D">
        <w:t xml:space="preserve"> </w:t>
      </w:r>
      <w:r>
        <w:t>the 1</w:t>
      </w:r>
      <w:r w:rsidRPr="005C0AEE">
        <w:rPr>
          <w:vertAlign w:val="superscript"/>
        </w:rPr>
        <w:t>st</w:t>
      </w:r>
      <w:r>
        <w:t xml:space="preserve"> </w:t>
      </w:r>
      <w:r w:rsidR="00991B0D">
        <w:t xml:space="preserve">CLR hearing.  </w:t>
      </w:r>
    </w:p>
    <w:p w:rsidR="00991B0D" w:rsidRDefault="00991B0D" w:rsidP="00991B0D">
      <w:pPr>
        <w:pStyle w:val="ListParagraph"/>
      </w:pPr>
    </w:p>
    <w:p w:rsidR="00991B0D" w:rsidRDefault="00991B0D" w:rsidP="003570BE">
      <w:pPr>
        <w:pStyle w:val="ListParagraph"/>
        <w:numPr>
          <w:ilvl w:val="0"/>
          <w:numId w:val="14"/>
        </w:numPr>
        <w:spacing w:line="360" w:lineRule="auto"/>
        <w:ind w:left="0" w:firstLine="0"/>
        <w:jc w:val="both"/>
      </w:pPr>
      <w:r>
        <w:t xml:space="preserve">Among </w:t>
      </w:r>
      <w:r w:rsidR="006D55D9">
        <w:t xml:space="preserve">other </w:t>
      </w:r>
      <w:r>
        <w:t xml:space="preserve">things, </w:t>
      </w:r>
      <w:r w:rsidR="00423F6C">
        <w:t xml:space="preserve">in the </w:t>
      </w:r>
      <w:r w:rsidR="009C50F6">
        <w:t>C</w:t>
      </w:r>
      <w:r w:rsidR="00423F6C">
        <w:t xml:space="preserve">onsent </w:t>
      </w:r>
      <w:r w:rsidR="009C50F6">
        <w:t>S</w:t>
      </w:r>
      <w:r w:rsidR="00423F6C">
        <w:t xml:space="preserve">ummons, </w:t>
      </w:r>
      <w:r w:rsidR="00BE60F1">
        <w:t xml:space="preserve">the parties </w:t>
      </w:r>
      <w:r>
        <w:t xml:space="preserve">agreed that the plaintiff shall make specific discovery on certain documents in relation to his income prior to the </w:t>
      </w:r>
      <w:r w:rsidR="00423F6C">
        <w:t>A</w:t>
      </w:r>
      <w:r>
        <w:t xml:space="preserve">ccident.  It also included an agreement </w:t>
      </w:r>
      <w:r w:rsidR="003570BE">
        <w:t xml:space="preserve">made </w:t>
      </w:r>
      <w:r>
        <w:t xml:space="preserve">by the parties that they would, by 26 October 2019, serve and exchange the </w:t>
      </w:r>
      <w:r w:rsidR="00F5729B">
        <w:t>w</w:t>
      </w:r>
      <w:r>
        <w:t xml:space="preserve">itness </w:t>
      </w:r>
      <w:r w:rsidR="00F5729B">
        <w:t>s</w:t>
      </w:r>
      <w:r>
        <w:t xml:space="preserve">tatements as to facts in this case.  </w:t>
      </w:r>
    </w:p>
    <w:p w:rsidR="00991B0D" w:rsidRDefault="00991B0D" w:rsidP="00991B0D">
      <w:pPr>
        <w:pStyle w:val="ListParagraph"/>
      </w:pPr>
    </w:p>
    <w:p w:rsidR="00991B0D" w:rsidRDefault="00991B0D" w:rsidP="003570BE">
      <w:pPr>
        <w:pStyle w:val="ListParagraph"/>
        <w:numPr>
          <w:ilvl w:val="0"/>
          <w:numId w:val="14"/>
        </w:numPr>
        <w:spacing w:line="360" w:lineRule="auto"/>
        <w:ind w:left="0" w:firstLine="0"/>
        <w:jc w:val="both"/>
      </w:pPr>
      <w:r>
        <w:t xml:space="preserve">The </w:t>
      </w:r>
      <w:r w:rsidR="009C50F6">
        <w:t>C</w:t>
      </w:r>
      <w:r>
        <w:t>o</w:t>
      </w:r>
      <w:r w:rsidR="00423F6C">
        <w:t xml:space="preserve">nsent </w:t>
      </w:r>
      <w:r w:rsidR="009C50F6">
        <w:t>S</w:t>
      </w:r>
      <w:r w:rsidR="00423F6C">
        <w:t>ummons was subsequently</w:t>
      </w:r>
      <w:r>
        <w:t xml:space="preserve"> made into an </w:t>
      </w:r>
      <w:r w:rsidR="00423F6C">
        <w:t>o</w:t>
      </w:r>
      <w:r>
        <w:t>rder of the court by Mast</w:t>
      </w:r>
      <w:r w:rsidR="00423F6C">
        <w:t xml:space="preserve">er Peony Wong on 30 August 2019 (“Master </w:t>
      </w:r>
      <w:r w:rsidR="0097791F">
        <w:t xml:space="preserve">Peony </w:t>
      </w:r>
      <w:r w:rsidR="00423F6C">
        <w:t xml:space="preserve">Wong’s Order”).   The dates contained in </w:t>
      </w:r>
      <w:r w:rsidR="009C50F6">
        <w:t>Master Peony Wong’s Order</w:t>
      </w:r>
      <w:r w:rsidR="00423F6C">
        <w:t xml:space="preserve"> </w:t>
      </w:r>
      <w:r w:rsidR="000A36F3">
        <w:t xml:space="preserve">to take various steps in the case </w:t>
      </w:r>
      <w:r w:rsidR="00423F6C">
        <w:t>were principally</w:t>
      </w:r>
      <w:r>
        <w:t xml:space="preserve"> based on the dates </w:t>
      </w:r>
      <w:r w:rsidR="009C50F6">
        <w:t xml:space="preserve">which had been </w:t>
      </w:r>
      <w:r>
        <w:t xml:space="preserve">agreed by the parties </w:t>
      </w:r>
      <w:r w:rsidR="00423F6C">
        <w:t xml:space="preserve">in </w:t>
      </w:r>
      <w:r>
        <w:t xml:space="preserve">the </w:t>
      </w:r>
      <w:r w:rsidR="009C50F6">
        <w:t>C</w:t>
      </w:r>
      <w:r>
        <w:t xml:space="preserve">onsent </w:t>
      </w:r>
      <w:r w:rsidR="009C50F6">
        <w:t>S</w:t>
      </w:r>
      <w:r>
        <w:t xml:space="preserve">ummons.  </w:t>
      </w:r>
    </w:p>
    <w:p w:rsidR="00991B0D" w:rsidRDefault="00991B0D" w:rsidP="00991B0D">
      <w:pPr>
        <w:pStyle w:val="ListParagraph"/>
      </w:pPr>
    </w:p>
    <w:p w:rsidR="00991B0D" w:rsidRDefault="00991B0D" w:rsidP="003570BE">
      <w:pPr>
        <w:pStyle w:val="ListParagraph"/>
        <w:numPr>
          <w:ilvl w:val="0"/>
          <w:numId w:val="14"/>
        </w:numPr>
        <w:spacing w:line="360" w:lineRule="auto"/>
        <w:ind w:left="0" w:firstLine="0"/>
        <w:jc w:val="both"/>
      </w:pPr>
      <w:r>
        <w:t xml:space="preserve">On 24 October 2019, the plaintiff filed his supplementary list of documents, enclosing the documents which the defendant had sought specific discovery </w:t>
      </w:r>
      <w:r w:rsidR="00423F6C">
        <w:t xml:space="preserve">upon </w:t>
      </w:r>
      <w:r>
        <w:t xml:space="preserve">under the </w:t>
      </w:r>
      <w:r w:rsidR="009C50F6">
        <w:t>C</w:t>
      </w:r>
      <w:r w:rsidR="00453BB4">
        <w:t xml:space="preserve">onsent </w:t>
      </w:r>
      <w:r w:rsidR="009C50F6">
        <w:t>S</w:t>
      </w:r>
      <w:r w:rsidR="00453BB4">
        <w:t xml:space="preserve">ummons.  </w:t>
      </w:r>
      <w:r w:rsidR="005F6CE1">
        <w:t xml:space="preserve">The plaintiff also filed an affirmation to comply with </w:t>
      </w:r>
      <w:r w:rsidR="003570BE" w:rsidRPr="003570BE">
        <w:rPr>
          <w:rStyle w:val="eq0j8"/>
          <w:szCs w:val="28"/>
          <w:lang w:val="en-HK"/>
        </w:rPr>
        <w:t>§</w:t>
      </w:r>
      <w:r w:rsidR="003570BE">
        <w:rPr>
          <w:szCs w:val="28"/>
        </w:rPr>
        <w:t>2</w:t>
      </w:r>
      <w:r w:rsidR="005F6CE1">
        <w:t xml:space="preserve"> </w:t>
      </w:r>
      <w:r w:rsidR="00423F6C">
        <w:t xml:space="preserve">of </w:t>
      </w:r>
      <w:r w:rsidR="005F6CE1">
        <w:t xml:space="preserve">Master </w:t>
      </w:r>
      <w:r w:rsidR="0097791F">
        <w:t>Peony</w:t>
      </w:r>
      <w:r w:rsidR="005F6CE1">
        <w:t xml:space="preserve"> Wong’s Order.  </w:t>
      </w:r>
    </w:p>
    <w:p w:rsidR="00CC7AAC" w:rsidRDefault="00CC7AAC" w:rsidP="00CC7AAC">
      <w:pPr>
        <w:pStyle w:val="ListParagraph"/>
      </w:pPr>
    </w:p>
    <w:p w:rsidR="00CC7AAC" w:rsidRDefault="00CC7AAC" w:rsidP="003570BE">
      <w:pPr>
        <w:pStyle w:val="ListParagraph"/>
        <w:numPr>
          <w:ilvl w:val="0"/>
          <w:numId w:val="14"/>
        </w:numPr>
        <w:spacing w:line="360" w:lineRule="auto"/>
        <w:ind w:left="0" w:firstLine="0"/>
        <w:jc w:val="both"/>
      </w:pPr>
      <w:r>
        <w:t>The plaintiff then filed the revised statement of damages (“RSD”) on 8 November 2019, again</w:t>
      </w:r>
      <w:r w:rsidR="00423F6C">
        <w:t>,</w:t>
      </w:r>
      <w:r>
        <w:t xml:space="preserve"> pursuan</w:t>
      </w:r>
      <w:r w:rsidR="00036466">
        <w:t>t</w:t>
      </w:r>
      <w:r>
        <w:t xml:space="preserve"> to Master Peony Wong</w:t>
      </w:r>
      <w:r w:rsidR="0097791F">
        <w:t>’s Order</w:t>
      </w:r>
      <w:r>
        <w:t xml:space="preserve">.  </w:t>
      </w:r>
    </w:p>
    <w:p w:rsidR="00CC7AAC" w:rsidRDefault="00CC7AAC" w:rsidP="00CC7AAC">
      <w:pPr>
        <w:pStyle w:val="ListParagraph"/>
      </w:pPr>
    </w:p>
    <w:p w:rsidR="0097791F" w:rsidRDefault="00CC7AAC" w:rsidP="003570BE">
      <w:pPr>
        <w:pStyle w:val="ListParagraph"/>
        <w:numPr>
          <w:ilvl w:val="0"/>
          <w:numId w:val="14"/>
        </w:numPr>
        <w:spacing w:line="360" w:lineRule="auto"/>
        <w:ind w:left="0" w:firstLine="0"/>
        <w:jc w:val="both"/>
      </w:pPr>
      <w:r>
        <w:t xml:space="preserve">The plaintiff made further discovery of documents in relation </w:t>
      </w:r>
      <w:r w:rsidR="009C50F6">
        <w:t xml:space="preserve">to </w:t>
      </w:r>
      <w:r>
        <w:t>his income by way of 2</w:t>
      </w:r>
      <w:r w:rsidRPr="00CC7AAC">
        <w:rPr>
          <w:vertAlign w:val="superscript"/>
        </w:rPr>
        <w:t>nd</w:t>
      </w:r>
      <w:r>
        <w:t xml:space="preserve"> supplementary </w:t>
      </w:r>
      <w:r w:rsidR="00175FC5">
        <w:t>list of documents and 3</w:t>
      </w:r>
      <w:r w:rsidR="00175FC5" w:rsidRPr="00175FC5">
        <w:rPr>
          <w:vertAlign w:val="superscript"/>
        </w:rPr>
        <w:t>rd</w:t>
      </w:r>
      <w:r w:rsidR="00175FC5">
        <w:t xml:space="preserve"> supplementary list of documents respectively on 8 November 2019 and 13 March 2020.</w:t>
      </w:r>
    </w:p>
    <w:p w:rsidR="0097791F" w:rsidRDefault="0097791F" w:rsidP="0097791F">
      <w:pPr>
        <w:pStyle w:val="ListParagraph"/>
      </w:pPr>
    </w:p>
    <w:p w:rsidR="00175FC5" w:rsidRDefault="00175FC5" w:rsidP="00175FC5">
      <w:pPr>
        <w:pStyle w:val="ListParagraph"/>
      </w:pPr>
    </w:p>
    <w:p w:rsidR="00CC7AAC" w:rsidRPr="00175FC5" w:rsidRDefault="00175FC5" w:rsidP="00175FC5">
      <w:pPr>
        <w:pStyle w:val="ListParagraph"/>
        <w:spacing w:line="360" w:lineRule="auto"/>
        <w:ind w:left="0"/>
        <w:jc w:val="both"/>
        <w:rPr>
          <w:i/>
        </w:rPr>
      </w:pPr>
      <w:r w:rsidRPr="00175FC5">
        <w:rPr>
          <w:i/>
        </w:rPr>
        <w:t>T</w:t>
      </w:r>
      <w:r w:rsidR="00423F6C">
        <w:rPr>
          <w:i/>
        </w:rPr>
        <w:t xml:space="preserve">he plaintiff’s </w:t>
      </w:r>
      <w:r w:rsidR="003570BE">
        <w:rPr>
          <w:i/>
        </w:rPr>
        <w:t>“unless o</w:t>
      </w:r>
      <w:r w:rsidR="001D2378">
        <w:rPr>
          <w:i/>
        </w:rPr>
        <w:t xml:space="preserve">rder” </w:t>
      </w:r>
      <w:r w:rsidR="003570BE">
        <w:rPr>
          <w:i/>
        </w:rPr>
        <w:t>s</w:t>
      </w:r>
      <w:r w:rsidR="00036466">
        <w:rPr>
          <w:i/>
        </w:rPr>
        <w:t xml:space="preserve">ummons dated 12 August </w:t>
      </w:r>
      <w:r w:rsidRPr="00175FC5">
        <w:rPr>
          <w:i/>
        </w:rPr>
        <w:t>2020</w:t>
      </w:r>
    </w:p>
    <w:p w:rsidR="00175FC5" w:rsidRDefault="00175FC5" w:rsidP="00175FC5">
      <w:pPr>
        <w:pStyle w:val="ListParagraph"/>
      </w:pPr>
    </w:p>
    <w:p w:rsidR="00175FC5" w:rsidRDefault="00790D7D" w:rsidP="003570BE">
      <w:pPr>
        <w:pStyle w:val="ListParagraph"/>
        <w:numPr>
          <w:ilvl w:val="0"/>
          <w:numId w:val="14"/>
        </w:numPr>
        <w:spacing w:line="360" w:lineRule="auto"/>
        <w:ind w:left="0" w:firstLine="0"/>
        <w:jc w:val="both"/>
      </w:pPr>
      <w:r>
        <w:t>Apparently</w:t>
      </w:r>
      <w:r w:rsidR="003570BE">
        <w:t xml:space="preserve"> after</w:t>
      </w:r>
      <w:r w:rsidR="003F1FFB">
        <w:t xml:space="preserve"> </w:t>
      </w:r>
      <w:r w:rsidR="00175FC5">
        <w:t>Master Peony Wong</w:t>
      </w:r>
      <w:r w:rsidR="003F1FFB">
        <w:t>’s</w:t>
      </w:r>
      <w:r w:rsidR="00175FC5">
        <w:t xml:space="preserve"> Order</w:t>
      </w:r>
      <w:r w:rsidR="009C50F6">
        <w:t xml:space="preserve"> was made</w:t>
      </w:r>
      <w:r w:rsidR="00175FC5">
        <w:t xml:space="preserve">, the defendant had not done anything </w:t>
      </w:r>
      <w:r w:rsidR="000A36F3">
        <w:t xml:space="preserve">that </w:t>
      </w:r>
      <w:r w:rsidR="003570BE">
        <w:t>it was</w:t>
      </w:r>
      <w:r w:rsidR="00175FC5">
        <w:t xml:space="preserve"> supposed to do under th</w:t>
      </w:r>
      <w:r w:rsidR="003F1FFB">
        <w:t>e Order.  This</w:t>
      </w:r>
      <w:r w:rsidR="00175FC5">
        <w:t xml:space="preserve"> included filing and serving </w:t>
      </w:r>
      <w:r w:rsidR="003F1FFB">
        <w:t xml:space="preserve">its </w:t>
      </w:r>
      <w:r w:rsidR="00175FC5">
        <w:t xml:space="preserve">witness </w:t>
      </w:r>
      <w:r w:rsidR="00036466">
        <w:t xml:space="preserve">statement; </w:t>
      </w:r>
      <w:r w:rsidR="00175FC5">
        <w:t>filing and serving an answer to the RSD</w:t>
      </w:r>
      <w:r w:rsidR="00BA0D59">
        <w:t>;</w:t>
      </w:r>
      <w:r w:rsidR="003C5CA9">
        <w:t xml:space="preserve"> and agree</w:t>
      </w:r>
      <w:r w:rsidR="009C50F6">
        <w:t>ing</w:t>
      </w:r>
      <w:r w:rsidR="00175FC5">
        <w:t xml:space="preserve"> to the contents of the draft trial bundle index.</w:t>
      </w:r>
      <w:r w:rsidR="00BE60F1">
        <w:t xml:space="preserve">  As a result, the plaintiff</w:t>
      </w:r>
      <w:r w:rsidR="00175FC5">
        <w:t xml:space="preserve"> </w:t>
      </w:r>
      <w:r w:rsidR="002614F7">
        <w:t>issued a summons under Order 1B rule 1(3) of the R</w:t>
      </w:r>
      <w:r w:rsidR="003F1FFB">
        <w:t>DC</w:t>
      </w:r>
      <w:r w:rsidR="002614F7">
        <w:t xml:space="preserve"> on 12 August 2020</w:t>
      </w:r>
      <w:r w:rsidR="003C5CA9">
        <w:t xml:space="preserve"> (“the 1</w:t>
      </w:r>
      <w:r w:rsidR="003C5CA9" w:rsidRPr="003C5CA9">
        <w:rPr>
          <w:vertAlign w:val="superscript"/>
        </w:rPr>
        <w:t>st</w:t>
      </w:r>
      <w:r w:rsidR="003C5CA9">
        <w:t xml:space="preserve"> “unless order” summons”)</w:t>
      </w:r>
      <w:r w:rsidR="002614F7">
        <w:t xml:space="preserve"> asking the defendant to comply </w:t>
      </w:r>
      <w:r w:rsidR="003F1FFB">
        <w:t xml:space="preserve">with </w:t>
      </w:r>
      <w:r w:rsidR="002614F7">
        <w:t>th</w:t>
      </w:r>
      <w:r w:rsidR="003F1FFB">
        <w:t>ose</w:t>
      </w:r>
      <w:r w:rsidR="002614F7">
        <w:t xml:space="preserve"> directions.  </w:t>
      </w:r>
    </w:p>
    <w:p w:rsidR="002614F7" w:rsidRDefault="002614F7" w:rsidP="002614F7">
      <w:pPr>
        <w:pStyle w:val="ListParagraph"/>
        <w:spacing w:line="360" w:lineRule="auto"/>
        <w:ind w:left="0"/>
        <w:jc w:val="both"/>
      </w:pPr>
    </w:p>
    <w:p w:rsidR="002614F7" w:rsidRDefault="002614F7" w:rsidP="003570BE">
      <w:pPr>
        <w:pStyle w:val="ListParagraph"/>
        <w:numPr>
          <w:ilvl w:val="0"/>
          <w:numId w:val="14"/>
        </w:numPr>
        <w:spacing w:line="360" w:lineRule="auto"/>
        <w:ind w:left="0" w:firstLine="0"/>
        <w:jc w:val="both"/>
      </w:pPr>
      <w:r>
        <w:t xml:space="preserve">In the affidavit filed by the plaintiff’s solicitors </w:t>
      </w:r>
      <w:r w:rsidR="003F1FFB">
        <w:t xml:space="preserve">(who was assigned by the Director of Legal Aid) </w:t>
      </w:r>
      <w:r>
        <w:t xml:space="preserve">in support of the application, the </w:t>
      </w:r>
      <w:r w:rsidR="00BA0D59">
        <w:t>following facts have been reveal</w:t>
      </w:r>
      <w:r>
        <w:t xml:space="preserve">ed.  </w:t>
      </w:r>
    </w:p>
    <w:p w:rsidR="002614F7" w:rsidRDefault="002614F7" w:rsidP="002614F7">
      <w:pPr>
        <w:pStyle w:val="ListParagraph"/>
      </w:pPr>
    </w:p>
    <w:p w:rsidR="002614F7" w:rsidRDefault="002614F7" w:rsidP="003570BE">
      <w:pPr>
        <w:pStyle w:val="ListParagraph"/>
        <w:numPr>
          <w:ilvl w:val="0"/>
          <w:numId w:val="14"/>
        </w:numPr>
        <w:spacing w:line="360" w:lineRule="auto"/>
        <w:ind w:left="0" w:firstLine="0"/>
        <w:jc w:val="both"/>
      </w:pPr>
      <w:r>
        <w:t>In rela</w:t>
      </w:r>
      <w:r w:rsidR="00790D7D">
        <w:t>tion to the filing and exchange</w:t>
      </w:r>
      <w:r>
        <w:t xml:space="preserve"> of the wit</w:t>
      </w:r>
      <w:r w:rsidR="009C50F6">
        <w:t>ness statements, the parties</w:t>
      </w:r>
      <w:r>
        <w:t xml:space="preserve"> agreed in the </w:t>
      </w:r>
      <w:r w:rsidR="009C50F6">
        <w:t>C</w:t>
      </w:r>
      <w:r>
        <w:t xml:space="preserve">onsent </w:t>
      </w:r>
      <w:r w:rsidR="009C50F6">
        <w:t>S</w:t>
      </w:r>
      <w:r>
        <w:t xml:space="preserve">ummons </w:t>
      </w:r>
      <w:r w:rsidR="00DF7867">
        <w:t xml:space="preserve">that they would file and exchange the witness statements by 26 October 2019.  Since 7 November 2019, the plaintiff had written a total of 5 </w:t>
      </w:r>
      <w:r w:rsidR="008A61C1">
        <w:t xml:space="preserve">separate </w:t>
      </w:r>
      <w:r w:rsidR="00DF7867">
        <w:t>letters to the defendant’s solicitors, informing them that the</w:t>
      </w:r>
      <w:r w:rsidR="008A61C1">
        <w:t xml:space="preserve"> plaintiff’s witness statement wa</w:t>
      </w:r>
      <w:r w:rsidR="00DF7867">
        <w:t xml:space="preserve">s ready for exchange and they were </w:t>
      </w:r>
      <w:r w:rsidR="008A61C1">
        <w:t xml:space="preserve">just </w:t>
      </w:r>
      <w:r w:rsidR="00DF7867">
        <w:t xml:space="preserve">waiting for the defendant to confirm </w:t>
      </w:r>
      <w:r w:rsidR="008A61C1">
        <w:t xml:space="preserve">with them </w:t>
      </w:r>
      <w:r w:rsidR="00DF7867">
        <w:t xml:space="preserve">the </w:t>
      </w:r>
      <w:r w:rsidR="008A61C1">
        <w:t>date/</w:t>
      </w:r>
      <w:r w:rsidR="00DF7867">
        <w:t xml:space="preserve">time </w:t>
      </w:r>
      <w:r w:rsidR="00790D7D">
        <w:t>when they were able</w:t>
      </w:r>
      <w:r w:rsidR="008A61C1">
        <w:t xml:space="preserve"> </w:t>
      </w:r>
      <w:r w:rsidR="00DF7867">
        <w:t xml:space="preserve">to do so.  </w:t>
      </w:r>
    </w:p>
    <w:p w:rsidR="00DF7867" w:rsidRDefault="00DF7867" w:rsidP="00DF7867">
      <w:pPr>
        <w:pStyle w:val="ListParagraph"/>
      </w:pPr>
    </w:p>
    <w:p w:rsidR="00DF7867" w:rsidRDefault="008A61C1" w:rsidP="003570BE">
      <w:pPr>
        <w:pStyle w:val="ListParagraph"/>
        <w:numPr>
          <w:ilvl w:val="0"/>
          <w:numId w:val="14"/>
        </w:numPr>
        <w:spacing w:line="360" w:lineRule="auto"/>
        <w:ind w:left="0" w:firstLine="0"/>
        <w:jc w:val="both"/>
      </w:pPr>
      <w:r>
        <w:t xml:space="preserve">Those </w:t>
      </w:r>
      <w:r w:rsidR="00DF7867">
        <w:t xml:space="preserve">5 letters </w:t>
      </w:r>
      <w:r>
        <w:t xml:space="preserve">were written over a period of 7 months from </w:t>
      </w:r>
      <w:r w:rsidR="00DF7867">
        <w:t xml:space="preserve">November 2019 </w:t>
      </w:r>
      <w:r>
        <w:t xml:space="preserve">to </w:t>
      </w:r>
      <w:r w:rsidR="00DF7867">
        <w:t xml:space="preserve">June 2020, </w:t>
      </w:r>
      <w:r>
        <w:t>viz.</w:t>
      </w:r>
      <w:r w:rsidR="00DF7867">
        <w:t xml:space="preserve"> 7 November 2019, 13 November 2019, 17 February 2020, 3 April 2020 and 3 June 2020.  </w:t>
      </w:r>
    </w:p>
    <w:p w:rsidR="00DF7867" w:rsidRDefault="00DF7867" w:rsidP="00DF7867">
      <w:pPr>
        <w:pStyle w:val="ListParagraph"/>
      </w:pPr>
    </w:p>
    <w:p w:rsidR="00DF7867" w:rsidRDefault="00DF7867" w:rsidP="003570BE">
      <w:pPr>
        <w:pStyle w:val="ListParagraph"/>
        <w:numPr>
          <w:ilvl w:val="0"/>
          <w:numId w:val="14"/>
        </w:numPr>
        <w:spacing w:line="360" w:lineRule="auto"/>
        <w:ind w:left="0" w:firstLine="0"/>
        <w:jc w:val="both"/>
      </w:pPr>
      <w:r>
        <w:t xml:space="preserve">Sadly, the plaintiff </w:t>
      </w:r>
      <w:r w:rsidR="009C50F6">
        <w:t>did not receive</w:t>
      </w:r>
      <w:r>
        <w:t xml:space="preserve"> one single reply from the defendant’s solicitors.  </w:t>
      </w:r>
      <w:r w:rsidR="00790D7D">
        <w:t>There was not</w:t>
      </w:r>
      <w:r>
        <w:t xml:space="preserve"> even </w:t>
      </w:r>
      <w:r w:rsidR="00B46AD7">
        <w:t xml:space="preserve">the courtesy </w:t>
      </w:r>
      <w:r w:rsidR="00790D7D">
        <w:t xml:space="preserve">from the </w:t>
      </w:r>
      <w:r w:rsidR="00790D7D">
        <w:lastRenderedPageBreak/>
        <w:t>defendant</w:t>
      </w:r>
      <w:r w:rsidR="00BE60F1">
        <w:t>’s solicitors</w:t>
      </w:r>
      <w:r w:rsidR="00790D7D">
        <w:t xml:space="preserve"> </w:t>
      </w:r>
      <w:r w:rsidR="00B46AD7">
        <w:t xml:space="preserve">of </w:t>
      </w:r>
      <w:r w:rsidR="00790D7D">
        <w:t xml:space="preserve">sending a </w:t>
      </w:r>
      <w:r w:rsidR="00BE60F1">
        <w:t>simple</w:t>
      </w:r>
      <w:r>
        <w:t xml:space="preserve"> letter to acknow</w:t>
      </w:r>
      <w:r w:rsidR="00B46AD7">
        <w:t xml:space="preserve">ledge that they had received </w:t>
      </w:r>
      <w:r w:rsidR="00BE60F1">
        <w:t xml:space="preserve">any of </w:t>
      </w:r>
      <w:r w:rsidR="00B46AD7">
        <w:t>those</w:t>
      </w:r>
      <w:r w:rsidR="00790D7D">
        <w:t xml:space="preserve"> 5 </w:t>
      </w:r>
      <w:r>
        <w:t xml:space="preserve">letters.  </w:t>
      </w:r>
    </w:p>
    <w:p w:rsidR="00DF7867" w:rsidRDefault="00DF7867" w:rsidP="00DF7867">
      <w:pPr>
        <w:pStyle w:val="ListParagraph"/>
      </w:pPr>
    </w:p>
    <w:p w:rsidR="00DF7867" w:rsidRDefault="00DF7867" w:rsidP="003570BE">
      <w:pPr>
        <w:pStyle w:val="ListParagraph"/>
        <w:numPr>
          <w:ilvl w:val="0"/>
          <w:numId w:val="14"/>
        </w:numPr>
        <w:spacing w:line="360" w:lineRule="auto"/>
        <w:ind w:left="0" w:firstLine="0"/>
        <w:jc w:val="both"/>
      </w:pPr>
      <w:r>
        <w:t xml:space="preserve">In respect of </w:t>
      </w:r>
      <w:r w:rsidR="000F69C1">
        <w:t xml:space="preserve">the </w:t>
      </w:r>
      <w:r>
        <w:t>directions</w:t>
      </w:r>
      <w:r w:rsidR="00211DCF">
        <w:t xml:space="preserve"> directing the parties</w:t>
      </w:r>
      <w:r>
        <w:t xml:space="preserve"> to agree on the contents of trial bundles and to submit an agreed </w:t>
      </w:r>
      <w:r w:rsidR="00211DCF">
        <w:t xml:space="preserve">trial </w:t>
      </w:r>
      <w:r>
        <w:t>bundle index or indices initialed by the solicitors of the parties</w:t>
      </w:r>
      <w:r w:rsidR="006D55D9">
        <w:t xml:space="preserve"> to the court for record purposes, Master Peony Wong</w:t>
      </w:r>
      <w:r w:rsidR="00C3524B">
        <w:t>’s</w:t>
      </w:r>
      <w:r w:rsidR="006D55D9">
        <w:t xml:space="preserve"> </w:t>
      </w:r>
      <w:r w:rsidR="00C3524B">
        <w:t xml:space="preserve">Order </w:t>
      </w:r>
      <w:r w:rsidR="006D55D9">
        <w:t xml:space="preserve">directed </w:t>
      </w:r>
      <w:r w:rsidR="00C3524B">
        <w:t xml:space="preserve">that </w:t>
      </w:r>
      <w:r w:rsidR="006D55D9">
        <w:t>the parties to do</w:t>
      </w:r>
      <w:r>
        <w:t xml:space="preserve"> </w:t>
      </w:r>
      <w:r w:rsidR="00C3524B">
        <w:t>so by 30 December 2019, a</w:t>
      </w:r>
      <w:r w:rsidR="002570DE">
        <w:t xml:space="preserve"> date which </w:t>
      </w:r>
      <w:r w:rsidR="00C3524B">
        <w:t>had been</w:t>
      </w:r>
      <w:r w:rsidR="006D55D9">
        <w:t xml:space="preserve"> agreed by the parties themselves under the </w:t>
      </w:r>
      <w:r w:rsidR="00211DCF">
        <w:t>C</w:t>
      </w:r>
      <w:r w:rsidR="006D55D9">
        <w:t xml:space="preserve">onsent </w:t>
      </w:r>
      <w:r w:rsidR="00211DCF">
        <w:t>S</w:t>
      </w:r>
      <w:r w:rsidR="006D55D9">
        <w:t xml:space="preserve">ummons.  </w:t>
      </w:r>
    </w:p>
    <w:p w:rsidR="006D55D9" w:rsidRDefault="006D55D9" w:rsidP="006D55D9">
      <w:pPr>
        <w:pStyle w:val="ListParagraph"/>
      </w:pPr>
    </w:p>
    <w:p w:rsidR="002570DE" w:rsidRDefault="006D55D9" w:rsidP="003570BE">
      <w:pPr>
        <w:pStyle w:val="ListParagraph"/>
        <w:numPr>
          <w:ilvl w:val="0"/>
          <w:numId w:val="14"/>
        </w:numPr>
        <w:spacing w:line="360" w:lineRule="auto"/>
        <w:ind w:left="0" w:firstLine="0"/>
        <w:jc w:val="both"/>
      </w:pPr>
      <w:r>
        <w:t>On 9 April 2020, the plaintiff’s solicitors</w:t>
      </w:r>
      <w:r w:rsidR="00211DCF">
        <w:t xml:space="preserve"> had</w:t>
      </w:r>
      <w:r>
        <w:t xml:space="preserve"> sent a draft trial bundle index to the defendant’s solicitors for </w:t>
      </w:r>
      <w:r w:rsidR="00211DCF">
        <w:t>their comment</w:t>
      </w:r>
      <w:r>
        <w:t xml:space="preserve">.  Again, the plaintiff’s solicitors received no reply whatsoever from the defendant’s solicitors.  </w:t>
      </w:r>
    </w:p>
    <w:p w:rsidR="002570DE" w:rsidRDefault="002570DE" w:rsidP="002570DE">
      <w:pPr>
        <w:pStyle w:val="ListParagraph"/>
      </w:pPr>
    </w:p>
    <w:p w:rsidR="006D55D9" w:rsidRDefault="002570DE" w:rsidP="003570BE">
      <w:pPr>
        <w:pStyle w:val="ListParagraph"/>
        <w:numPr>
          <w:ilvl w:val="0"/>
          <w:numId w:val="14"/>
        </w:numPr>
        <w:spacing w:line="360" w:lineRule="auto"/>
        <w:ind w:left="0" w:firstLine="0"/>
        <w:jc w:val="both"/>
      </w:pPr>
      <w:r>
        <w:t>In short, all t</w:t>
      </w:r>
      <w:r w:rsidR="006D55D9">
        <w:t>heir letter</w:t>
      </w:r>
      <w:r>
        <w:t>s</w:t>
      </w:r>
      <w:r w:rsidR="006D55D9">
        <w:t xml:space="preserve"> </w:t>
      </w:r>
      <w:r>
        <w:t>asking the defendant’</w:t>
      </w:r>
      <w:r w:rsidR="00790D7D">
        <w:t>s solicitors to comply with the court order</w:t>
      </w:r>
      <w:r>
        <w:t xml:space="preserve"> </w:t>
      </w:r>
      <w:r w:rsidR="006D55D9">
        <w:t>w</w:t>
      </w:r>
      <w:r>
        <w:t>ere</w:t>
      </w:r>
      <w:r w:rsidR="006D55D9">
        <w:t xml:space="preserve"> simply ignor</w:t>
      </w:r>
      <w:r w:rsidR="00790D7D">
        <w:t>ed by the defendant</w:t>
      </w:r>
      <w:r w:rsidR="006D55D9">
        <w:t xml:space="preserve">.  </w:t>
      </w:r>
    </w:p>
    <w:p w:rsidR="006D55D9" w:rsidRDefault="006D55D9" w:rsidP="006D55D9">
      <w:pPr>
        <w:pStyle w:val="ListParagraph"/>
      </w:pPr>
    </w:p>
    <w:p w:rsidR="006D55D9" w:rsidRPr="006D55D9" w:rsidRDefault="00790D7D" w:rsidP="006D55D9">
      <w:pPr>
        <w:pStyle w:val="ListParagraph"/>
        <w:spacing w:line="360" w:lineRule="auto"/>
        <w:ind w:left="0"/>
        <w:jc w:val="both"/>
        <w:rPr>
          <w:i/>
        </w:rPr>
      </w:pPr>
      <w:r>
        <w:rPr>
          <w:i/>
        </w:rPr>
        <w:t xml:space="preserve">The necessity of issuing </w:t>
      </w:r>
      <w:r w:rsidR="000F69C1">
        <w:rPr>
          <w:i/>
        </w:rPr>
        <w:t xml:space="preserve">peremptory orders </w:t>
      </w:r>
    </w:p>
    <w:p w:rsidR="006D55D9" w:rsidRDefault="006D55D9" w:rsidP="006D55D9">
      <w:pPr>
        <w:pStyle w:val="ListParagraph"/>
      </w:pPr>
    </w:p>
    <w:p w:rsidR="00586EEA" w:rsidRDefault="006D55D9" w:rsidP="003570BE">
      <w:pPr>
        <w:pStyle w:val="ListParagraph"/>
        <w:numPr>
          <w:ilvl w:val="0"/>
          <w:numId w:val="14"/>
        </w:numPr>
        <w:spacing w:line="360" w:lineRule="auto"/>
        <w:ind w:left="0" w:firstLine="0"/>
        <w:jc w:val="both"/>
      </w:pPr>
      <w:r>
        <w:t>On 14 July 2020, the plaintiff’s solicitors reported</w:t>
      </w:r>
      <w:r w:rsidR="00211DCF">
        <w:t xml:space="preserve"> the matter of</w:t>
      </w:r>
      <w:r>
        <w:t xml:space="preserve"> the def</w:t>
      </w:r>
      <w:r w:rsidR="002570DE">
        <w:t>endant’s non-compliance of Master Peony Wong’s</w:t>
      </w:r>
      <w:r w:rsidR="000A36F3">
        <w:t xml:space="preserve"> Order to another</w:t>
      </w:r>
      <w:r>
        <w:t xml:space="preserve"> PI Master.  On 22 Ju</w:t>
      </w:r>
      <w:r w:rsidR="00590080">
        <w:t>ly 2020, the court directed</w:t>
      </w:r>
      <w:r>
        <w:t xml:space="preserve">, among other things, </w:t>
      </w:r>
      <w:r w:rsidR="00590080">
        <w:t xml:space="preserve">that </w:t>
      </w:r>
      <w:r w:rsidR="00586EEA">
        <w:t>the plaintiff may consider taking out a summons to force the defendant to respon</w:t>
      </w:r>
      <w:r w:rsidR="002570DE">
        <w:t>d</w:t>
      </w:r>
      <w:r w:rsidR="00586EEA">
        <w:t xml:space="preserve"> to </w:t>
      </w:r>
      <w:r w:rsidR="002570DE">
        <w:t>the</w:t>
      </w:r>
      <w:r w:rsidR="000F69C1">
        <w:t xml:space="preserve"> </w:t>
      </w:r>
      <w:r w:rsidR="002570DE">
        <w:t xml:space="preserve">case </w:t>
      </w:r>
      <w:r w:rsidR="00586EEA">
        <w:t xml:space="preserve">management directions.  Hence, the plaintiff took out the </w:t>
      </w:r>
      <w:r w:rsidR="003C5CA9">
        <w:t>1</w:t>
      </w:r>
      <w:r w:rsidR="003C5CA9" w:rsidRPr="003C5CA9">
        <w:rPr>
          <w:vertAlign w:val="superscript"/>
        </w:rPr>
        <w:t>st</w:t>
      </w:r>
      <w:r w:rsidR="003C5CA9">
        <w:t xml:space="preserve"> </w:t>
      </w:r>
      <w:r w:rsidR="002570DE">
        <w:t>“u</w:t>
      </w:r>
      <w:r w:rsidR="00586EEA">
        <w:t xml:space="preserve">nless </w:t>
      </w:r>
      <w:r w:rsidR="002570DE">
        <w:t>o</w:t>
      </w:r>
      <w:r w:rsidR="00586EEA">
        <w:t>rder</w:t>
      </w:r>
      <w:r w:rsidR="002570DE">
        <w:t>”</w:t>
      </w:r>
      <w:r w:rsidR="00586EEA">
        <w:t xml:space="preserve"> summons.  </w:t>
      </w:r>
    </w:p>
    <w:p w:rsidR="00586EEA" w:rsidRDefault="00586EEA" w:rsidP="00586EEA">
      <w:pPr>
        <w:pStyle w:val="ListParagraph"/>
        <w:spacing w:line="360" w:lineRule="auto"/>
        <w:ind w:left="0"/>
        <w:jc w:val="both"/>
      </w:pPr>
    </w:p>
    <w:p w:rsidR="00586EEA" w:rsidRDefault="00586EEA" w:rsidP="003570BE">
      <w:pPr>
        <w:pStyle w:val="ListParagraph"/>
        <w:numPr>
          <w:ilvl w:val="0"/>
          <w:numId w:val="14"/>
        </w:numPr>
        <w:spacing w:line="360" w:lineRule="auto"/>
        <w:ind w:left="0" w:firstLine="0"/>
        <w:jc w:val="both"/>
      </w:pPr>
      <w:r>
        <w:t xml:space="preserve">It was only upon the issue </w:t>
      </w:r>
      <w:r w:rsidR="000F69C1">
        <w:t xml:space="preserve">of the </w:t>
      </w:r>
      <w:r w:rsidR="003C5CA9">
        <w:t>1</w:t>
      </w:r>
      <w:r w:rsidR="003C5CA9" w:rsidRPr="003C5CA9">
        <w:rPr>
          <w:vertAlign w:val="superscript"/>
        </w:rPr>
        <w:t>st</w:t>
      </w:r>
      <w:r w:rsidR="003C5CA9">
        <w:t xml:space="preserve"> </w:t>
      </w:r>
      <w:r w:rsidR="002570DE">
        <w:t>“u</w:t>
      </w:r>
      <w:r>
        <w:t xml:space="preserve">nless </w:t>
      </w:r>
      <w:r w:rsidR="002570DE">
        <w:t>o</w:t>
      </w:r>
      <w:r>
        <w:t>rder</w:t>
      </w:r>
      <w:r w:rsidR="002570DE">
        <w:t>”</w:t>
      </w:r>
      <w:r w:rsidR="001B13AB">
        <w:t xml:space="preserve"> summons that</w:t>
      </w:r>
      <w:r>
        <w:t xml:space="preserve"> the defendant had</w:t>
      </w:r>
      <w:r w:rsidR="001B13AB">
        <w:t xml:space="preserve">, </w:t>
      </w:r>
      <w:r w:rsidR="00BA37FA">
        <w:t xml:space="preserve">on 20 August 2020, </w:t>
      </w:r>
      <w:r>
        <w:t xml:space="preserve">finally filed the answer to the RSD.  </w:t>
      </w:r>
      <w:r w:rsidR="00790D7D">
        <w:t>I note that t</w:t>
      </w:r>
      <w:r w:rsidR="002570DE">
        <w:t>his was</w:t>
      </w:r>
      <w:r w:rsidR="000F69C1">
        <w:t xml:space="preserve"> </w:t>
      </w:r>
      <w:r w:rsidR="00590080">
        <w:t xml:space="preserve">done </w:t>
      </w:r>
      <w:r w:rsidR="000F69C1">
        <w:t>m</w:t>
      </w:r>
      <w:r>
        <w:t>ore than 8</w:t>
      </w:r>
      <w:r w:rsidR="002570DE">
        <w:t xml:space="preserve"> </w:t>
      </w:r>
      <w:r>
        <w:t xml:space="preserve">months after </w:t>
      </w:r>
      <w:r w:rsidR="003C5CA9">
        <w:t>it</w:t>
      </w:r>
      <w:r>
        <w:t xml:space="preserve"> </w:t>
      </w:r>
      <w:r w:rsidR="00211DCF">
        <w:t xml:space="preserve">was supposed </w:t>
      </w:r>
      <w:r w:rsidR="00211DCF">
        <w:lastRenderedPageBreak/>
        <w:t xml:space="preserve">to have </w:t>
      </w:r>
      <w:r w:rsidR="000A36F3">
        <w:t xml:space="preserve">been </w:t>
      </w:r>
      <w:r w:rsidR="00211DCF">
        <w:t xml:space="preserve">filed by </w:t>
      </w:r>
      <w:r w:rsidR="000A36F3">
        <w:t xml:space="preserve">the defendant on </w:t>
      </w:r>
      <w:r w:rsidR="00211DCF">
        <w:t>2 December 2019 as directed by the Court</w:t>
      </w:r>
      <w:r>
        <w:t xml:space="preserve">.  </w:t>
      </w:r>
      <w:r w:rsidR="00211DCF">
        <w:t>Unsurprisingly,</w:t>
      </w:r>
      <w:r w:rsidR="002570DE">
        <w:t xml:space="preserve"> i</w:t>
      </w:r>
      <w:r>
        <w:t xml:space="preserve">t was </w:t>
      </w:r>
      <w:r w:rsidR="00211DCF">
        <w:t xml:space="preserve">again </w:t>
      </w:r>
      <w:r>
        <w:t xml:space="preserve">done without as much </w:t>
      </w:r>
      <w:r w:rsidR="000F69C1">
        <w:t xml:space="preserve">of an </w:t>
      </w:r>
      <w:r>
        <w:t xml:space="preserve">apology or an explanation </w:t>
      </w:r>
      <w:r w:rsidR="002570DE">
        <w:t xml:space="preserve">to the court </w:t>
      </w:r>
      <w:r w:rsidR="00590080">
        <w:t xml:space="preserve">or to the plaintiff </w:t>
      </w:r>
      <w:r>
        <w:t>from the defendant.</w:t>
      </w:r>
    </w:p>
    <w:p w:rsidR="00586EEA" w:rsidRDefault="00586EEA" w:rsidP="00586EEA">
      <w:pPr>
        <w:pStyle w:val="ListParagraph"/>
      </w:pPr>
    </w:p>
    <w:p w:rsidR="003049B0" w:rsidRDefault="00586EEA" w:rsidP="003570BE">
      <w:pPr>
        <w:pStyle w:val="ListParagraph"/>
        <w:numPr>
          <w:ilvl w:val="0"/>
          <w:numId w:val="14"/>
        </w:numPr>
        <w:spacing w:line="360" w:lineRule="auto"/>
        <w:ind w:left="0" w:firstLine="0"/>
        <w:jc w:val="both"/>
      </w:pPr>
      <w:r>
        <w:t>In any event, on 20 August 2020, Master Matthew Leung</w:t>
      </w:r>
      <w:r w:rsidR="000A36F3">
        <w:t>, the PI Master,</w:t>
      </w:r>
      <w:r w:rsidR="001B13AB">
        <w:t xml:space="preserve"> </w:t>
      </w:r>
      <w:r>
        <w:t xml:space="preserve">gave an order </w:t>
      </w:r>
      <w:r w:rsidR="00BA37FA">
        <w:t>(“Ma</w:t>
      </w:r>
      <w:r w:rsidR="003570BE">
        <w:t>s</w:t>
      </w:r>
      <w:r w:rsidR="00BA37FA">
        <w:t xml:space="preserve">ter Matthew Leung’s Order”) </w:t>
      </w:r>
      <w:r>
        <w:t xml:space="preserve">that, unless the defendant do file and exchange </w:t>
      </w:r>
      <w:r w:rsidR="000F69C1">
        <w:t xml:space="preserve">its witness statement as to fact by 4 pm on 11 September 2020, it shall be debarred </w:t>
      </w:r>
      <w:r w:rsidR="003049B0">
        <w:t xml:space="preserve">from calling any witness on facts and quantum at the trial of </w:t>
      </w:r>
      <w:r w:rsidR="00207750">
        <w:t>t</w:t>
      </w:r>
      <w:r w:rsidR="003049B0">
        <w:t xml:space="preserve">his action.  </w:t>
      </w:r>
      <w:r w:rsidR="00BA37FA">
        <w:t xml:space="preserve">Further, </w:t>
      </w:r>
      <w:r w:rsidR="003570BE" w:rsidRPr="003570BE">
        <w:rPr>
          <w:rStyle w:val="eq0j8"/>
          <w:szCs w:val="28"/>
          <w:lang w:val="en-HK"/>
        </w:rPr>
        <w:t>§</w:t>
      </w:r>
      <w:r w:rsidR="00BA37FA">
        <w:t xml:space="preserve">3 of Master Matthew Leung’s Order </w:t>
      </w:r>
      <w:r w:rsidR="003049B0">
        <w:t>specified that unless the defendant</w:t>
      </w:r>
      <w:r w:rsidR="00D94BA7">
        <w:t xml:space="preserve"> </w:t>
      </w:r>
      <w:r w:rsidR="003049B0">
        <w:t>comment</w:t>
      </w:r>
      <w:r w:rsidR="00D94BA7">
        <w:t>s</w:t>
      </w:r>
      <w:r w:rsidR="003049B0">
        <w:t xml:space="preserve"> on the draft trial bundle index containing in the plaintiff’s solicitors’ letter dated 9 April 2020 on or before 11 September 2020, the defendant shall be deemed to agree with the said draft index to trial bundle.</w:t>
      </w:r>
    </w:p>
    <w:p w:rsidR="003049B0" w:rsidRDefault="003049B0" w:rsidP="003049B0">
      <w:pPr>
        <w:pStyle w:val="ListParagraph"/>
      </w:pPr>
    </w:p>
    <w:p w:rsidR="003049B0" w:rsidRDefault="00211DCF" w:rsidP="003570BE">
      <w:pPr>
        <w:pStyle w:val="ListParagraph"/>
        <w:numPr>
          <w:ilvl w:val="0"/>
          <w:numId w:val="14"/>
        </w:numPr>
        <w:spacing w:line="360" w:lineRule="auto"/>
        <w:ind w:left="0" w:firstLine="0"/>
        <w:jc w:val="both"/>
      </w:pPr>
      <w:r>
        <w:t>It comes as no surprise</w:t>
      </w:r>
      <w:r w:rsidR="003805CE">
        <w:t xml:space="preserve"> perhaps in the context of this case</w:t>
      </w:r>
      <w:r>
        <w:t xml:space="preserve"> that</w:t>
      </w:r>
      <w:r w:rsidR="003805CE">
        <w:t xml:space="preserve"> </w:t>
      </w:r>
      <w:r w:rsidR="003049B0">
        <w:t>the defendant</w:t>
      </w:r>
      <w:r w:rsidR="00BA37FA">
        <w:t xml:space="preserve">’s solicitors </w:t>
      </w:r>
      <w:r w:rsidR="003049B0">
        <w:t xml:space="preserve">had </w:t>
      </w:r>
      <w:r w:rsidR="00BA37FA">
        <w:t xml:space="preserve">again </w:t>
      </w:r>
      <w:r w:rsidR="003049B0">
        <w:t xml:space="preserve">failed to </w:t>
      </w:r>
      <w:r w:rsidR="000A36F3">
        <w:t>comply with those</w:t>
      </w:r>
      <w:r w:rsidR="00BA37FA">
        <w:t xml:space="preserve"> orders of the court</w:t>
      </w:r>
      <w:r w:rsidR="003049B0">
        <w:t xml:space="preserve">.  </w:t>
      </w:r>
      <w:r w:rsidR="008A354E">
        <w:t xml:space="preserve">It necessitated </w:t>
      </w:r>
      <w:r w:rsidR="00D94BA7">
        <w:t xml:space="preserve">the </w:t>
      </w:r>
      <w:r w:rsidR="008A354E">
        <w:t xml:space="preserve">issue of another </w:t>
      </w:r>
      <w:r w:rsidR="00790D7D">
        <w:t>“</w:t>
      </w:r>
      <w:r w:rsidR="008A354E">
        <w:t>unless order</w:t>
      </w:r>
      <w:r w:rsidR="00BA37FA">
        <w:t>” summons by the plaintiff</w:t>
      </w:r>
      <w:r w:rsidR="008A354E">
        <w:t xml:space="preserve"> before Master Matthew Leung on 22 April 2021</w:t>
      </w:r>
      <w:r w:rsidR="00590080">
        <w:t xml:space="preserve"> (“the 2</w:t>
      </w:r>
      <w:r w:rsidR="00590080" w:rsidRPr="00590080">
        <w:rPr>
          <w:vertAlign w:val="superscript"/>
        </w:rPr>
        <w:t>nd</w:t>
      </w:r>
      <w:r w:rsidR="00590080">
        <w:t xml:space="preserve"> “unless order” summons”)</w:t>
      </w:r>
      <w:r w:rsidR="00790D7D">
        <w:t xml:space="preserve">.  </w:t>
      </w:r>
      <w:r>
        <w:t>On this occasion</w:t>
      </w:r>
      <w:r w:rsidR="00790D7D">
        <w:t xml:space="preserve"> </w:t>
      </w:r>
      <w:r w:rsidR="003C5CA9">
        <w:t>the plaintiff</w:t>
      </w:r>
      <w:r w:rsidR="00790D7D">
        <w:t xml:space="preserve"> </w:t>
      </w:r>
      <w:r w:rsidR="008A354E">
        <w:t>ask</w:t>
      </w:r>
      <w:r w:rsidR="00790D7D">
        <w:t>ed</w:t>
      </w:r>
      <w:r w:rsidR="008A354E">
        <w:t xml:space="preserve">, </w:t>
      </w:r>
      <w:r w:rsidR="008A354E" w:rsidRPr="00D94BA7">
        <w:rPr>
          <w:i/>
        </w:rPr>
        <w:t>inter alia</w:t>
      </w:r>
      <w:r w:rsidR="008A354E">
        <w:t xml:space="preserve">, the defendant </w:t>
      </w:r>
      <w:r w:rsidR="00790D7D">
        <w:t xml:space="preserve">to </w:t>
      </w:r>
      <w:r w:rsidR="008A354E">
        <w:t xml:space="preserve">provide comments in writing on the draft agreed trial bundle index within 7 days of the </w:t>
      </w:r>
      <w:r>
        <w:t>o</w:t>
      </w:r>
      <w:r w:rsidR="008A354E">
        <w:t>rder</w:t>
      </w:r>
      <w:r>
        <w:t xml:space="preserve"> to be made</w:t>
      </w:r>
      <w:r w:rsidR="008A354E">
        <w:t xml:space="preserve">.  </w:t>
      </w:r>
      <w:r w:rsidR="00BA37FA">
        <w:t>In the supporting affidavit filed</w:t>
      </w:r>
      <w:r w:rsidR="008A354E">
        <w:t xml:space="preserve"> by the plaintiff’s solicitor</w:t>
      </w:r>
      <w:r w:rsidR="00590080">
        <w:t>s</w:t>
      </w:r>
      <w:r w:rsidR="008A354E">
        <w:t xml:space="preserve">, it </w:t>
      </w:r>
      <w:r w:rsidR="00BA37FA">
        <w:t xml:space="preserve">was </w:t>
      </w:r>
      <w:r>
        <w:t>revealed</w:t>
      </w:r>
      <w:r w:rsidR="008A354E">
        <w:t xml:space="preserve"> that the defendant</w:t>
      </w:r>
      <w:r w:rsidR="00BA37FA">
        <w:t>’s solicitors</w:t>
      </w:r>
      <w:r w:rsidR="008A354E">
        <w:t xml:space="preserve"> had failed to comply with Master Matthew Leung</w:t>
      </w:r>
      <w:r w:rsidR="00BA37FA">
        <w:t xml:space="preserve">’s Order. </w:t>
      </w:r>
      <w:r w:rsidR="008A354E">
        <w:t xml:space="preserve">  In respect of the specific discovery which the </w:t>
      </w:r>
      <w:r w:rsidR="00BA37FA">
        <w:t>m</w:t>
      </w:r>
      <w:r w:rsidR="008A354E">
        <w:t>aster ordered the defendant to provide to the plaintiff on or before 22 February 2021, the defendant’s solicitors not only had f</w:t>
      </w:r>
      <w:r w:rsidR="00BA37FA">
        <w:t>a</w:t>
      </w:r>
      <w:r w:rsidR="008A354E">
        <w:t xml:space="preserve">iled to provide such documents, </w:t>
      </w:r>
      <w:r w:rsidR="003C5CA9">
        <w:t>they</w:t>
      </w:r>
      <w:r w:rsidR="008A354E">
        <w:t xml:space="preserve"> had also failed to respon</w:t>
      </w:r>
      <w:r w:rsidR="00BA37FA">
        <w:t>d</w:t>
      </w:r>
      <w:r w:rsidR="008A354E">
        <w:t xml:space="preserve"> to the </w:t>
      </w:r>
      <w:r w:rsidR="00BA37FA">
        <w:t xml:space="preserve">2 </w:t>
      </w:r>
      <w:r w:rsidR="008A354E">
        <w:t>reminder</w:t>
      </w:r>
      <w:r w:rsidR="000A36F3">
        <w:t xml:space="preserve"> letters</w:t>
      </w:r>
      <w:r w:rsidR="008A354E">
        <w:t xml:space="preserve"> sent </w:t>
      </w:r>
      <w:r w:rsidR="00BA37FA">
        <w:t xml:space="preserve">to them </w:t>
      </w:r>
      <w:r w:rsidR="008A354E">
        <w:t xml:space="preserve">by the plaintiff’s solicitors respectively on 3 March 2021 and 17 March 2021.  </w:t>
      </w:r>
    </w:p>
    <w:p w:rsidR="008A354E" w:rsidRDefault="008A354E" w:rsidP="008A354E">
      <w:pPr>
        <w:pStyle w:val="ListParagraph"/>
      </w:pPr>
    </w:p>
    <w:p w:rsidR="008A354E" w:rsidRDefault="003570BE" w:rsidP="003570BE">
      <w:pPr>
        <w:pStyle w:val="ListParagraph"/>
        <w:numPr>
          <w:ilvl w:val="0"/>
          <w:numId w:val="14"/>
        </w:numPr>
        <w:spacing w:line="360" w:lineRule="auto"/>
        <w:ind w:left="0" w:firstLine="0"/>
        <w:jc w:val="both"/>
      </w:pPr>
      <w:r>
        <w:lastRenderedPageBreak/>
        <w:t xml:space="preserve">As had happened since </w:t>
      </w:r>
      <w:r w:rsidR="00BA37FA">
        <w:t>day one of this case, t</w:t>
      </w:r>
      <w:r w:rsidR="008A354E">
        <w:t xml:space="preserve">he defendant’s solicitors </w:t>
      </w:r>
      <w:r w:rsidR="00BA37FA">
        <w:t xml:space="preserve">chose to </w:t>
      </w:r>
      <w:r w:rsidR="000A36F3">
        <w:t xml:space="preserve">completely </w:t>
      </w:r>
      <w:r w:rsidR="00BA37FA">
        <w:t xml:space="preserve">ignore the letters from the plaintiff’s solicitors and </w:t>
      </w:r>
      <w:r w:rsidR="008A354E">
        <w:t xml:space="preserve">did not </w:t>
      </w:r>
      <w:r w:rsidR="003805CE">
        <w:t xml:space="preserve">bother to </w:t>
      </w:r>
      <w:r w:rsidR="00BA37FA">
        <w:t xml:space="preserve">make any </w:t>
      </w:r>
      <w:r w:rsidR="008A354E">
        <w:t>reply to th</w:t>
      </w:r>
      <w:r w:rsidR="00BA37FA">
        <w:t>em at all.</w:t>
      </w:r>
      <w:r w:rsidR="008A354E">
        <w:t xml:space="preserve"> </w:t>
      </w:r>
    </w:p>
    <w:p w:rsidR="008A354E" w:rsidRDefault="008A354E" w:rsidP="008A354E">
      <w:pPr>
        <w:pStyle w:val="ListParagraph"/>
      </w:pPr>
    </w:p>
    <w:p w:rsidR="008A354E" w:rsidRDefault="008A354E" w:rsidP="003570BE">
      <w:pPr>
        <w:pStyle w:val="ListParagraph"/>
        <w:numPr>
          <w:ilvl w:val="0"/>
          <w:numId w:val="14"/>
        </w:numPr>
        <w:spacing w:line="360" w:lineRule="auto"/>
        <w:ind w:left="0" w:firstLine="0"/>
        <w:jc w:val="both"/>
      </w:pPr>
      <w:r>
        <w:t xml:space="preserve">In relation to the mediation response which the defendant was directed to file and serve on or before 18 January 2021 under </w:t>
      </w:r>
      <w:r w:rsidR="003570BE" w:rsidRPr="003570BE">
        <w:rPr>
          <w:rStyle w:val="eq0j8"/>
          <w:szCs w:val="28"/>
          <w:lang w:val="en-HK"/>
        </w:rPr>
        <w:t>§</w:t>
      </w:r>
      <w:r>
        <w:t xml:space="preserve">3 of </w:t>
      </w:r>
      <w:r w:rsidR="003570BE">
        <w:t>the Order of Master Matthew Leung dated 4 January 2021</w:t>
      </w:r>
      <w:r>
        <w:t xml:space="preserve">, again, the defendant had ignored the </w:t>
      </w:r>
      <w:r w:rsidR="003570BE">
        <w:t>O</w:t>
      </w:r>
      <w:r>
        <w:t xml:space="preserve">rder and failed to make any response to the plaintiff.  </w:t>
      </w:r>
    </w:p>
    <w:p w:rsidR="008A354E" w:rsidRDefault="008A354E" w:rsidP="008A354E">
      <w:pPr>
        <w:pStyle w:val="ListParagraph"/>
      </w:pPr>
    </w:p>
    <w:p w:rsidR="003805CE" w:rsidRDefault="008A354E" w:rsidP="003570BE">
      <w:pPr>
        <w:pStyle w:val="ListParagraph"/>
        <w:numPr>
          <w:ilvl w:val="0"/>
          <w:numId w:val="14"/>
        </w:numPr>
        <w:spacing w:line="360" w:lineRule="auto"/>
        <w:ind w:left="0" w:firstLine="0"/>
        <w:jc w:val="both"/>
      </w:pPr>
      <w:r>
        <w:t xml:space="preserve">In relation to the trial bundle index which they were supposed to agree </w:t>
      </w:r>
      <w:r w:rsidR="00F52758">
        <w:t>upon on or before 22 March 2021, again</w:t>
      </w:r>
      <w:r w:rsidR="00BA37FA">
        <w:t>,</w:t>
      </w:r>
      <w:r w:rsidR="00F52758">
        <w:t xml:space="preserve"> the defendant’s solicitors </w:t>
      </w:r>
      <w:r w:rsidR="00BA37FA">
        <w:t xml:space="preserve">had </w:t>
      </w:r>
      <w:r w:rsidR="00F52758">
        <w:t xml:space="preserve">failed to do so.  </w:t>
      </w:r>
      <w:r w:rsidR="003805CE">
        <w:t xml:space="preserve">2 </w:t>
      </w:r>
      <w:r w:rsidR="00F52758">
        <w:t xml:space="preserve">letters </w:t>
      </w:r>
      <w:r w:rsidR="000A36F3">
        <w:t>were</w:t>
      </w:r>
      <w:r w:rsidR="00F52758">
        <w:t xml:space="preserve"> sent out by the plaintiff’s solicitors as reminders respectively on 26 February 2021 and 17 March 2021 on this </w:t>
      </w:r>
      <w:r w:rsidR="00EF3C26">
        <w:t>matter.  Again, no response had</w:t>
      </w:r>
      <w:r w:rsidR="00F52758">
        <w:t xml:space="preserve"> been received by the pl</w:t>
      </w:r>
      <w:r w:rsidR="00EF3C26">
        <w:t xml:space="preserve">aintiff’s solicitors up to the date </w:t>
      </w:r>
      <w:r w:rsidR="00F52758">
        <w:t>when they issued th</w:t>
      </w:r>
      <w:r w:rsidR="00EF3C26">
        <w:t>e</w:t>
      </w:r>
      <w:r w:rsidR="00F52758">
        <w:t xml:space="preserve"> </w:t>
      </w:r>
      <w:r w:rsidR="00590080">
        <w:t>2</w:t>
      </w:r>
      <w:r w:rsidR="00590080" w:rsidRPr="00590080">
        <w:rPr>
          <w:vertAlign w:val="superscript"/>
        </w:rPr>
        <w:t>nd</w:t>
      </w:r>
      <w:r w:rsidR="00590080">
        <w:t xml:space="preserve"> “unless order” </w:t>
      </w:r>
      <w:r w:rsidR="00F52758">
        <w:t xml:space="preserve">summons.  </w:t>
      </w:r>
    </w:p>
    <w:p w:rsidR="003805CE" w:rsidRDefault="003805CE" w:rsidP="003805CE">
      <w:pPr>
        <w:pStyle w:val="ListParagraph"/>
      </w:pPr>
    </w:p>
    <w:p w:rsidR="00EF3C26" w:rsidRDefault="00F52758" w:rsidP="003570BE">
      <w:pPr>
        <w:pStyle w:val="ListParagraph"/>
        <w:numPr>
          <w:ilvl w:val="0"/>
          <w:numId w:val="14"/>
        </w:numPr>
        <w:spacing w:line="360" w:lineRule="auto"/>
        <w:ind w:left="0" w:firstLine="0"/>
        <w:jc w:val="both"/>
      </w:pPr>
      <w:r>
        <w:t>As the plaintiff’s solicitor</w:t>
      </w:r>
      <w:r w:rsidR="003805CE">
        <w:t>s</w:t>
      </w:r>
      <w:r>
        <w:t xml:space="preserve"> ha</w:t>
      </w:r>
      <w:r w:rsidR="003570BE">
        <w:t>ve</w:t>
      </w:r>
      <w:r w:rsidR="00211DCF">
        <w:t xml:space="preserve"> </w:t>
      </w:r>
      <w:r>
        <w:t>right</w:t>
      </w:r>
      <w:r w:rsidR="00EF3C26">
        <w:t xml:space="preserve">ly </w:t>
      </w:r>
      <w:r>
        <w:t xml:space="preserve">pointed out in </w:t>
      </w:r>
      <w:r w:rsidR="003805CE">
        <w:t>their</w:t>
      </w:r>
      <w:r>
        <w:t xml:space="preserve"> affidavit in support of the application, it was not the first time that the defendant </w:t>
      </w:r>
      <w:r w:rsidR="00EF3C26">
        <w:t xml:space="preserve">had failed to </w:t>
      </w:r>
      <w:r>
        <w:t>comply with the court orders</w:t>
      </w:r>
      <w:r w:rsidR="00EF3C26">
        <w:t xml:space="preserve"> in this case</w:t>
      </w:r>
      <w:r>
        <w:t xml:space="preserve">. They referred to the </w:t>
      </w:r>
      <w:r w:rsidR="00211DCF">
        <w:t>1</w:t>
      </w:r>
      <w:r w:rsidR="00211DCF" w:rsidRPr="00211DCF">
        <w:rPr>
          <w:vertAlign w:val="superscript"/>
        </w:rPr>
        <w:t>st</w:t>
      </w:r>
      <w:r>
        <w:t xml:space="preserve"> </w:t>
      </w:r>
      <w:r w:rsidR="00EF3C26">
        <w:t>“</w:t>
      </w:r>
      <w:r>
        <w:t>unless order</w:t>
      </w:r>
      <w:r w:rsidR="00EF3C26">
        <w:t>”</w:t>
      </w:r>
      <w:r>
        <w:t xml:space="preserve"> summons in relation to the </w:t>
      </w:r>
      <w:r w:rsidR="003C5CA9">
        <w:t>filing of the witness statement;</w:t>
      </w:r>
      <w:r>
        <w:t xml:space="preserve"> answer to the RSD and repl</w:t>
      </w:r>
      <w:r w:rsidR="00EF3C26">
        <w:t>y</w:t>
      </w:r>
      <w:r>
        <w:t xml:space="preserve"> </w:t>
      </w:r>
      <w:r w:rsidR="00EF3C26">
        <w:t xml:space="preserve">to </w:t>
      </w:r>
      <w:r>
        <w:t>the trial bundle index.</w:t>
      </w:r>
      <w:r w:rsidR="00EF3C26">
        <w:t xml:space="preserve"> The plaintiff quite rightly stated that the defendant’s repeatedly non-compliance of the court orders had not only delayed the case progress, but had also </w:t>
      </w:r>
      <w:r w:rsidR="003C5CA9">
        <w:t>caused</w:t>
      </w:r>
      <w:r w:rsidR="00EF3C26">
        <w:t xml:space="preserve"> unnecessary costs</w:t>
      </w:r>
      <w:r w:rsidR="003C5CA9">
        <w:t xml:space="preserve"> to be incurred</w:t>
      </w:r>
      <w:r w:rsidR="00EF3C26">
        <w:t xml:space="preserve"> in the action.  </w:t>
      </w:r>
    </w:p>
    <w:p w:rsidR="00EF3C26" w:rsidRDefault="00EF3C26" w:rsidP="00EF3C26">
      <w:pPr>
        <w:pStyle w:val="ListParagraph"/>
        <w:spacing w:line="360" w:lineRule="auto"/>
        <w:ind w:left="0"/>
        <w:jc w:val="both"/>
      </w:pPr>
    </w:p>
    <w:p w:rsidR="00EF3C26" w:rsidRDefault="00EF3C26" w:rsidP="003570BE">
      <w:pPr>
        <w:pStyle w:val="ListParagraph"/>
        <w:numPr>
          <w:ilvl w:val="0"/>
          <w:numId w:val="14"/>
        </w:numPr>
        <w:spacing w:line="360" w:lineRule="auto"/>
        <w:ind w:left="0" w:firstLine="0"/>
        <w:jc w:val="both"/>
      </w:pPr>
      <w:r>
        <w:t>T</w:t>
      </w:r>
      <w:r w:rsidR="00F52758">
        <w:t>he hearing of th</w:t>
      </w:r>
      <w:r>
        <w:t>e</w:t>
      </w:r>
      <w:r w:rsidR="00F52758">
        <w:t xml:space="preserve"> </w:t>
      </w:r>
      <w:r w:rsidR="00590080">
        <w:t>2</w:t>
      </w:r>
      <w:r w:rsidR="00590080" w:rsidRPr="00590080">
        <w:rPr>
          <w:vertAlign w:val="superscript"/>
        </w:rPr>
        <w:t>nd</w:t>
      </w:r>
      <w:r w:rsidR="00590080">
        <w:t xml:space="preserve"> “</w:t>
      </w:r>
      <w:r w:rsidR="00211DCF">
        <w:t>unless order”</w:t>
      </w:r>
      <w:r>
        <w:t xml:space="preserve"> </w:t>
      </w:r>
      <w:r w:rsidR="00F52758">
        <w:t xml:space="preserve">summons was </w:t>
      </w:r>
      <w:r w:rsidR="00021295">
        <w:t xml:space="preserve">fixed </w:t>
      </w:r>
      <w:r w:rsidR="004105C3">
        <w:t xml:space="preserve">to be heard on 21 August 2020.  Only a day before the hearing, the defendant </w:t>
      </w:r>
      <w:r>
        <w:lastRenderedPageBreak/>
        <w:t>a</w:t>
      </w:r>
      <w:r w:rsidR="004105C3">
        <w:t>greed to the request</w:t>
      </w:r>
      <w:r>
        <w:t>s</w:t>
      </w:r>
      <w:r w:rsidR="004105C3">
        <w:t xml:space="preserve"> made under that summons and </w:t>
      </w:r>
      <w:r>
        <w:t>a</w:t>
      </w:r>
      <w:r w:rsidR="004105C3">
        <w:t xml:space="preserve"> consent summons was </w:t>
      </w:r>
      <w:r w:rsidR="00DB0536">
        <w:t>filed in court</w:t>
      </w:r>
      <w:r w:rsidR="004105C3">
        <w:t xml:space="preserve"> on 20 August 2020.  </w:t>
      </w:r>
    </w:p>
    <w:p w:rsidR="00EF3C26" w:rsidRDefault="00EF3C26" w:rsidP="00EF3C26">
      <w:pPr>
        <w:pStyle w:val="ListParagraph"/>
      </w:pPr>
    </w:p>
    <w:p w:rsidR="004105C3" w:rsidRDefault="004105C3" w:rsidP="003570BE">
      <w:pPr>
        <w:pStyle w:val="ListParagraph"/>
        <w:numPr>
          <w:ilvl w:val="0"/>
          <w:numId w:val="14"/>
        </w:numPr>
        <w:spacing w:line="360" w:lineRule="auto"/>
        <w:ind w:left="0" w:firstLine="0"/>
        <w:jc w:val="both"/>
      </w:pPr>
      <w:r>
        <w:t>The plaintiff’s solicitors w</w:t>
      </w:r>
      <w:r w:rsidR="00DB0536">
        <w:t>ere</w:t>
      </w:r>
      <w:r>
        <w:t xml:space="preserve"> correct</w:t>
      </w:r>
      <w:r w:rsidR="00021295">
        <w:t xml:space="preserve"> to </w:t>
      </w:r>
      <w:r>
        <w:t xml:space="preserve">say that </w:t>
      </w:r>
      <w:r w:rsidR="003805CE">
        <w:t xml:space="preserve">had </w:t>
      </w:r>
      <w:r w:rsidR="00021295">
        <w:t xml:space="preserve">the </w:t>
      </w:r>
      <w:r>
        <w:t xml:space="preserve">defendant complied with the </w:t>
      </w:r>
      <w:r w:rsidR="00211DCF">
        <w:t xml:space="preserve">previous </w:t>
      </w:r>
      <w:r>
        <w:t xml:space="preserve">directions of the court, the action would have been ready to be set down for trial by the adjourned checklist review hearing on 22 April 2021.  However, due to the defendant’s </w:t>
      </w:r>
      <w:r w:rsidR="00211DCF">
        <w:t xml:space="preserve">unacceptable </w:t>
      </w:r>
      <w:r>
        <w:t xml:space="preserve">conduct, that </w:t>
      </w:r>
      <w:r w:rsidR="00211DCF">
        <w:t xml:space="preserve">checklist review </w:t>
      </w:r>
      <w:r>
        <w:t>hearing was put at risk of being adjourned unnecessar</w:t>
      </w:r>
      <w:r w:rsidR="003570BE">
        <w:t>il</w:t>
      </w:r>
      <w:r>
        <w:t xml:space="preserve">y.  </w:t>
      </w:r>
      <w:r w:rsidR="00590080">
        <w:t>This is</w:t>
      </w:r>
      <w:r w:rsidR="00800920">
        <w:t xml:space="preserve"> </w:t>
      </w:r>
      <w:r w:rsidR="00DB0536">
        <w:t xml:space="preserve">unfair to </w:t>
      </w:r>
      <w:r w:rsidR="00800920">
        <w:t xml:space="preserve">the plaintiff </w:t>
      </w:r>
      <w:r w:rsidR="00211DCF">
        <w:t xml:space="preserve">who is entitled </w:t>
      </w:r>
      <w:r w:rsidR="00800920">
        <w:t xml:space="preserve">to have his claim resolved in a timely and cost-effective manner.  </w:t>
      </w:r>
    </w:p>
    <w:p w:rsidR="00800920" w:rsidRDefault="00800920" w:rsidP="00800920">
      <w:pPr>
        <w:pStyle w:val="ListParagraph"/>
      </w:pPr>
    </w:p>
    <w:p w:rsidR="00800920" w:rsidRDefault="00357ED2" w:rsidP="003570BE">
      <w:pPr>
        <w:pStyle w:val="ListParagraph"/>
        <w:numPr>
          <w:ilvl w:val="0"/>
          <w:numId w:val="14"/>
        </w:numPr>
        <w:spacing w:line="360" w:lineRule="auto"/>
        <w:ind w:left="0" w:firstLine="0"/>
        <w:jc w:val="both"/>
      </w:pPr>
      <w:r>
        <w:t xml:space="preserve">On 4 May 2021, Master Matthew Leung </w:t>
      </w:r>
      <w:r w:rsidR="00DB0536">
        <w:t xml:space="preserve">gave </w:t>
      </w:r>
      <w:r>
        <w:t xml:space="preserve">another </w:t>
      </w:r>
      <w:r w:rsidR="00DB0536">
        <w:t>“</w:t>
      </w:r>
      <w:r>
        <w:t>unless order</w:t>
      </w:r>
      <w:r w:rsidR="00DB0536">
        <w:t>”</w:t>
      </w:r>
      <w:r>
        <w:t xml:space="preserve"> for the defendant to provide comments on the draft trial bundle index within 7 days from that order.  He also set down the case for trial on the running list </w:t>
      </w:r>
      <w:r w:rsidR="003570BE">
        <w:t xml:space="preserve">not </w:t>
      </w:r>
      <w:r>
        <w:t xml:space="preserve">to be warned before 20 September 2021 with an estimated length of 2 days. </w:t>
      </w:r>
    </w:p>
    <w:p w:rsidR="00357ED2" w:rsidRDefault="00357ED2" w:rsidP="00357ED2">
      <w:pPr>
        <w:pStyle w:val="ListParagraph"/>
      </w:pPr>
    </w:p>
    <w:p w:rsidR="00C43960" w:rsidRDefault="00357ED2" w:rsidP="003570BE">
      <w:pPr>
        <w:pStyle w:val="ListParagraph"/>
        <w:numPr>
          <w:ilvl w:val="0"/>
          <w:numId w:val="14"/>
        </w:numPr>
        <w:spacing w:line="360" w:lineRule="auto"/>
        <w:ind w:left="0" w:firstLine="0"/>
        <w:jc w:val="both"/>
      </w:pPr>
      <w:r>
        <w:t xml:space="preserve">The summons dated 19 July 2021 </w:t>
      </w:r>
      <w:r w:rsidR="00590080">
        <w:t>(“the 3</w:t>
      </w:r>
      <w:r w:rsidR="00590080" w:rsidRPr="00590080">
        <w:rPr>
          <w:vertAlign w:val="superscript"/>
        </w:rPr>
        <w:t>rd</w:t>
      </w:r>
      <w:r w:rsidR="00590080">
        <w:t xml:space="preserve"> “unless order” summons”) </w:t>
      </w:r>
      <w:r>
        <w:t xml:space="preserve">was listed before me for hearing on 17 August 2021.  However, on the day before the hearing, </w:t>
      </w:r>
      <w:proofErr w:type="spellStart"/>
      <w:r>
        <w:t>ie</w:t>
      </w:r>
      <w:proofErr w:type="spellEnd"/>
      <w:r>
        <w:t xml:space="preserve"> 16 August 2021, the defendant’s solicitors wrote to the court to try to </w:t>
      </w:r>
      <w:r w:rsidR="00DB0536">
        <w:t>vacate the hearing by agreeing</w:t>
      </w:r>
      <w:r>
        <w:t xml:space="preserve"> to certain proposed directions in </w:t>
      </w:r>
      <w:r w:rsidR="003805CE">
        <w:t xml:space="preserve">purported compliance </w:t>
      </w:r>
      <w:r>
        <w:t xml:space="preserve">with the </w:t>
      </w:r>
      <w:r w:rsidR="003570BE">
        <w:t>O</w:t>
      </w:r>
      <w:r w:rsidR="00C43960">
        <w:t xml:space="preserve">rders given </w:t>
      </w:r>
      <w:r w:rsidR="00481C15">
        <w:t xml:space="preserve">by </w:t>
      </w:r>
      <w:r w:rsidR="00C43960">
        <w:t>M</w:t>
      </w:r>
      <w:r>
        <w:t>aster Matthew Leung</w:t>
      </w:r>
      <w:r w:rsidR="00481C15">
        <w:t xml:space="preserve"> some 7 months ago</w:t>
      </w:r>
      <w:r w:rsidR="00C43960">
        <w:t xml:space="preserve">.  </w:t>
      </w:r>
      <w:r>
        <w:t xml:space="preserve">They also asked for </w:t>
      </w:r>
      <w:r w:rsidR="00F00380">
        <w:t xml:space="preserve">an </w:t>
      </w:r>
      <w:r>
        <w:t xml:space="preserve">extension of time for the plaintiff to file and serve the application to set down the case for trial upon the defendant </w:t>
      </w:r>
      <w:r w:rsidR="00D12721">
        <w:t>fulfilling</w:t>
      </w:r>
      <w:r>
        <w:t xml:space="preserve"> the directions previously made by the </w:t>
      </w:r>
      <w:r w:rsidR="00C43960">
        <w:t>m</w:t>
      </w:r>
      <w:r>
        <w:t>aster.</w:t>
      </w:r>
    </w:p>
    <w:p w:rsidR="00C43960" w:rsidRDefault="00C43960" w:rsidP="00C43960">
      <w:pPr>
        <w:pStyle w:val="ListParagraph"/>
      </w:pPr>
    </w:p>
    <w:p w:rsidR="00C43960" w:rsidRDefault="00357ED2" w:rsidP="003570BE">
      <w:pPr>
        <w:pStyle w:val="ListParagraph"/>
        <w:numPr>
          <w:ilvl w:val="0"/>
          <w:numId w:val="14"/>
        </w:numPr>
        <w:spacing w:line="360" w:lineRule="auto"/>
        <w:ind w:left="0" w:firstLine="0"/>
        <w:jc w:val="both"/>
      </w:pPr>
      <w:r>
        <w:t xml:space="preserve">  I re</w:t>
      </w:r>
      <w:r w:rsidR="00C43960">
        <w:t>fused</w:t>
      </w:r>
      <w:r>
        <w:t xml:space="preserve"> the </w:t>
      </w:r>
      <w:r w:rsidR="00F00380">
        <w:t xml:space="preserve">defendant’s </w:t>
      </w:r>
      <w:r>
        <w:t xml:space="preserve">application and ordered </w:t>
      </w:r>
      <w:r w:rsidR="00F00380">
        <w:t xml:space="preserve">that </w:t>
      </w:r>
      <w:r>
        <w:t>th</w:t>
      </w:r>
      <w:r w:rsidR="00F517FC">
        <w:t>e parties to appear before me at</w:t>
      </w:r>
      <w:r>
        <w:t xml:space="preserve"> </w:t>
      </w:r>
      <w:r w:rsidR="00C43960">
        <w:t xml:space="preserve">the </w:t>
      </w:r>
      <w:r>
        <w:t xml:space="preserve">scheduled hearing on </w:t>
      </w:r>
      <w:r w:rsidR="00063B6D">
        <w:t>17 August 2021.</w:t>
      </w:r>
    </w:p>
    <w:p w:rsidR="00C43960" w:rsidRDefault="00C43960" w:rsidP="00C43960">
      <w:pPr>
        <w:spacing w:line="360" w:lineRule="auto"/>
        <w:jc w:val="both"/>
      </w:pPr>
    </w:p>
    <w:p w:rsidR="00357ED2" w:rsidRPr="00C43960" w:rsidRDefault="00C43960" w:rsidP="00C43960">
      <w:pPr>
        <w:spacing w:line="360" w:lineRule="auto"/>
        <w:jc w:val="both"/>
        <w:rPr>
          <w:i/>
        </w:rPr>
      </w:pPr>
      <w:r w:rsidRPr="00C43960">
        <w:rPr>
          <w:i/>
        </w:rPr>
        <w:t>The hearing on 17 August 2021</w:t>
      </w:r>
      <w:r w:rsidR="00063B6D" w:rsidRPr="00C43960">
        <w:rPr>
          <w:i/>
        </w:rPr>
        <w:t xml:space="preserve">  </w:t>
      </w:r>
    </w:p>
    <w:p w:rsidR="00063B6D" w:rsidRDefault="00063B6D" w:rsidP="00063B6D">
      <w:pPr>
        <w:pStyle w:val="ListParagraph"/>
      </w:pPr>
    </w:p>
    <w:p w:rsidR="00F517FC" w:rsidRDefault="00F517FC" w:rsidP="003570BE">
      <w:pPr>
        <w:pStyle w:val="ListParagraph"/>
        <w:numPr>
          <w:ilvl w:val="0"/>
          <w:numId w:val="14"/>
        </w:numPr>
        <w:spacing w:line="360" w:lineRule="auto"/>
        <w:ind w:left="0" w:firstLine="0"/>
        <w:jc w:val="both"/>
      </w:pPr>
      <w:r>
        <w:t>At the hearing, h</w:t>
      </w:r>
      <w:r w:rsidR="00063B6D">
        <w:t>aving gone through the history of th</w:t>
      </w:r>
      <w:r w:rsidR="00590080">
        <w:t xml:space="preserve">e case with </w:t>
      </w:r>
      <w:proofErr w:type="spellStart"/>
      <w:r w:rsidR="00C43960">
        <w:t>Mr</w:t>
      </w:r>
      <w:proofErr w:type="spellEnd"/>
      <w:r w:rsidR="00C43960">
        <w:t xml:space="preserve"> Ringo </w:t>
      </w:r>
      <w:proofErr w:type="spellStart"/>
      <w:r w:rsidR="00C43960">
        <w:t>Kwong</w:t>
      </w:r>
      <w:proofErr w:type="spellEnd"/>
      <w:r w:rsidR="00C43960">
        <w:t xml:space="preserve">, the solicitor </w:t>
      </w:r>
      <w:r>
        <w:t xml:space="preserve">who </w:t>
      </w:r>
      <w:r w:rsidR="00590080">
        <w:t xml:space="preserve">is responsible for </w:t>
      </w:r>
      <w:r w:rsidR="00C43960">
        <w:t>handl</w:t>
      </w:r>
      <w:r w:rsidR="00590080">
        <w:t>ing</w:t>
      </w:r>
      <w:r w:rsidR="00C43960">
        <w:t xml:space="preserve"> the case at the defendant</w:t>
      </w:r>
      <w:r w:rsidR="00590080">
        <w:t>’s firm</w:t>
      </w:r>
      <w:r w:rsidR="00C43960">
        <w:t xml:space="preserve">, </w:t>
      </w:r>
      <w:r>
        <w:t xml:space="preserve">I asked for </w:t>
      </w:r>
      <w:r w:rsidR="00063B6D">
        <w:t xml:space="preserve">an explanation as to why the defendant had repeatedly </w:t>
      </w:r>
      <w:r w:rsidR="00481C15">
        <w:t>flouted</w:t>
      </w:r>
      <w:r w:rsidR="00063B6D">
        <w:t xml:space="preserve"> the </w:t>
      </w:r>
      <w:r w:rsidR="00F00380">
        <w:t>O</w:t>
      </w:r>
      <w:r w:rsidR="00C43960">
        <w:t xml:space="preserve">rders of the </w:t>
      </w:r>
      <w:r w:rsidR="00063B6D">
        <w:t xml:space="preserve">court and failed to comply with the directions </w:t>
      </w:r>
      <w:r>
        <w:t>agreed between the parties</w:t>
      </w:r>
      <w:r w:rsidR="00063B6D">
        <w:t>.</w:t>
      </w:r>
      <w:r>
        <w:t xml:space="preserve">  </w:t>
      </w:r>
      <w:proofErr w:type="spellStart"/>
      <w:r>
        <w:t>Mr</w:t>
      </w:r>
      <w:proofErr w:type="spellEnd"/>
      <w:r>
        <w:t xml:space="preserve"> </w:t>
      </w:r>
      <w:proofErr w:type="spellStart"/>
      <w:r>
        <w:t>Kwong</w:t>
      </w:r>
      <w:proofErr w:type="spellEnd"/>
      <w:r>
        <w:t xml:space="preserve"> could not</w:t>
      </w:r>
      <w:r w:rsidR="003C5CA9">
        <w:t xml:space="preserve"> provide</w:t>
      </w:r>
      <w:r>
        <w:t xml:space="preserve"> any</w:t>
      </w:r>
      <w:r w:rsidR="000A36F3">
        <w:t xml:space="preserve"> to the court</w:t>
      </w:r>
      <w:r>
        <w:t>.</w:t>
      </w:r>
    </w:p>
    <w:p w:rsidR="00F517FC" w:rsidRDefault="00F517FC" w:rsidP="00F517FC">
      <w:pPr>
        <w:pStyle w:val="ListParagraph"/>
        <w:spacing w:line="360" w:lineRule="auto"/>
        <w:ind w:left="0"/>
        <w:jc w:val="both"/>
      </w:pPr>
    </w:p>
    <w:p w:rsidR="003049B0" w:rsidRDefault="00063B6D" w:rsidP="003570BE">
      <w:pPr>
        <w:pStyle w:val="ListParagraph"/>
        <w:numPr>
          <w:ilvl w:val="0"/>
          <w:numId w:val="14"/>
        </w:numPr>
        <w:spacing w:line="360" w:lineRule="auto"/>
        <w:ind w:left="0" w:firstLine="0"/>
        <w:jc w:val="both"/>
      </w:pPr>
      <w:r>
        <w:t xml:space="preserve">When asked why the simple directions given under Master Peony Wong’s </w:t>
      </w:r>
      <w:r w:rsidR="00F517FC">
        <w:t>O</w:t>
      </w:r>
      <w:r>
        <w:t xml:space="preserve">rder were not complied with, </w:t>
      </w:r>
      <w:proofErr w:type="spellStart"/>
      <w:r>
        <w:t>Mr</w:t>
      </w:r>
      <w:proofErr w:type="spellEnd"/>
      <w:r>
        <w:t xml:space="preserve"> </w:t>
      </w:r>
      <w:proofErr w:type="spellStart"/>
      <w:r>
        <w:t>Kwong</w:t>
      </w:r>
      <w:proofErr w:type="spellEnd"/>
      <w:r>
        <w:t xml:space="preserve"> </w:t>
      </w:r>
      <w:r w:rsidR="005A4E54">
        <w:t>told the court</w:t>
      </w:r>
      <w:r>
        <w:t xml:space="preserve"> that it was because they could not locate the</w:t>
      </w:r>
      <w:r w:rsidR="005A4E54">
        <w:t>ir</w:t>
      </w:r>
      <w:r>
        <w:t xml:space="preserve"> </w:t>
      </w:r>
      <w:r w:rsidR="00D12721">
        <w:t>i</w:t>
      </w:r>
      <w:r w:rsidR="00550FEF">
        <w:t xml:space="preserve">nsured </w:t>
      </w:r>
      <w:r w:rsidR="00285E01">
        <w:t>client</w:t>
      </w:r>
      <w:r w:rsidR="005A4E54">
        <w:t>,</w:t>
      </w:r>
      <w:r w:rsidR="00285E01">
        <w:t xml:space="preserve"> </w:t>
      </w:r>
      <w:r w:rsidR="005A4E54">
        <w:t>n</w:t>
      </w:r>
      <w:r w:rsidR="00481C15">
        <w:t>a</w:t>
      </w:r>
      <w:r w:rsidR="005A4E54">
        <w:t>mely,</w:t>
      </w:r>
      <w:r w:rsidR="00285E01">
        <w:t xml:space="preserve"> the defendant.  When asked </w:t>
      </w:r>
      <w:r w:rsidR="005A4E54">
        <w:t>by</w:t>
      </w:r>
      <w:r w:rsidR="00285E01">
        <w:t xml:space="preserve"> the court whether he had mentioned this anywhere, whether </w:t>
      </w:r>
      <w:r w:rsidR="005A4E54">
        <w:t xml:space="preserve">to </w:t>
      </w:r>
      <w:r w:rsidR="00285E01">
        <w:t xml:space="preserve">the plaintiff or to the court, </w:t>
      </w:r>
      <w:proofErr w:type="spellStart"/>
      <w:r w:rsidR="00285E01">
        <w:t>Mr</w:t>
      </w:r>
      <w:proofErr w:type="spellEnd"/>
      <w:r w:rsidR="00285E01">
        <w:t xml:space="preserve"> </w:t>
      </w:r>
      <w:proofErr w:type="spellStart"/>
      <w:r w:rsidR="00285E01">
        <w:t>Kwong</w:t>
      </w:r>
      <w:proofErr w:type="spellEnd"/>
      <w:r w:rsidR="00285E01">
        <w:t xml:space="preserve"> </w:t>
      </w:r>
      <w:r w:rsidR="005A4E54">
        <w:t>replied in the negative</w:t>
      </w:r>
      <w:r w:rsidR="00285E01">
        <w:t xml:space="preserve">.  </w:t>
      </w:r>
      <w:r w:rsidR="005A4E54">
        <w:t>When asked</w:t>
      </w:r>
      <w:r w:rsidR="003C5CA9">
        <w:t xml:space="preserve"> when was the</w:t>
      </w:r>
      <w:r w:rsidR="005A4E54">
        <w:t xml:space="preserve"> first</w:t>
      </w:r>
      <w:r w:rsidR="003C5CA9">
        <w:t xml:space="preserve"> time he</w:t>
      </w:r>
      <w:r w:rsidR="005A4E54">
        <w:t xml:space="preserve"> realized that </w:t>
      </w:r>
      <w:r w:rsidR="003570BE">
        <w:t xml:space="preserve">he </w:t>
      </w:r>
      <w:r w:rsidR="005A4E54">
        <w:t xml:space="preserve">could not locate his insured client, </w:t>
      </w:r>
      <w:proofErr w:type="spellStart"/>
      <w:r w:rsidR="005A4E54">
        <w:t>Mr</w:t>
      </w:r>
      <w:proofErr w:type="spellEnd"/>
      <w:r w:rsidR="005A4E54">
        <w:t xml:space="preserve"> </w:t>
      </w:r>
      <w:proofErr w:type="spellStart"/>
      <w:r w:rsidR="005A4E54">
        <w:t>Kwong</w:t>
      </w:r>
      <w:proofErr w:type="spellEnd"/>
      <w:r w:rsidR="005A4E54">
        <w:t xml:space="preserve"> </w:t>
      </w:r>
      <w:r w:rsidR="00285E01">
        <w:t>was not able to give the court a specific time</w:t>
      </w:r>
      <w:r w:rsidR="005A4E54">
        <w:t>.  However, he said it</w:t>
      </w:r>
      <w:r w:rsidR="00285E01">
        <w:t xml:space="preserve"> was sometime after the 1</w:t>
      </w:r>
      <w:r w:rsidR="00285E01" w:rsidRPr="00285E01">
        <w:rPr>
          <w:vertAlign w:val="superscript"/>
        </w:rPr>
        <w:t>st</w:t>
      </w:r>
      <w:r w:rsidR="00285E01">
        <w:t xml:space="preserve"> CLR</w:t>
      </w:r>
      <w:r w:rsidR="003570BE">
        <w:t xml:space="preserve"> hearing</w:t>
      </w:r>
      <w:r w:rsidR="00285E01">
        <w:t xml:space="preserve"> in September 2019.  When asked why the court was not inform</w:t>
      </w:r>
      <w:r w:rsidR="005A4E54">
        <w:t>ed</w:t>
      </w:r>
      <w:r w:rsidR="00285E01">
        <w:t xml:space="preserve"> of this matter, he could not provide any answer.  When further asked </w:t>
      </w:r>
      <w:r w:rsidR="005A4E54">
        <w:t xml:space="preserve">by the court </w:t>
      </w:r>
      <w:r w:rsidR="00285E01">
        <w:t xml:space="preserve">what steps had he taken in locating the defendant, </w:t>
      </w:r>
      <w:proofErr w:type="spellStart"/>
      <w:r w:rsidR="00285E01">
        <w:t>Mr</w:t>
      </w:r>
      <w:proofErr w:type="spellEnd"/>
      <w:r w:rsidR="00285E01">
        <w:t xml:space="preserve"> </w:t>
      </w:r>
      <w:proofErr w:type="spellStart"/>
      <w:r w:rsidR="00285E01">
        <w:t>Kwong</w:t>
      </w:r>
      <w:proofErr w:type="spellEnd"/>
      <w:r w:rsidR="00285E01">
        <w:t xml:space="preserve"> could only say that the defendant had not </w:t>
      </w:r>
      <w:r w:rsidR="005A4E54">
        <w:t>“</w:t>
      </w:r>
      <w:r w:rsidR="00285E01">
        <w:t>unregistered</w:t>
      </w:r>
      <w:r w:rsidR="005A4E54">
        <w:t>”</w:t>
      </w:r>
      <w:r w:rsidR="00285E01">
        <w:t xml:space="preserve"> the company from the </w:t>
      </w:r>
      <w:r w:rsidR="00F00380">
        <w:t>Companies</w:t>
      </w:r>
      <w:r w:rsidR="00285E01">
        <w:t xml:space="preserve"> </w:t>
      </w:r>
      <w:r w:rsidR="000A36F3">
        <w:t>R</w:t>
      </w:r>
      <w:r w:rsidR="00285E01">
        <w:t xml:space="preserve">egistry, and </w:t>
      </w:r>
      <w:r w:rsidR="005A4E54">
        <w:t>therefore</w:t>
      </w:r>
      <w:r w:rsidR="003570BE">
        <w:t xml:space="preserve"> it</w:t>
      </w:r>
      <w:r w:rsidR="005A4E54">
        <w:t xml:space="preserve"> </w:t>
      </w:r>
      <w:r w:rsidR="00285E01">
        <w:t xml:space="preserve">is still a company </w:t>
      </w:r>
      <w:r w:rsidR="00033CA9">
        <w:t>with a valid registered address</w:t>
      </w:r>
      <w:r w:rsidR="00285E01">
        <w:t xml:space="preserve">.  </w:t>
      </w:r>
      <w:r w:rsidR="002848ED">
        <w:t xml:space="preserve">He said he </w:t>
      </w:r>
      <w:r w:rsidR="00033CA9">
        <w:t xml:space="preserve">had </w:t>
      </w:r>
      <w:r w:rsidR="002848ED">
        <w:t>tried to call the number</w:t>
      </w:r>
      <w:r w:rsidR="00033CA9">
        <w:t xml:space="preserve"> of the defendant and sent </w:t>
      </w:r>
      <w:r w:rsidR="002848ED">
        <w:t xml:space="preserve">the draft witness statement </w:t>
      </w:r>
      <w:r w:rsidR="00033CA9">
        <w:t>to it for</w:t>
      </w:r>
      <w:r w:rsidR="002848ED">
        <w:t xml:space="preserve"> comment</w:t>
      </w:r>
      <w:r w:rsidR="00033CA9">
        <w:t>s</w:t>
      </w:r>
      <w:r w:rsidR="002848ED">
        <w:t xml:space="preserve"> but with no reply</w:t>
      </w:r>
      <w:r w:rsidR="00D33DB9">
        <w:t xml:space="preserve"> received</w:t>
      </w:r>
      <w:r w:rsidR="002848ED">
        <w:t xml:space="preserve">.  He also had </w:t>
      </w:r>
      <w:r w:rsidR="00D56E74">
        <w:t xml:space="preserve">sent a </w:t>
      </w:r>
      <w:r w:rsidR="002848ED">
        <w:t>s</w:t>
      </w:r>
      <w:r w:rsidR="00D56E74">
        <w:t xml:space="preserve">taff to attend the </w:t>
      </w:r>
      <w:r w:rsidR="002848ED">
        <w:t xml:space="preserve">registered address of the defendant and found that it was occupied by another company.  However, </w:t>
      </w:r>
      <w:r w:rsidR="002848ED">
        <w:lastRenderedPageBreak/>
        <w:t xml:space="preserve">he was not able to explain to the court as to why all these had not been mentioned to the plaintiff </w:t>
      </w:r>
      <w:r w:rsidR="00D56E74">
        <w:t xml:space="preserve">or </w:t>
      </w:r>
      <w:r w:rsidR="002848ED">
        <w:t xml:space="preserve">reported to the court.   </w:t>
      </w:r>
    </w:p>
    <w:p w:rsidR="002848ED" w:rsidRDefault="002848ED" w:rsidP="002848ED">
      <w:pPr>
        <w:pStyle w:val="ListParagraph"/>
        <w:spacing w:line="360" w:lineRule="auto"/>
        <w:ind w:left="0"/>
        <w:jc w:val="both"/>
      </w:pPr>
    </w:p>
    <w:p w:rsidR="00220FA2" w:rsidRDefault="002848ED" w:rsidP="003570BE">
      <w:pPr>
        <w:pStyle w:val="ListParagraph"/>
        <w:numPr>
          <w:ilvl w:val="0"/>
          <w:numId w:val="14"/>
        </w:numPr>
        <w:spacing w:line="360" w:lineRule="auto"/>
        <w:ind w:left="0" w:firstLine="0"/>
        <w:jc w:val="both"/>
      </w:pPr>
      <w:r>
        <w:t xml:space="preserve">In particular, </w:t>
      </w:r>
      <w:proofErr w:type="spellStart"/>
      <w:r>
        <w:t>Mr</w:t>
      </w:r>
      <w:proofErr w:type="spellEnd"/>
      <w:r>
        <w:t xml:space="preserve"> </w:t>
      </w:r>
      <w:proofErr w:type="spellStart"/>
      <w:r>
        <w:t>Kwong</w:t>
      </w:r>
      <w:proofErr w:type="spellEnd"/>
      <w:r>
        <w:t xml:space="preserve"> was not able to explain to the court why he had failed to reply to any of the 5 </w:t>
      </w:r>
      <w:r w:rsidR="00F00380">
        <w:t xml:space="preserve">reminder </w:t>
      </w:r>
      <w:r>
        <w:t xml:space="preserve">letters sent by the plaintiff to </w:t>
      </w:r>
      <w:r w:rsidR="00F00380">
        <w:t xml:space="preserve">his </w:t>
      </w:r>
      <w:r>
        <w:t xml:space="preserve">firm between 7 November 2019 and 3 June 2020 </w:t>
      </w:r>
      <w:r w:rsidR="00033CA9">
        <w:t>when</w:t>
      </w:r>
      <w:r>
        <w:t xml:space="preserve"> the plaintiff was pressing for </w:t>
      </w:r>
      <w:r w:rsidR="00033CA9">
        <w:t xml:space="preserve">the </w:t>
      </w:r>
      <w:r>
        <w:t xml:space="preserve">exchange </w:t>
      </w:r>
      <w:r w:rsidR="00220FA2">
        <w:t>of witness statement</w:t>
      </w:r>
      <w:r w:rsidR="00033CA9">
        <w:t>s</w:t>
      </w:r>
      <w:r w:rsidR="00220FA2">
        <w:t xml:space="preserve"> which was supposed to </w:t>
      </w:r>
      <w:r w:rsidR="00033CA9">
        <w:t xml:space="preserve">have </w:t>
      </w:r>
      <w:r w:rsidR="00220FA2">
        <w:t>take</w:t>
      </w:r>
      <w:r w:rsidR="00033CA9">
        <w:t>n</w:t>
      </w:r>
      <w:r w:rsidR="00220FA2">
        <w:t xml:space="preserve"> place on </w:t>
      </w:r>
      <w:r w:rsidR="00D33DB9">
        <w:t>26 October 2019</w:t>
      </w:r>
      <w:r w:rsidR="00220FA2">
        <w:t xml:space="preserve">.  </w:t>
      </w:r>
      <w:proofErr w:type="spellStart"/>
      <w:r w:rsidR="00220FA2">
        <w:t>Mr</w:t>
      </w:r>
      <w:proofErr w:type="spellEnd"/>
      <w:r w:rsidR="00220FA2">
        <w:t xml:space="preserve"> </w:t>
      </w:r>
      <w:proofErr w:type="spellStart"/>
      <w:r w:rsidR="00220FA2">
        <w:t>Kwong</w:t>
      </w:r>
      <w:proofErr w:type="spellEnd"/>
      <w:r w:rsidR="00220FA2">
        <w:t xml:space="preserve"> could not provide </w:t>
      </w:r>
      <w:r w:rsidR="00033CA9">
        <w:t>one</w:t>
      </w:r>
      <w:r w:rsidR="00220FA2">
        <w:t xml:space="preserve"> single valid reason why a reply was </w:t>
      </w:r>
      <w:r w:rsidR="00033CA9">
        <w:t>never</w:t>
      </w:r>
      <w:r w:rsidR="00481C15">
        <w:t xml:space="preserve"> made</w:t>
      </w:r>
      <w:r w:rsidR="00590080">
        <w:t xml:space="preserve"> to those letters</w:t>
      </w:r>
      <w:r w:rsidR="00220FA2">
        <w:t xml:space="preserve">.  </w:t>
      </w:r>
    </w:p>
    <w:p w:rsidR="00590080" w:rsidRDefault="00590080" w:rsidP="00590080">
      <w:pPr>
        <w:pStyle w:val="ListParagraph"/>
        <w:spacing w:line="360" w:lineRule="auto"/>
        <w:ind w:left="0"/>
        <w:jc w:val="both"/>
      </w:pPr>
    </w:p>
    <w:p w:rsidR="00033CA9" w:rsidRDefault="00220FA2" w:rsidP="003570BE">
      <w:pPr>
        <w:pStyle w:val="ListParagraph"/>
        <w:numPr>
          <w:ilvl w:val="0"/>
          <w:numId w:val="14"/>
        </w:numPr>
        <w:spacing w:line="360" w:lineRule="auto"/>
        <w:ind w:left="0" w:firstLine="0"/>
        <w:jc w:val="both"/>
      </w:pPr>
      <w:r>
        <w:t xml:space="preserve">For the draft </w:t>
      </w:r>
      <w:r w:rsidR="00D33DB9">
        <w:t xml:space="preserve">trial bundle </w:t>
      </w:r>
      <w:r>
        <w:t>index,</w:t>
      </w:r>
      <w:r w:rsidR="003C5CA9">
        <w:t xml:space="preserve"> the parties were supposed to do it by 30 December 2019.</w:t>
      </w:r>
      <w:r>
        <w:t xml:space="preserve"> </w:t>
      </w:r>
      <w:proofErr w:type="spellStart"/>
      <w:r>
        <w:t>Mr</w:t>
      </w:r>
      <w:proofErr w:type="spellEnd"/>
      <w:r>
        <w:t xml:space="preserve"> </w:t>
      </w:r>
      <w:proofErr w:type="spellStart"/>
      <w:r>
        <w:t>Kwong</w:t>
      </w:r>
      <w:proofErr w:type="spellEnd"/>
      <w:r>
        <w:t xml:space="preserve"> </w:t>
      </w:r>
      <w:r w:rsidR="00033CA9">
        <w:t xml:space="preserve">again </w:t>
      </w:r>
      <w:r>
        <w:t xml:space="preserve">was not able to provide one single </w:t>
      </w:r>
      <w:r w:rsidR="00033CA9">
        <w:t xml:space="preserve">valid </w:t>
      </w:r>
      <w:r>
        <w:t xml:space="preserve">reason why </w:t>
      </w:r>
      <w:r w:rsidR="00033CA9">
        <w:t>he</w:t>
      </w:r>
      <w:r>
        <w:t xml:space="preserve"> could not have respon</w:t>
      </w:r>
      <w:r w:rsidR="00033CA9">
        <w:t>d</w:t>
      </w:r>
      <w:r>
        <w:t>e</w:t>
      </w:r>
      <w:r w:rsidR="00033CA9">
        <w:t>d</w:t>
      </w:r>
      <w:r w:rsidR="003C5CA9">
        <w:t xml:space="preserve"> during the 16</w:t>
      </w:r>
      <w:r w:rsidR="00481C15">
        <w:t>-</w:t>
      </w:r>
      <w:r>
        <w:t xml:space="preserve">month </w:t>
      </w:r>
      <w:r w:rsidR="00033CA9">
        <w:t>period</w:t>
      </w:r>
      <w:r w:rsidR="003C5CA9">
        <w:t xml:space="preserve"> even until the issue of the 2</w:t>
      </w:r>
      <w:r w:rsidR="003C5CA9" w:rsidRPr="003C5CA9">
        <w:rPr>
          <w:vertAlign w:val="superscript"/>
        </w:rPr>
        <w:t>nd</w:t>
      </w:r>
      <w:r w:rsidR="003C5CA9">
        <w:t xml:space="preserve"> “unless order” summons in April 2021</w:t>
      </w:r>
      <w:r>
        <w:t xml:space="preserve">.  </w:t>
      </w:r>
      <w:proofErr w:type="spellStart"/>
      <w:r>
        <w:t>Mr</w:t>
      </w:r>
      <w:proofErr w:type="spellEnd"/>
      <w:r>
        <w:t xml:space="preserve"> </w:t>
      </w:r>
      <w:proofErr w:type="spellStart"/>
      <w:r>
        <w:t>Kwong</w:t>
      </w:r>
      <w:proofErr w:type="spellEnd"/>
      <w:r>
        <w:t xml:space="preserve"> was not </w:t>
      </w:r>
      <w:r w:rsidR="00481C15">
        <w:t>able to provide any valid</w:t>
      </w:r>
      <w:r>
        <w:t xml:space="preserve"> reason </w:t>
      </w:r>
      <w:r w:rsidR="00033CA9">
        <w:t xml:space="preserve">of </w:t>
      </w:r>
      <w:r>
        <w:t xml:space="preserve">why for </w:t>
      </w:r>
      <w:r w:rsidR="00F00380">
        <w:t xml:space="preserve">the </w:t>
      </w:r>
      <w:r>
        <w:t>1</w:t>
      </w:r>
      <w:r w:rsidR="003C5CA9">
        <w:t>6</w:t>
      </w:r>
      <w:r w:rsidR="00F00380">
        <w:t>- month period</w:t>
      </w:r>
      <w:r>
        <w:t xml:space="preserve"> </w:t>
      </w:r>
      <w:r w:rsidR="00D33DB9">
        <w:t xml:space="preserve">he </w:t>
      </w:r>
      <w:r>
        <w:t xml:space="preserve">could not make a </w:t>
      </w:r>
      <w:r w:rsidR="00481C15">
        <w:t>simple</w:t>
      </w:r>
      <w:r>
        <w:t xml:space="preserve"> reply to the plaintiff’s request </w:t>
      </w:r>
      <w:r w:rsidR="00033CA9">
        <w:t>to</w:t>
      </w:r>
      <w:r>
        <w:t xml:space="preserve"> </w:t>
      </w:r>
      <w:r w:rsidR="00481C15">
        <w:t>agree t</w:t>
      </w:r>
      <w:r>
        <w:t xml:space="preserve">o a simple matter like </w:t>
      </w:r>
      <w:r w:rsidR="00033CA9">
        <w:t xml:space="preserve">that of </w:t>
      </w:r>
      <w:r>
        <w:t xml:space="preserve">a draft </w:t>
      </w:r>
      <w:r w:rsidR="00F00380">
        <w:t xml:space="preserve">trial </w:t>
      </w:r>
      <w:r>
        <w:t xml:space="preserve">bundle index.  </w:t>
      </w:r>
      <w:proofErr w:type="spellStart"/>
      <w:r>
        <w:t>Mr</w:t>
      </w:r>
      <w:proofErr w:type="spellEnd"/>
      <w:r>
        <w:t xml:space="preserve"> </w:t>
      </w:r>
      <w:proofErr w:type="spellStart"/>
      <w:r>
        <w:t>Kwong</w:t>
      </w:r>
      <w:proofErr w:type="spellEnd"/>
      <w:r>
        <w:t xml:space="preserve"> tried to explain in court that he was hoping </w:t>
      </w:r>
      <w:r w:rsidR="00033CA9">
        <w:t xml:space="preserve">to </w:t>
      </w:r>
      <w:r>
        <w:t>wait for the particular</w:t>
      </w:r>
      <w:r w:rsidR="00033CA9">
        <w:t>s</w:t>
      </w:r>
      <w:r>
        <w:t xml:space="preserve"> of </w:t>
      </w:r>
      <w:r w:rsidR="00550FEF">
        <w:t xml:space="preserve">the </w:t>
      </w:r>
      <w:r>
        <w:t xml:space="preserve">earnings from the defendant in </w:t>
      </w:r>
      <w:r w:rsidR="00550FEF">
        <w:t>t</w:t>
      </w:r>
      <w:r>
        <w:t xml:space="preserve">his case.  </w:t>
      </w:r>
      <w:r w:rsidR="00737F39">
        <w:t xml:space="preserve">However, </w:t>
      </w:r>
      <w:r w:rsidR="00033CA9">
        <w:t>with respect, he knew from day one of this case</w:t>
      </w:r>
      <w:r w:rsidR="00737F39">
        <w:t xml:space="preserve"> that he had had difficulties in locating his </w:t>
      </w:r>
      <w:r w:rsidR="00481C15">
        <w:t xml:space="preserve">insured </w:t>
      </w:r>
      <w:r w:rsidR="00737F39">
        <w:t xml:space="preserve">client and nothing </w:t>
      </w:r>
      <w:r w:rsidR="00033CA9">
        <w:t>had</w:t>
      </w:r>
      <w:r w:rsidR="005256DF">
        <w:t xml:space="preserve"> changed during this</w:t>
      </w:r>
      <w:r w:rsidR="00033CA9">
        <w:t xml:space="preserve"> period.</w:t>
      </w:r>
      <w:r w:rsidR="00737F39">
        <w:t xml:space="preserve"> </w:t>
      </w:r>
      <w:r w:rsidR="00481C15">
        <w:t xml:space="preserve"> </w:t>
      </w:r>
      <w:r w:rsidR="00737F39">
        <w:t>Ins</w:t>
      </w:r>
      <w:r w:rsidR="00033CA9">
        <w:t>tead of informing the plaintiff</w:t>
      </w:r>
      <w:r w:rsidR="00737F39">
        <w:t xml:space="preserve"> or the court</w:t>
      </w:r>
      <w:r w:rsidR="00033CA9">
        <w:t xml:space="preserve"> of this matter</w:t>
      </w:r>
      <w:r w:rsidR="00737F39">
        <w:t xml:space="preserve">, </w:t>
      </w:r>
      <w:proofErr w:type="spellStart"/>
      <w:r w:rsidR="00737F39">
        <w:t>Mr</w:t>
      </w:r>
      <w:proofErr w:type="spellEnd"/>
      <w:r w:rsidR="00737F39">
        <w:t xml:space="preserve"> </w:t>
      </w:r>
      <w:proofErr w:type="spellStart"/>
      <w:r w:rsidR="00737F39">
        <w:t>Kwong</w:t>
      </w:r>
      <w:proofErr w:type="spellEnd"/>
      <w:r w:rsidR="00737F39">
        <w:t xml:space="preserve"> chose to bury the plaintiff’s letters under the </w:t>
      </w:r>
      <w:r w:rsidR="00033CA9">
        <w:t>pile</w:t>
      </w:r>
      <w:r w:rsidR="00737F39">
        <w:t xml:space="preserve"> of documents </w:t>
      </w:r>
      <w:r w:rsidR="00481C15">
        <w:t xml:space="preserve">in his file </w:t>
      </w:r>
      <w:r w:rsidR="00737F39">
        <w:t>and chose not to make any reply to it</w:t>
      </w:r>
      <w:r w:rsidR="00033CA9">
        <w:t xml:space="preserve"> at all</w:t>
      </w:r>
      <w:r w:rsidR="00737F39">
        <w:t xml:space="preserve">.  </w:t>
      </w:r>
    </w:p>
    <w:p w:rsidR="00033CA9" w:rsidRDefault="00033CA9" w:rsidP="00033CA9">
      <w:pPr>
        <w:pStyle w:val="ListParagraph"/>
      </w:pPr>
    </w:p>
    <w:p w:rsidR="003049B0" w:rsidRDefault="00737F39" w:rsidP="003570BE">
      <w:pPr>
        <w:pStyle w:val="ListParagraph"/>
        <w:numPr>
          <w:ilvl w:val="0"/>
          <w:numId w:val="14"/>
        </w:numPr>
        <w:spacing w:line="360" w:lineRule="auto"/>
        <w:ind w:left="0" w:firstLine="0"/>
        <w:jc w:val="both"/>
      </w:pPr>
      <w:r>
        <w:t>When asked what he had done to try to locate the defendant between</w:t>
      </w:r>
      <w:r w:rsidR="003C5CA9">
        <w:t xml:space="preserve"> November</w:t>
      </w:r>
      <w:r>
        <w:t xml:space="preserve"> 2019 and </w:t>
      </w:r>
      <w:r w:rsidR="003C5CA9">
        <w:t xml:space="preserve">April </w:t>
      </w:r>
      <w:r>
        <w:t xml:space="preserve">2021, </w:t>
      </w:r>
      <w:proofErr w:type="spellStart"/>
      <w:r w:rsidR="000A353E">
        <w:t>Mr</w:t>
      </w:r>
      <w:proofErr w:type="spellEnd"/>
      <w:r w:rsidR="000A353E">
        <w:t xml:space="preserve"> </w:t>
      </w:r>
      <w:proofErr w:type="spellStart"/>
      <w:r w:rsidR="000A353E">
        <w:t>Kwong</w:t>
      </w:r>
      <w:proofErr w:type="spellEnd"/>
      <w:r>
        <w:t xml:space="preserve"> could only sa</w:t>
      </w:r>
      <w:r w:rsidR="000A353E">
        <w:t>y</w:t>
      </w:r>
      <w:r>
        <w:t xml:space="preserve"> that </w:t>
      </w:r>
      <w:r w:rsidR="000A353E">
        <w:t>he</w:t>
      </w:r>
      <w:r>
        <w:t xml:space="preserve"> had sent out an e-mail on 21 October 2019 and tried to call the defendant </w:t>
      </w:r>
      <w:r>
        <w:lastRenderedPageBreak/>
        <w:t>7 days later but without success.  He could not give any plausible explanation as to why such matter was not mentioned either to the plaintiff or to the court.</w:t>
      </w:r>
    </w:p>
    <w:p w:rsidR="005A46C3" w:rsidRDefault="005A46C3" w:rsidP="005A46C3">
      <w:pPr>
        <w:pStyle w:val="ListParagraph"/>
        <w:spacing w:line="360" w:lineRule="auto"/>
        <w:ind w:left="0"/>
        <w:jc w:val="both"/>
      </w:pPr>
    </w:p>
    <w:p w:rsidR="00F95555" w:rsidRDefault="00737F39" w:rsidP="003570BE">
      <w:pPr>
        <w:pStyle w:val="ListParagraph"/>
        <w:numPr>
          <w:ilvl w:val="0"/>
          <w:numId w:val="14"/>
        </w:numPr>
        <w:spacing w:line="360" w:lineRule="auto"/>
        <w:ind w:left="0" w:firstLine="0"/>
        <w:jc w:val="both"/>
      </w:pPr>
      <w:r>
        <w:t xml:space="preserve">Only when the defendant was faced with the </w:t>
      </w:r>
      <w:r w:rsidR="005256DF">
        <w:t>3</w:t>
      </w:r>
      <w:r w:rsidR="005256DF" w:rsidRPr="005256DF">
        <w:rPr>
          <w:vertAlign w:val="superscript"/>
        </w:rPr>
        <w:t>rd</w:t>
      </w:r>
      <w:r w:rsidR="005256DF">
        <w:t xml:space="preserve"> “</w:t>
      </w:r>
      <w:r>
        <w:t>unless order</w:t>
      </w:r>
      <w:r w:rsidR="005256DF">
        <w:t>”</w:t>
      </w:r>
      <w:r>
        <w:t xml:space="preserve"> summons taken </w:t>
      </w:r>
      <w:r w:rsidR="000A353E">
        <w:t xml:space="preserve">out </w:t>
      </w:r>
      <w:r>
        <w:t>by the plaintiff that the defendant</w:t>
      </w:r>
      <w:r w:rsidR="000A353E">
        <w:t xml:space="preserve">’s solicitors </w:t>
      </w:r>
      <w:r>
        <w:t>had</w:t>
      </w:r>
      <w:r w:rsidR="000A353E">
        <w:t>,</w:t>
      </w:r>
      <w:r>
        <w:t xml:space="preserve"> for the </w:t>
      </w:r>
      <w:r w:rsidR="000A353E">
        <w:t>first</w:t>
      </w:r>
      <w:r>
        <w:t xml:space="preserve"> time </w:t>
      </w:r>
      <w:r w:rsidR="000A353E">
        <w:t xml:space="preserve">in these proceedings, </w:t>
      </w:r>
      <w:r>
        <w:t xml:space="preserve">mentioned in </w:t>
      </w:r>
      <w:r w:rsidR="00D33DB9">
        <w:t>their</w:t>
      </w:r>
      <w:r>
        <w:t xml:space="preserve"> letter to the court on </w:t>
      </w:r>
      <w:r w:rsidR="000A353E">
        <w:t>1</w:t>
      </w:r>
      <w:r>
        <w:t xml:space="preserve">6 August 2021 </w:t>
      </w:r>
      <w:r w:rsidR="003C5CA9">
        <w:t>(</w:t>
      </w:r>
      <w:r>
        <w:t xml:space="preserve">when it </w:t>
      </w:r>
      <w:r w:rsidR="000A353E">
        <w:t>t</w:t>
      </w:r>
      <w:r>
        <w:t xml:space="preserve">ried to </w:t>
      </w:r>
      <w:r w:rsidR="000A353E">
        <w:t>vacate</w:t>
      </w:r>
      <w:r>
        <w:t xml:space="preserve"> the hearing for the summons</w:t>
      </w:r>
      <w:r w:rsidR="003C5CA9">
        <w:t>)</w:t>
      </w:r>
      <w:r>
        <w:t>, to s</w:t>
      </w:r>
      <w:r w:rsidR="000A353E">
        <w:t>tate</w:t>
      </w:r>
      <w:r>
        <w:t xml:space="preserve"> that the defendant’s firm </w:t>
      </w:r>
      <w:r w:rsidR="000A353E">
        <w:t>“</w:t>
      </w:r>
      <w:r w:rsidR="00F00380">
        <w:t xml:space="preserve">is </w:t>
      </w:r>
      <w:r>
        <w:t xml:space="preserve">still </w:t>
      </w:r>
      <w:r w:rsidR="00F00380">
        <w:t>locating</w:t>
      </w:r>
      <w:r>
        <w:t xml:space="preserve"> the defendant</w:t>
      </w:r>
      <w:r w:rsidR="000A353E">
        <w:t>”</w:t>
      </w:r>
      <w:r>
        <w:t xml:space="preserve">.  </w:t>
      </w:r>
    </w:p>
    <w:p w:rsidR="000A353E" w:rsidRDefault="000A353E" w:rsidP="000A353E">
      <w:pPr>
        <w:pStyle w:val="ListParagraph"/>
      </w:pPr>
    </w:p>
    <w:p w:rsidR="000A353E" w:rsidRPr="000A353E" w:rsidRDefault="00481C15" w:rsidP="000A353E">
      <w:pPr>
        <w:pStyle w:val="ListParagraph"/>
        <w:spacing w:line="360" w:lineRule="auto"/>
        <w:ind w:left="0"/>
        <w:jc w:val="both"/>
        <w:rPr>
          <w:i/>
        </w:rPr>
      </w:pPr>
      <w:r>
        <w:rPr>
          <w:i/>
        </w:rPr>
        <w:t>Reasons for the c</w:t>
      </w:r>
      <w:r w:rsidR="000A353E" w:rsidRPr="000A353E">
        <w:rPr>
          <w:i/>
        </w:rPr>
        <w:t>ourt’s ruling</w:t>
      </w:r>
    </w:p>
    <w:p w:rsidR="006657CD" w:rsidRDefault="006657CD" w:rsidP="006657CD">
      <w:pPr>
        <w:pStyle w:val="ListParagraph"/>
        <w:spacing w:line="360" w:lineRule="auto"/>
        <w:ind w:left="0"/>
        <w:jc w:val="both"/>
      </w:pPr>
    </w:p>
    <w:p w:rsidR="0065747A" w:rsidRDefault="00737F39" w:rsidP="003570BE">
      <w:pPr>
        <w:pStyle w:val="ListParagraph"/>
        <w:numPr>
          <w:ilvl w:val="0"/>
          <w:numId w:val="14"/>
        </w:numPr>
        <w:spacing w:line="360" w:lineRule="auto"/>
        <w:ind w:left="0" w:firstLine="0"/>
        <w:jc w:val="both"/>
      </w:pPr>
      <w:r>
        <w:t xml:space="preserve">In my judgment, </w:t>
      </w:r>
      <w:r w:rsidR="000A353E">
        <w:t>the way the defendant’s solicitors have handled this case</w:t>
      </w:r>
      <w:r w:rsidR="00F00380">
        <w:t xml:space="preserve"> is</w:t>
      </w:r>
      <w:r w:rsidR="000A353E">
        <w:t xml:space="preserve"> </w:t>
      </w:r>
      <w:r w:rsidR="003C5CA9">
        <w:t>wholly</w:t>
      </w:r>
      <w:r w:rsidR="000A353E">
        <w:t xml:space="preserve"> </w:t>
      </w:r>
      <w:r w:rsidR="0065747A">
        <w:t>un</w:t>
      </w:r>
      <w:r>
        <w:t>acceptable</w:t>
      </w:r>
      <w:r w:rsidR="00F95555">
        <w:t>.</w:t>
      </w:r>
      <w:r w:rsidR="0065747A">
        <w:t xml:space="preserve">  It makes a complete mockery of the case management system in PI cases</w:t>
      </w:r>
      <w:r w:rsidR="006657CD">
        <w:t xml:space="preserve"> in the District Court</w:t>
      </w:r>
      <w:r w:rsidR="0065747A">
        <w:t xml:space="preserve">. </w:t>
      </w:r>
      <w:r w:rsidR="00F95555">
        <w:t xml:space="preserve"> </w:t>
      </w:r>
      <w:r w:rsidR="0065747A">
        <w:t xml:space="preserve">It defeats the </w:t>
      </w:r>
      <w:r w:rsidR="001D2378">
        <w:t xml:space="preserve">whole </w:t>
      </w:r>
      <w:r w:rsidR="0065747A">
        <w:t xml:space="preserve">purpose of having a </w:t>
      </w:r>
      <w:r w:rsidR="00F00380">
        <w:t>checklist review</w:t>
      </w:r>
      <w:r w:rsidR="0065747A">
        <w:t xml:space="preserve"> </w:t>
      </w:r>
      <w:r w:rsidR="00D33DB9">
        <w:t xml:space="preserve">hearing </w:t>
      </w:r>
      <w:r w:rsidR="0065747A">
        <w:t>before a PI Master.  It undermines the good</w:t>
      </w:r>
      <w:r w:rsidR="001D2378">
        <w:t>will</w:t>
      </w:r>
      <w:r w:rsidR="0065747A">
        <w:t xml:space="preserve"> amongst </w:t>
      </w:r>
      <w:r w:rsidR="00481C15">
        <w:t xml:space="preserve">members of </w:t>
      </w:r>
      <w:r w:rsidR="0065747A">
        <w:t xml:space="preserve">the </w:t>
      </w:r>
      <w:r w:rsidR="001D2378">
        <w:t xml:space="preserve">profession </w:t>
      </w:r>
      <w:r w:rsidR="00481C15">
        <w:t>in</w:t>
      </w:r>
      <w:r w:rsidR="001D2378">
        <w:t xml:space="preserve"> trying to </w:t>
      </w:r>
      <w:r w:rsidR="00D33DB9">
        <w:t xml:space="preserve">agree </w:t>
      </w:r>
      <w:r w:rsidR="001D2378">
        <w:t xml:space="preserve">case management directions without going to court </w:t>
      </w:r>
      <w:r w:rsidR="002E044D">
        <w:t>to seek directions on each</w:t>
      </w:r>
      <w:r w:rsidR="001D2378">
        <w:t xml:space="preserve"> </w:t>
      </w:r>
      <w:r w:rsidR="002E044D">
        <w:t>occasion.</w:t>
      </w:r>
      <w:r w:rsidR="0065747A">
        <w:t xml:space="preserve"> </w:t>
      </w:r>
      <w:r w:rsidR="001D2378">
        <w:t xml:space="preserve"> </w:t>
      </w:r>
      <w:r w:rsidR="0065747A">
        <w:t xml:space="preserve">It goes against the letters and the spirit of the Civil Justice Reform. </w:t>
      </w:r>
      <w:r w:rsidR="00481C15">
        <w:t xml:space="preserve"> I</w:t>
      </w:r>
      <w:r w:rsidR="0065747A">
        <w:t xml:space="preserve">t severely undermines its underlying objectives.  </w:t>
      </w:r>
    </w:p>
    <w:p w:rsidR="0065747A" w:rsidRDefault="0065747A" w:rsidP="0065747A">
      <w:pPr>
        <w:pStyle w:val="ListParagraph"/>
        <w:spacing w:line="360" w:lineRule="auto"/>
        <w:ind w:left="0"/>
        <w:jc w:val="both"/>
      </w:pPr>
    </w:p>
    <w:p w:rsidR="0065747A" w:rsidRDefault="00481C15" w:rsidP="003570BE">
      <w:pPr>
        <w:pStyle w:val="ListParagraph"/>
        <w:numPr>
          <w:ilvl w:val="0"/>
          <w:numId w:val="14"/>
        </w:numPr>
        <w:spacing w:line="360" w:lineRule="auto"/>
        <w:ind w:left="0" w:firstLine="0"/>
        <w:jc w:val="both"/>
      </w:pPr>
      <w:r>
        <w:t xml:space="preserve">Due to the total silence </w:t>
      </w:r>
      <w:r w:rsidR="00BD2E24">
        <w:t xml:space="preserve">and non-compliance </w:t>
      </w:r>
      <w:r>
        <w:t xml:space="preserve">on the part of the defendant, </w:t>
      </w:r>
      <w:r w:rsidR="001D2378">
        <w:t>t</w:t>
      </w:r>
      <w:r w:rsidR="0065747A">
        <w:t xml:space="preserve">he plaintiff’s solicitors </w:t>
      </w:r>
      <w:r w:rsidR="001D2378">
        <w:t xml:space="preserve">in this case </w:t>
      </w:r>
      <w:r w:rsidR="0065747A">
        <w:t>were</w:t>
      </w:r>
      <w:r w:rsidR="001D2378">
        <w:t xml:space="preserve"> literally like dealing with </w:t>
      </w:r>
      <w:r w:rsidR="0065747A">
        <w:t>a stone wall</w:t>
      </w:r>
      <w:r w:rsidR="002E044D">
        <w:t xml:space="preserve"> as their opponent</w:t>
      </w:r>
      <w:r w:rsidR="0065747A">
        <w:t xml:space="preserve">.  All the letters sent by the plaintiff from early November 2019 to April 2021 had simply fallen on deaf ears. </w:t>
      </w:r>
      <w:r w:rsidR="00590080">
        <w:t xml:space="preserve">All this time the plaintiff was like dealing with a phantom opponent </w:t>
      </w:r>
      <w:r w:rsidR="00D33DB9">
        <w:t>as if</w:t>
      </w:r>
      <w:r w:rsidR="005256DF">
        <w:t xml:space="preserve"> it </w:t>
      </w:r>
      <w:r w:rsidR="00590080">
        <w:t>did not exist at all.</w:t>
      </w:r>
      <w:r w:rsidR="005256DF">
        <w:t xml:space="preserve">  </w:t>
      </w:r>
      <w:r w:rsidR="00BD2E24">
        <w:t>In my view, t</w:t>
      </w:r>
      <w:r w:rsidR="0065747A">
        <w:t>he plaintiff may as well deal with a stone wall</w:t>
      </w:r>
      <w:r w:rsidR="003C5CA9">
        <w:t xml:space="preserve"> </w:t>
      </w:r>
      <w:r w:rsidR="0065747A">
        <w:t xml:space="preserve">as there was no difference between the two. </w:t>
      </w:r>
    </w:p>
    <w:p w:rsidR="0065747A" w:rsidRDefault="0065747A" w:rsidP="0065747A">
      <w:pPr>
        <w:pStyle w:val="ListParagraph"/>
        <w:spacing w:line="360" w:lineRule="auto"/>
        <w:ind w:left="0"/>
        <w:jc w:val="both"/>
      </w:pPr>
    </w:p>
    <w:p w:rsidR="004062E7" w:rsidRDefault="001D2378" w:rsidP="003570BE">
      <w:pPr>
        <w:pStyle w:val="ListParagraph"/>
        <w:numPr>
          <w:ilvl w:val="0"/>
          <w:numId w:val="14"/>
        </w:numPr>
        <w:spacing w:line="360" w:lineRule="auto"/>
        <w:ind w:left="0" w:firstLine="0"/>
        <w:jc w:val="both"/>
      </w:pPr>
      <w:r>
        <w:t xml:space="preserve">In my </w:t>
      </w:r>
      <w:r w:rsidR="00BD2E24">
        <w:t>judgment</w:t>
      </w:r>
      <w:r>
        <w:t>, n</w:t>
      </w:r>
      <w:r w:rsidR="00F95555">
        <w:t>ot only the defendant</w:t>
      </w:r>
      <w:r>
        <w:t xml:space="preserve">’s handling solicitor owed a duty </w:t>
      </w:r>
      <w:r w:rsidR="00F95555">
        <w:t>to his client</w:t>
      </w:r>
      <w:r>
        <w:t xml:space="preserve"> (whether it was the insurer or the insured) </w:t>
      </w:r>
      <w:r w:rsidR="00F95555">
        <w:t xml:space="preserve">to conduct the case </w:t>
      </w:r>
      <w:r w:rsidR="004062E7">
        <w:t xml:space="preserve">in a </w:t>
      </w:r>
      <w:r w:rsidR="00F95555">
        <w:t>diligent</w:t>
      </w:r>
      <w:r w:rsidR="004062E7">
        <w:t xml:space="preserve"> and c</w:t>
      </w:r>
      <w:r w:rsidR="000A36F3">
        <w:t>onscientious</w:t>
      </w:r>
      <w:r w:rsidR="004062E7">
        <w:t xml:space="preserve"> manner</w:t>
      </w:r>
      <w:r w:rsidR="00F95555">
        <w:t xml:space="preserve">, </w:t>
      </w:r>
      <w:r>
        <w:t xml:space="preserve">he </w:t>
      </w:r>
      <w:r w:rsidR="004062E7">
        <w:t xml:space="preserve">also owed a </w:t>
      </w:r>
      <w:r>
        <w:t xml:space="preserve">duty to the court </w:t>
      </w:r>
      <w:r w:rsidR="004062E7">
        <w:t>to ensure that the case would progre</w:t>
      </w:r>
      <w:r w:rsidR="002E044D">
        <w:t>ss in a timely and efficient manner</w:t>
      </w:r>
      <w:r w:rsidR="004062E7">
        <w:t xml:space="preserve">.  Regrettably, in this case, I find the defendant’s handling solicitor has </w:t>
      </w:r>
      <w:r w:rsidR="00F95555">
        <w:t xml:space="preserve">completely ignored the </w:t>
      </w:r>
      <w:r w:rsidR="003C5CA9">
        <w:t>correspondences</w:t>
      </w:r>
      <w:r w:rsidR="00F95555">
        <w:t xml:space="preserve"> from the plaintiff’s solicitors for over 7 months on the issue of exchange of the witness statement and </w:t>
      </w:r>
      <w:r>
        <w:t>for</w:t>
      </w:r>
      <w:r w:rsidR="00F95555">
        <w:t xml:space="preserve"> </w:t>
      </w:r>
      <w:r w:rsidR="003C5CA9">
        <w:t>16</w:t>
      </w:r>
      <w:r w:rsidR="00F95555">
        <w:t xml:space="preserve"> months </w:t>
      </w:r>
      <w:r w:rsidR="004062E7">
        <w:t>on the issue of agreeing to the</w:t>
      </w:r>
      <w:r>
        <w:t xml:space="preserve"> </w:t>
      </w:r>
      <w:r w:rsidR="00F95555">
        <w:t>trial bundle index</w:t>
      </w:r>
      <w:r w:rsidR="002E044D">
        <w:t xml:space="preserve"> for no valid or justifiable reason at all</w:t>
      </w:r>
      <w:r w:rsidR="00F95555">
        <w:t xml:space="preserve">.  </w:t>
      </w:r>
      <w:r>
        <w:t>As a result</w:t>
      </w:r>
      <w:r w:rsidR="002E044D">
        <w:t xml:space="preserve"> of the failures on the part of the defendant’s solicitors</w:t>
      </w:r>
      <w:r>
        <w:t>, a simple PI case has been unreaso</w:t>
      </w:r>
      <w:r w:rsidR="005256DF">
        <w:t>nabl</w:t>
      </w:r>
      <w:r w:rsidR="003C5CA9">
        <w:t>y</w:t>
      </w:r>
      <w:r w:rsidR="005256DF">
        <w:t xml:space="preserve"> delayed for almost 20 months</w:t>
      </w:r>
      <w:r w:rsidR="003C5CA9">
        <w:t xml:space="preserve"> (from November 2019 to July 2021)</w:t>
      </w:r>
      <w:r w:rsidR="005256DF">
        <w:t xml:space="preserve"> </w:t>
      </w:r>
      <w:r w:rsidR="004062E7">
        <w:t xml:space="preserve">when no </w:t>
      </w:r>
      <w:r w:rsidR="00BD2E24">
        <w:t xml:space="preserve">real </w:t>
      </w:r>
      <w:r w:rsidR="004062E7">
        <w:t xml:space="preserve">progress </w:t>
      </w:r>
      <w:r w:rsidR="002E044D">
        <w:t>ha</w:t>
      </w:r>
      <w:r w:rsidR="00F00380">
        <w:t>s</w:t>
      </w:r>
      <w:r w:rsidR="002E044D">
        <w:t xml:space="preserve"> been</w:t>
      </w:r>
      <w:r w:rsidR="004062E7">
        <w:t xml:space="preserve"> made</w:t>
      </w:r>
      <w:r w:rsidR="000A36F3">
        <w:t xml:space="preserve"> in this case</w:t>
      </w:r>
      <w:r w:rsidR="004062E7">
        <w:t xml:space="preserve"> at all.</w:t>
      </w:r>
      <w:r w:rsidR="002E044D">
        <w:t xml:space="preserve">  </w:t>
      </w:r>
      <w:r w:rsidR="005256DF">
        <w:t>In short, t</w:t>
      </w:r>
      <w:r w:rsidR="002E044D">
        <w:t xml:space="preserve">he plaintiff who has a strong case on liability has been deprived of his chance to receiving his just compensation during this time. </w:t>
      </w:r>
      <w:r w:rsidR="004062E7">
        <w:t xml:space="preserve">  </w:t>
      </w:r>
    </w:p>
    <w:p w:rsidR="004062E7" w:rsidRDefault="004062E7" w:rsidP="004062E7">
      <w:pPr>
        <w:pStyle w:val="ListParagraph"/>
      </w:pPr>
    </w:p>
    <w:p w:rsidR="00DA2A2E" w:rsidRDefault="00F95555" w:rsidP="003570BE">
      <w:pPr>
        <w:pStyle w:val="ListParagraph"/>
        <w:numPr>
          <w:ilvl w:val="0"/>
          <w:numId w:val="14"/>
        </w:numPr>
        <w:spacing w:line="360" w:lineRule="auto"/>
        <w:ind w:left="0" w:firstLine="0"/>
        <w:jc w:val="both"/>
      </w:pPr>
      <w:r>
        <w:t>In my</w:t>
      </w:r>
      <w:r w:rsidR="003C5CA9">
        <w:t xml:space="preserve"> view</w:t>
      </w:r>
      <w:r>
        <w:t>, these are all unacceptable conduct</w:t>
      </w:r>
      <w:r w:rsidR="002E044D">
        <w:t>s</w:t>
      </w:r>
      <w:r>
        <w:t xml:space="preserve"> on the part of a solicitor </w:t>
      </w:r>
      <w:r w:rsidR="004062E7">
        <w:t xml:space="preserve">who </w:t>
      </w:r>
      <w:r>
        <w:t>conduct</w:t>
      </w:r>
      <w:r w:rsidR="004062E7">
        <w:t>s</w:t>
      </w:r>
      <w:r>
        <w:t xml:space="preserve"> PI li</w:t>
      </w:r>
      <w:r w:rsidR="004062E7">
        <w:t xml:space="preserve">tigation.  By completely ignoring the other side’s correspondence and the court’s </w:t>
      </w:r>
      <w:r w:rsidR="00F00380">
        <w:t>O</w:t>
      </w:r>
      <w:r w:rsidR="004062E7">
        <w:t xml:space="preserve">rders, not only it shows a </w:t>
      </w:r>
      <w:r>
        <w:t xml:space="preserve">lack of professional </w:t>
      </w:r>
      <w:r w:rsidRPr="00F95555">
        <w:t>c</w:t>
      </w:r>
      <w:r w:rsidR="004062E7">
        <w:t>o</w:t>
      </w:r>
      <w:r w:rsidRPr="00F95555">
        <w:t>ur</w:t>
      </w:r>
      <w:r w:rsidR="004062E7">
        <w:t xml:space="preserve">tesy </w:t>
      </w:r>
      <w:r w:rsidR="00207750">
        <w:t xml:space="preserve">to his opponent, it also shows a lack of respect to the court.  Such conduct would not be </w:t>
      </w:r>
      <w:r w:rsidR="004062E7">
        <w:t>tolerated</w:t>
      </w:r>
      <w:r w:rsidR="00EE7495">
        <w:t xml:space="preserve"> </w:t>
      </w:r>
      <w:r w:rsidR="00207750">
        <w:t xml:space="preserve">by the court and therefore I have ordered that all the costs </w:t>
      </w:r>
      <w:r w:rsidR="009945FE">
        <w:rPr>
          <w:rFonts w:hint="eastAsia"/>
        </w:rPr>
        <w:t>waste</w:t>
      </w:r>
      <w:r w:rsidR="009945FE">
        <w:t xml:space="preserve">d </w:t>
      </w:r>
      <w:r w:rsidR="00207750">
        <w:t>by the plaintiff</w:t>
      </w:r>
      <w:r w:rsidR="00DA2A2E">
        <w:t xml:space="preserve"> from </w:t>
      </w:r>
      <w:r w:rsidR="004062E7">
        <w:t>Novem</w:t>
      </w:r>
      <w:r w:rsidR="00DA2A2E">
        <w:t>ber 2019 to July 2021</w:t>
      </w:r>
      <w:r w:rsidR="009945FE">
        <w:t xml:space="preserve"> as a result of the inaction and non-compliance</w:t>
      </w:r>
      <w:r w:rsidR="004062E7">
        <w:t xml:space="preserve"> to be borne by the defendant</w:t>
      </w:r>
      <w:r w:rsidR="00DA2A2E">
        <w:t xml:space="preserve">.  I further </w:t>
      </w:r>
      <w:r w:rsidR="00F00380">
        <w:t>direct</w:t>
      </w:r>
      <w:r w:rsidR="00DA2A2E">
        <w:t xml:space="preserve">ed the defendant </w:t>
      </w:r>
      <w:r w:rsidR="004062E7">
        <w:t xml:space="preserve">solicitors </w:t>
      </w:r>
      <w:r w:rsidR="00DA2A2E">
        <w:t xml:space="preserve">to show cause as to why they should not </w:t>
      </w:r>
      <w:r w:rsidR="005256DF">
        <w:t>b</w:t>
      </w:r>
      <w:r w:rsidR="00DA2A2E">
        <w:t xml:space="preserve">ear those costs </w:t>
      </w:r>
      <w:r w:rsidR="004062E7">
        <w:t>personally and on an indemnity basis</w:t>
      </w:r>
      <w:r w:rsidR="00DA2A2E">
        <w:t>.  The wasted costs will be</w:t>
      </w:r>
      <w:r w:rsidR="004062E7">
        <w:t xml:space="preserve"> </w:t>
      </w:r>
      <w:r w:rsidR="00DA2A2E">
        <w:t xml:space="preserve">summarily </w:t>
      </w:r>
      <w:r w:rsidR="004062E7">
        <w:t xml:space="preserve">assessed by this court on paper and to be paid forthwith. </w:t>
      </w:r>
    </w:p>
    <w:p w:rsidR="004062E7" w:rsidRDefault="004062E7" w:rsidP="003C5CA9"/>
    <w:p w:rsidR="006657CD" w:rsidRDefault="004062E7" w:rsidP="003570BE">
      <w:pPr>
        <w:pStyle w:val="ListParagraph"/>
        <w:numPr>
          <w:ilvl w:val="0"/>
          <w:numId w:val="14"/>
        </w:numPr>
        <w:spacing w:line="360" w:lineRule="auto"/>
        <w:ind w:left="0" w:firstLine="0"/>
        <w:jc w:val="both"/>
      </w:pPr>
      <w:r>
        <w:lastRenderedPageBreak/>
        <w:t xml:space="preserve">To prevent such </w:t>
      </w:r>
      <w:r w:rsidR="00F00380">
        <w:t>unacceptable</w:t>
      </w:r>
      <w:r w:rsidR="003C5CA9">
        <w:t xml:space="preserve"> conducts</w:t>
      </w:r>
      <w:r>
        <w:t xml:space="preserve"> </w:t>
      </w:r>
      <w:r w:rsidR="006657CD">
        <w:t xml:space="preserve">from happening in future, parties are now required to report any non-compliance of any orders </w:t>
      </w:r>
      <w:r w:rsidR="00F00380">
        <w:t xml:space="preserve">or directions </w:t>
      </w:r>
      <w:r w:rsidR="006657CD">
        <w:t xml:space="preserve">given by the PI masters at the </w:t>
      </w:r>
      <w:r w:rsidR="00F00380">
        <w:t>checklist review</w:t>
      </w:r>
      <w:r w:rsidR="006657CD">
        <w:t xml:space="preserve"> hearings </w:t>
      </w:r>
      <w:r w:rsidR="003C5CA9">
        <w:t>(whether they were by way of consent summons or ordered by the court)</w:t>
      </w:r>
      <w:r w:rsidR="009945FE">
        <w:t>,</w:t>
      </w:r>
      <w:r w:rsidR="003C5CA9">
        <w:t xml:space="preserve"> </w:t>
      </w:r>
      <w:r w:rsidR="009945FE">
        <w:t xml:space="preserve">usually </w:t>
      </w:r>
      <w:r w:rsidR="006657CD">
        <w:t>within 7 days after such event</w:t>
      </w:r>
      <w:r w:rsidR="00DA2A2E">
        <w:t>s</w:t>
      </w:r>
      <w:r w:rsidR="009945FE">
        <w:t>,</w:t>
      </w:r>
      <w:r w:rsidR="006657CD">
        <w:t xml:space="preserve"> with detailed reasons or explanations.  This would include failures on the part of their opponent in responding to their correspondence.</w:t>
      </w:r>
      <w:r w:rsidR="006F0926">
        <w:t xml:space="preserve">  Failing to do so may lead to appropriate sanctions </w:t>
      </w:r>
      <w:r w:rsidR="003C5CA9">
        <w:t xml:space="preserve">against the offending party </w:t>
      </w:r>
      <w:r w:rsidR="006F0926">
        <w:t>from the court.</w:t>
      </w:r>
      <w:r w:rsidR="006657CD">
        <w:t xml:space="preserve">  </w:t>
      </w:r>
    </w:p>
    <w:p w:rsidR="006657CD" w:rsidRDefault="006657CD" w:rsidP="006657CD">
      <w:pPr>
        <w:pStyle w:val="ListParagraph"/>
      </w:pPr>
    </w:p>
    <w:p w:rsidR="006657CD" w:rsidRDefault="006F0926" w:rsidP="003570BE">
      <w:pPr>
        <w:pStyle w:val="ListParagraph"/>
        <w:numPr>
          <w:ilvl w:val="0"/>
          <w:numId w:val="14"/>
        </w:numPr>
        <w:spacing w:line="360" w:lineRule="auto"/>
        <w:ind w:left="0" w:firstLine="0"/>
        <w:jc w:val="both"/>
      </w:pPr>
      <w:r>
        <w:t>Further, a</w:t>
      </w:r>
      <w:r w:rsidR="006657CD">
        <w:t>ny delay caused by the failure to respond to the request</w:t>
      </w:r>
      <w:r w:rsidR="00DA2A2E">
        <w:t>s/reminders</w:t>
      </w:r>
      <w:r w:rsidR="006657CD">
        <w:t xml:space="preserve"> </w:t>
      </w:r>
      <w:r w:rsidR="00DA2A2E">
        <w:t xml:space="preserve">from the opponent and/or inaction on the part of a solicitor </w:t>
      </w:r>
      <w:r w:rsidR="006657CD">
        <w:t xml:space="preserve">to comply with the agreed directions and/or order </w:t>
      </w:r>
      <w:r w:rsidR="003C5CA9">
        <w:t xml:space="preserve">of the court </w:t>
      </w:r>
      <w:r w:rsidR="00DA2A2E">
        <w:t>may</w:t>
      </w:r>
      <w:r w:rsidR="006657CD">
        <w:t xml:space="preserve"> be met with a costs order to be personally borne by the solicitor responsible</w:t>
      </w:r>
      <w:r w:rsidR="000A36F3">
        <w:t xml:space="preserve"> on an indemnity basis and to be paid forthwith</w:t>
      </w:r>
      <w:r w:rsidR="006657CD">
        <w:t xml:space="preserve">.  </w:t>
      </w:r>
    </w:p>
    <w:p w:rsidR="000A353E" w:rsidRDefault="006657CD" w:rsidP="006657CD">
      <w:pPr>
        <w:spacing w:line="360" w:lineRule="auto"/>
        <w:jc w:val="both"/>
      </w:pPr>
      <w:r>
        <w:t xml:space="preserve">       </w:t>
      </w:r>
    </w:p>
    <w:p w:rsidR="0070787A" w:rsidRDefault="0070787A" w:rsidP="0070787A">
      <w:pPr>
        <w:pStyle w:val="ListParagraph"/>
        <w:spacing w:line="360" w:lineRule="auto"/>
        <w:ind w:left="0"/>
        <w:jc w:val="both"/>
      </w:pPr>
    </w:p>
    <w:p w:rsidR="0070773B" w:rsidRPr="00947A6A" w:rsidRDefault="0070773B" w:rsidP="0070773B">
      <w:pPr>
        <w:tabs>
          <w:tab w:val="clear" w:pos="4320"/>
          <w:tab w:val="clear" w:pos="9072"/>
        </w:tabs>
        <w:spacing w:line="360" w:lineRule="auto"/>
        <w:ind w:right="-720"/>
        <w:jc w:val="both"/>
        <w:rPr>
          <w:szCs w:val="28"/>
        </w:rPr>
      </w:pPr>
    </w:p>
    <w:p w:rsidR="0070773B" w:rsidRPr="00947A6A" w:rsidRDefault="0070773B" w:rsidP="0070773B">
      <w:pPr>
        <w:tabs>
          <w:tab w:val="clear" w:pos="4320"/>
          <w:tab w:val="clear" w:pos="9072"/>
          <w:tab w:val="center" w:pos="6480"/>
        </w:tabs>
        <w:ind w:right="-720"/>
        <w:jc w:val="both"/>
        <w:rPr>
          <w:iCs/>
          <w:szCs w:val="28"/>
        </w:rPr>
      </w:pPr>
      <w:r w:rsidRPr="00947A6A">
        <w:rPr>
          <w:iCs/>
          <w:szCs w:val="28"/>
        </w:rPr>
        <w:tab/>
      </w:r>
      <w:r w:rsidRPr="00947A6A">
        <w:rPr>
          <w:iCs/>
          <w:szCs w:val="28"/>
        </w:rPr>
        <w:tab/>
      </w:r>
      <w:proofErr w:type="gramStart"/>
      <w:r w:rsidRPr="00947A6A">
        <w:rPr>
          <w:iCs/>
          <w:szCs w:val="28"/>
        </w:rPr>
        <w:t>( Andrew</w:t>
      </w:r>
      <w:proofErr w:type="gramEnd"/>
      <w:r w:rsidRPr="00947A6A">
        <w:rPr>
          <w:iCs/>
          <w:szCs w:val="28"/>
        </w:rPr>
        <w:t xml:space="preserve"> SY Li )</w:t>
      </w:r>
    </w:p>
    <w:p w:rsidR="0070773B" w:rsidRPr="00947A6A" w:rsidRDefault="0070773B" w:rsidP="0070773B">
      <w:pPr>
        <w:tabs>
          <w:tab w:val="clear" w:pos="4320"/>
          <w:tab w:val="clear" w:pos="9072"/>
          <w:tab w:val="center" w:pos="6480"/>
        </w:tabs>
        <w:ind w:right="-720"/>
        <w:jc w:val="both"/>
        <w:rPr>
          <w:szCs w:val="28"/>
          <w:lang w:eastAsia="zh-HK"/>
        </w:rPr>
      </w:pPr>
      <w:r w:rsidRPr="00947A6A">
        <w:rPr>
          <w:iCs/>
          <w:szCs w:val="28"/>
        </w:rPr>
        <w:tab/>
      </w:r>
      <w:r w:rsidRPr="00947A6A">
        <w:rPr>
          <w:iCs/>
          <w:szCs w:val="28"/>
        </w:rPr>
        <w:tab/>
        <w:t>District Judge</w:t>
      </w:r>
    </w:p>
    <w:p w:rsidR="0070773B" w:rsidRPr="00947A6A" w:rsidRDefault="0070773B" w:rsidP="0070773B">
      <w:pPr>
        <w:ind w:right="-720"/>
        <w:rPr>
          <w:szCs w:val="28"/>
          <w:lang w:val="en-GB"/>
        </w:rPr>
      </w:pPr>
    </w:p>
    <w:p w:rsidR="0070773B" w:rsidRPr="00947A6A" w:rsidRDefault="0070773B" w:rsidP="0070773B">
      <w:pPr>
        <w:ind w:right="-720"/>
        <w:rPr>
          <w:szCs w:val="28"/>
          <w:lang w:val="en-GB"/>
        </w:rPr>
      </w:pPr>
    </w:p>
    <w:p w:rsidR="0070773B" w:rsidRPr="00947A6A" w:rsidRDefault="0070773B" w:rsidP="0070773B">
      <w:pPr>
        <w:ind w:right="-720"/>
        <w:rPr>
          <w:szCs w:val="28"/>
          <w:lang w:val="en-GB"/>
        </w:rPr>
      </w:pPr>
      <w:r>
        <w:rPr>
          <w:szCs w:val="28"/>
          <w:lang w:val="en-GB"/>
        </w:rPr>
        <w:t>Miss Lai Wing Yan Winnie of</w:t>
      </w:r>
      <w:r w:rsidRPr="00947A6A">
        <w:rPr>
          <w:szCs w:val="28"/>
          <w:lang w:val="en-GB"/>
        </w:rPr>
        <w:t xml:space="preserve"> </w:t>
      </w:r>
      <w:r w:rsidRPr="00A03A4D">
        <w:rPr>
          <w:szCs w:val="28"/>
          <w:lang w:val="en-GB"/>
        </w:rPr>
        <w:t>Chan &amp; Chan</w:t>
      </w:r>
      <w:r w:rsidRPr="00947A6A">
        <w:rPr>
          <w:szCs w:val="28"/>
          <w:lang w:val="en-GB"/>
        </w:rPr>
        <w:t xml:space="preserve">, </w:t>
      </w:r>
      <w:r>
        <w:rPr>
          <w:szCs w:val="28"/>
          <w:lang w:val="en-GB"/>
        </w:rPr>
        <w:t>assigned by the Director of Legal Aid</w:t>
      </w:r>
      <w:r w:rsidR="00EE7495">
        <w:rPr>
          <w:szCs w:val="28"/>
          <w:lang w:val="en-GB"/>
        </w:rPr>
        <w:t xml:space="preserve">, for the plaintiff </w:t>
      </w:r>
    </w:p>
    <w:p w:rsidR="0070773B" w:rsidRPr="00947A6A" w:rsidRDefault="0070773B" w:rsidP="0070773B">
      <w:pPr>
        <w:ind w:right="-720"/>
        <w:rPr>
          <w:szCs w:val="28"/>
          <w:lang w:val="en-GB"/>
        </w:rPr>
      </w:pPr>
    </w:p>
    <w:p w:rsidR="0070773B" w:rsidRPr="00947A6A" w:rsidRDefault="0070773B" w:rsidP="0070773B">
      <w:pPr>
        <w:ind w:right="-720"/>
        <w:rPr>
          <w:szCs w:val="28"/>
          <w:lang w:val="en-GB"/>
        </w:rPr>
      </w:pPr>
      <w:r w:rsidRPr="00947A6A">
        <w:rPr>
          <w:szCs w:val="28"/>
          <w:lang w:val="en-GB"/>
        </w:rPr>
        <w:t xml:space="preserve">Mr </w:t>
      </w:r>
      <w:r>
        <w:rPr>
          <w:szCs w:val="28"/>
          <w:lang w:val="en-GB"/>
        </w:rPr>
        <w:t xml:space="preserve">Ringo </w:t>
      </w:r>
      <w:proofErr w:type="spellStart"/>
      <w:r>
        <w:rPr>
          <w:szCs w:val="28"/>
          <w:lang w:val="en-GB"/>
        </w:rPr>
        <w:t>Kwong</w:t>
      </w:r>
      <w:proofErr w:type="spellEnd"/>
      <w:r>
        <w:rPr>
          <w:szCs w:val="28"/>
          <w:lang w:val="en-GB"/>
        </w:rPr>
        <w:t xml:space="preserve"> of Cheng, Yeung &amp; Co</w:t>
      </w:r>
      <w:r w:rsidRPr="00947A6A">
        <w:rPr>
          <w:szCs w:val="28"/>
          <w:lang w:val="en-GB"/>
        </w:rPr>
        <w:t>, for the defendant</w:t>
      </w:r>
    </w:p>
    <w:p w:rsidR="0070773B" w:rsidRPr="00947A6A" w:rsidRDefault="0070773B" w:rsidP="0070773B">
      <w:pPr>
        <w:ind w:right="-720"/>
        <w:rPr>
          <w:szCs w:val="28"/>
          <w:lang w:val="en-GB"/>
        </w:rPr>
      </w:pPr>
    </w:p>
    <w:p w:rsidR="0070773B" w:rsidRPr="00947A6A" w:rsidRDefault="0070773B" w:rsidP="0070773B">
      <w:pPr>
        <w:ind w:right="-720"/>
        <w:rPr>
          <w:szCs w:val="28"/>
          <w:lang w:val="en-GB"/>
        </w:rPr>
      </w:pPr>
    </w:p>
    <w:sectPr w:rsidR="0070773B" w:rsidRPr="00947A6A"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105" w:rsidRDefault="00412105">
      <w:r>
        <w:separator/>
      </w:r>
    </w:p>
  </w:endnote>
  <w:endnote w:type="continuationSeparator" w:id="0">
    <w:p w:rsidR="00412105" w:rsidRDefault="00412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10601000101010101"/>
    <w:charset w:val="88"/>
    <w:family w:val="roman"/>
    <w:pitch w:val="variable"/>
    <w:sig w:usb0="00000003"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60" w:rsidRDefault="00C439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43960" w:rsidRDefault="00C439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60" w:rsidRDefault="00C43960">
    <w:pPr>
      <w:pStyle w:val="Footer"/>
      <w:framePr w:wrap="around" w:vAnchor="text" w:hAnchor="margin" w:xAlign="right" w:y="1"/>
      <w:rPr>
        <w:rStyle w:val="PageNumber"/>
      </w:rPr>
    </w:pPr>
  </w:p>
  <w:p w:rsidR="00C43960" w:rsidRDefault="00C439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105" w:rsidRDefault="00412105">
      <w:r>
        <w:separator/>
      </w:r>
    </w:p>
  </w:footnote>
  <w:footnote w:type="continuationSeparator" w:id="0">
    <w:p w:rsidR="00412105" w:rsidRDefault="00412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60" w:rsidRDefault="00C43960">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3960" w:rsidRDefault="00C43960">
                          <w:pPr>
                            <w:rPr>
                              <w:b/>
                              <w:sz w:val="20"/>
                            </w:rPr>
                          </w:pPr>
                          <w:r>
                            <w:rPr>
                              <w:rFonts w:hint="eastAsia"/>
                              <w:b/>
                              <w:sz w:val="20"/>
                            </w:rPr>
                            <w:t>A</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20"/>
                            </w:rPr>
                          </w:pPr>
                          <w:r>
                            <w:rPr>
                              <w:rFonts w:hint="eastAsia"/>
                              <w:b/>
                              <w:sz w:val="20"/>
                            </w:rPr>
                            <w:t>B</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C</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pStyle w:val="Heading2"/>
                            <w:rPr>
                              <w:sz w:val="16"/>
                            </w:rPr>
                          </w:pPr>
                          <w:r>
                            <w:rPr>
                              <w:rFonts w:hint="eastAsia"/>
                            </w:rPr>
                            <w:t>D</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E</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20"/>
                            </w:rPr>
                          </w:pPr>
                          <w:r>
                            <w:rPr>
                              <w:rFonts w:hint="eastAsia"/>
                              <w:b/>
                              <w:sz w:val="20"/>
                            </w:rPr>
                            <w:t>F</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G</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H</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I</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J</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K</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L</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M</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N</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O</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P</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Q</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R</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S</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T</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U</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C43960" w:rsidRDefault="00C43960">
                    <w:pPr>
                      <w:rPr>
                        <w:b/>
                        <w:sz w:val="20"/>
                      </w:rPr>
                    </w:pPr>
                    <w:r>
                      <w:rPr>
                        <w:rFonts w:hint="eastAsia"/>
                        <w:b/>
                        <w:sz w:val="20"/>
                      </w:rPr>
                      <w:t>A</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20"/>
                      </w:rPr>
                    </w:pPr>
                    <w:r>
                      <w:rPr>
                        <w:rFonts w:hint="eastAsia"/>
                        <w:b/>
                        <w:sz w:val="20"/>
                      </w:rPr>
                      <w:t>B</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C</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pStyle w:val="Heading2"/>
                      <w:rPr>
                        <w:sz w:val="16"/>
                      </w:rPr>
                    </w:pPr>
                    <w:r>
                      <w:rPr>
                        <w:rFonts w:hint="eastAsia"/>
                      </w:rPr>
                      <w:t>D</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E</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20"/>
                      </w:rPr>
                    </w:pPr>
                    <w:r>
                      <w:rPr>
                        <w:rFonts w:hint="eastAsia"/>
                        <w:b/>
                        <w:sz w:val="20"/>
                      </w:rPr>
                      <w:t>F</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G</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H</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I</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J</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K</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L</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M</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N</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O</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P</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Q</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R</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S</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T</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U</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3960" w:rsidRDefault="00C43960">
                          <w:pPr>
                            <w:rPr>
                              <w:b/>
                              <w:sz w:val="20"/>
                            </w:rPr>
                          </w:pPr>
                          <w:r>
                            <w:rPr>
                              <w:rFonts w:hint="eastAsia"/>
                              <w:b/>
                              <w:sz w:val="20"/>
                            </w:rPr>
                            <w:t>A</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20"/>
                            </w:rPr>
                          </w:pPr>
                          <w:r>
                            <w:rPr>
                              <w:rFonts w:hint="eastAsia"/>
                              <w:b/>
                              <w:sz w:val="20"/>
                            </w:rPr>
                            <w:t>B</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C</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pStyle w:val="Heading2"/>
                            <w:rPr>
                              <w:sz w:val="16"/>
                            </w:rPr>
                          </w:pPr>
                          <w:r>
                            <w:rPr>
                              <w:rFonts w:hint="eastAsia"/>
                            </w:rPr>
                            <w:t>D</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E</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20"/>
                            </w:rPr>
                          </w:pPr>
                          <w:r>
                            <w:rPr>
                              <w:rFonts w:hint="eastAsia"/>
                              <w:b/>
                              <w:sz w:val="20"/>
                            </w:rPr>
                            <w:t>F</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G</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H</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I</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J</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K</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L</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M</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N</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O</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P</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Q</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R</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S</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T</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U</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C43960" w:rsidRDefault="00C43960">
                    <w:pPr>
                      <w:rPr>
                        <w:b/>
                        <w:sz w:val="20"/>
                      </w:rPr>
                    </w:pPr>
                    <w:r>
                      <w:rPr>
                        <w:rFonts w:hint="eastAsia"/>
                        <w:b/>
                        <w:sz w:val="20"/>
                      </w:rPr>
                      <w:t>A</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20"/>
                      </w:rPr>
                    </w:pPr>
                    <w:r>
                      <w:rPr>
                        <w:rFonts w:hint="eastAsia"/>
                        <w:b/>
                        <w:sz w:val="20"/>
                      </w:rPr>
                      <w:t>B</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C</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pStyle w:val="Heading2"/>
                      <w:rPr>
                        <w:sz w:val="16"/>
                      </w:rPr>
                    </w:pPr>
                    <w:r>
                      <w:rPr>
                        <w:rFonts w:hint="eastAsia"/>
                      </w:rPr>
                      <w:t>D</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E</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20"/>
                      </w:rPr>
                    </w:pPr>
                    <w:r>
                      <w:rPr>
                        <w:rFonts w:hint="eastAsia"/>
                        <w:b/>
                        <w:sz w:val="20"/>
                      </w:rPr>
                      <w:t>F</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G</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H</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I</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J</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K</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L</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M</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N</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O</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P</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Q</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R</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S</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T</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U</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3960" w:rsidRPr="00782869" w:rsidRDefault="00C43960"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C43960" w:rsidRPr="00782869" w:rsidRDefault="00C43960"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60" w:rsidRDefault="00C43960">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3960" w:rsidRDefault="00C43960">
                          <w:pPr>
                            <w:rPr>
                              <w:b/>
                              <w:sz w:val="20"/>
                            </w:rPr>
                          </w:pPr>
                          <w:r>
                            <w:rPr>
                              <w:rFonts w:hint="eastAsia"/>
                              <w:b/>
                              <w:sz w:val="20"/>
                            </w:rPr>
                            <w:t>A</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20"/>
                            </w:rPr>
                          </w:pPr>
                          <w:r>
                            <w:rPr>
                              <w:rFonts w:hint="eastAsia"/>
                              <w:b/>
                              <w:sz w:val="20"/>
                            </w:rPr>
                            <w:t>B</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C</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pStyle w:val="Heading2"/>
                            <w:rPr>
                              <w:sz w:val="16"/>
                            </w:rPr>
                          </w:pPr>
                          <w:r>
                            <w:rPr>
                              <w:rFonts w:hint="eastAsia"/>
                            </w:rPr>
                            <w:t>D</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E</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20"/>
                            </w:rPr>
                          </w:pPr>
                          <w:r>
                            <w:rPr>
                              <w:rFonts w:hint="eastAsia"/>
                              <w:b/>
                              <w:sz w:val="20"/>
                            </w:rPr>
                            <w:t>F</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G</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H</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I</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J</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K</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L</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M</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N</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O</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P</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Q</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R</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S</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T</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U</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C43960" w:rsidRDefault="00C43960">
                    <w:pPr>
                      <w:rPr>
                        <w:b/>
                        <w:sz w:val="20"/>
                      </w:rPr>
                    </w:pPr>
                    <w:r>
                      <w:rPr>
                        <w:rFonts w:hint="eastAsia"/>
                        <w:b/>
                        <w:sz w:val="20"/>
                      </w:rPr>
                      <w:t>A</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20"/>
                      </w:rPr>
                    </w:pPr>
                    <w:r>
                      <w:rPr>
                        <w:rFonts w:hint="eastAsia"/>
                        <w:b/>
                        <w:sz w:val="20"/>
                      </w:rPr>
                      <w:t>B</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C</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pStyle w:val="Heading2"/>
                      <w:rPr>
                        <w:sz w:val="16"/>
                      </w:rPr>
                    </w:pPr>
                    <w:r>
                      <w:rPr>
                        <w:rFonts w:hint="eastAsia"/>
                      </w:rPr>
                      <w:t>D</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E</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20"/>
                      </w:rPr>
                    </w:pPr>
                    <w:r>
                      <w:rPr>
                        <w:rFonts w:hint="eastAsia"/>
                        <w:b/>
                        <w:sz w:val="20"/>
                      </w:rPr>
                      <w:t>F</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G</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H</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I</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J</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K</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L</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M</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N</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O</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P</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Q</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R</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S</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T</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U</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943FFE">
      <w:rPr>
        <w:rStyle w:val="PageNumber"/>
        <w:noProof/>
        <w:sz w:val="28"/>
      </w:rPr>
      <w:t>15</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3960" w:rsidRDefault="00C43960">
                          <w:pPr>
                            <w:rPr>
                              <w:b/>
                              <w:sz w:val="20"/>
                            </w:rPr>
                          </w:pPr>
                          <w:r>
                            <w:rPr>
                              <w:rFonts w:hint="eastAsia"/>
                              <w:b/>
                              <w:sz w:val="20"/>
                            </w:rPr>
                            <w:t>A</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20"/>
                            </w:rPr>
                          </w:pPr>
                          <w:r>
                            <w:rPr>
                              <w:rFonts w:hint="eastAsia"/>
                              <w:b/>
                              <w:sz w:val="20"/>
                            </w:rPr>
                            <w:t>B</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C</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pStyle w:val="Heading2"/>
                            <w:rPr>
                              <w:sz w:val="16"/>
                            </w:rPr>
                          </w:pPr>
                          <w:r>
                            <w:rPr>
                              <w:rFonts w:hint="eastAsia"/>
                            </w:rPr>
                            <w:t>D</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E</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20"/>
                            </w:rPr>
                          </w:pPr>
                          <w:r>
                            <w:rPr>
                              <w:rFonts w:hint="eastAsia"/>
                              <w:b/>
                              <w:sz w:val="20"/>
                            </w:rPr>
                            <w:t>F</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G</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H</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I</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J</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K</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L</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M</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N</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O</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P</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Q</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R</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S</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T</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U</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C43960" w:rsidRDefault="00C43960">
                    <w:pPr>
                      <w:rPr>
                        <w:b/>
                        <w:sz w:val="20"/>
                      </w:rPr>
                    </w:pPr>
                    <w:r>
                      <w:rPr>
                        <w:rFonts w:hint="eastAsia"/>
                        <w:b/>
                        <w:sz w:val="20"/>
                      </w:rPr>
                      <w:t>A</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20"/>
                      </w:rPr>
                    </w:pPr>
                    <w:r>
                      <w:rPr>
                        <w:rFonts w:hint="eastAsia"/>
                        <w:b/>
                        <w:sz w:val="20"/>
                      </w:rPr>
                      <w:t>B</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C</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pStyle w:val="Heading2"/>
                      <w:rPr>
                        <w:sz w:val="16"/>
                      </w:rPr>
                    </w:pPr>
                    <w:r>
                      <w:rPr>
                        <w:rFonts w:hint="eastAsia"/>
                      </w:rPr>
                      <w:t>D</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E</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20"/>
                      </w:rPr>
                    </w:pPr>
                    <w:r>
                      <w:rPr>
                        <w:rFonts w:hint="eastAsia"/>
                        <w:b/>
                        <w:sz w:val="20"/>
                      </w:rPr>
                      <w:t>F</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G</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H</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I</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J</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K</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L</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M</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N</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O</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P</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Q</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R</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S</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T</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rPr>
                        <w:b/>
                        <w:sz w:val="16"/>
                      </w:rPr>
                    </w:pPr>
                    <w:r>
                      <w:rPr>
                        <w:rFonts w:hint="eastAsia"/>
                        <w:b/>
                        <w:sz w:val="20"/>
                      </w:rPr>
                      <w:t>U</w:t>
                    </w:r>
                  </w:p>
                  <w:p w:rsidR="00C43960" w:rsidRDefault="00C43960">
                    <w:pPr>
                      <w:rPr>
                        <w:b/>
                        <w:sz w:val="10"/>
                      </w:rPr>
                    </w:pPr>
                  </w:p>
                  <w:p w:rsidR="00C43960" w:rsidRDefault="00C43960">
                    <w:pPr>
                      <w:rPr>
                        <w:b/>
                        <w:sz w:val="16"/>
                      </w:rPr>
                    </w:pPr>
                  </w:p>
                  <w:p w:rsidR="00C43960" w:rsidRDefault="00C43960">
                    <w:pPr>
                      <w:rPr>
                        <w:b/>
                        <w:sz w:val="16"/>
                      </w:rPr>
                    </w:pPr>
                  </w:p>
                  <w:p w:rsidR="00C43960" w:rsidRDefault="00C43960">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3960" w:rsidRDefault="00C43960">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C43960" w:rsidRDefault="00C43960">
                    <w:pPr>
                      <w:rPr>
                        <w:rFonts w:eastAsia="黑体"/>
                        <w:b/>
                        <w:sz w:val="18"/>
                      </w:rPr>
                    </w:pPr>
                  </w:p>
                </w:txbxContent>
              </v:textbox>
            </v:shape>
          </w:pict>
        </mc:Fallback>
      </mc:AlternateContent>
    </w:r>
  </w:p>
  <w:p w:rsidR="00C43960" w:rsidRDefault="00C4396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66FEF"/>
    <w:multiLevelType w:val="hybridMultilevel"/>
    <w:tmpl w:val="C302C4AE"/>
    <w:lvl w:ilvl="0" w:tplc="189A379E">
      <w:start w:val="1"/>
      <w:numFmt w:val="decimal"/>
      <w:lvlText w:val="(%1)"/>
      <w:lvlJc w:val="left"/>
      <w:pPr>
        <w:ind w:left="2160" w:hanging="360"/>
      </w:pPr>
      <w:rPr>
        <w:rFonts w:hint="eastAsia"/>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43604E4"/>
    <w:multiLevelType w:val="hybridMultilevel"/>
    <w:tmpl w:val="FF5C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57AEA"/>
    <w:multiLevelType w:val="hybridMultilevel"/>
    <w:tmpl w:val="838CFE6C"/>
    <w:lvl w:ilvl="0" w:tplc="15DE48A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082A93"/>
    <w:multiLevelType w:val="hybridMultilevel"/>
    <w:tmpl w:val="5F4099F4"/>
    <w:lvl w:ilvl="0" w:tplc="A6F6A44C">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62469AB"/>
    <w:multiLevelType w:val="singleLevel"/>
    <w:tmpl w:val="0F8E1914"/>
    <w:lvl w:ilvl="0">
      <w:start w:val="1"/>
      <w:numFmt w:val="decimal"/>
      <w:pStyle w:val="Para-heading"/>
      <w:lvlText w:val="%1."/>
      <w:lvlJc w:val="left"/>
      <w:pPr>
        <w:tabs>
          <w:tab w:val="num" w:pos="360"/>
        </w:tabs>
        <w:ind w:left="0" w:firstLine="0"/>
      </w:pPr>
      <w:rPr>
        <w:rFonts w:hint="eastAsia"/>
      </w:rPr>
    </w:lvl>
  </w:abstractNum>
  <w:abstractNum w:abstractNumId="5" w15:restartNumberingAfterBreak="0">
    <w:nsid w:val="268A3593"/>
    <w:multiLevelType w:val="hybridMultilevel"/>
    <w:tmpl w:val="0436D424"/>
    <w:lvl w:ilvl="0" w:tplc="FA52D1AA">
      <w:start w:val="20"/>
      <w:numFmt w:val="decimal"/>
      <w:lvlText w:val="%1."/>
      <w:lvlJc w:val="left"/>
      <w:pPr>
        <w:ind w:left="8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8F48B38">
      <w:start w:val="1"/>
      <w:numFmt w:val="lowerLetter"/>
      <w:lvlText w:val="%2"/>
      <w:lvlJc w:val="left"/>
      <w:pPr>
        <w:ind w:left="10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F3CAF2E">
      <w:start w:val="1"/>
      <w:numFmt w:val="lowerRoman"/>
      <w:lvlText w:val="%3"/>
      <w:lvlJc w:val="left"/>
      <w:pPr>
        <w:ind w:left="18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4E24152">
      <w:start w:val="1"/>
      <w:numFmt w:val="decimal"/>
      <w:lvlText w:val="%4"/>
      <w:lvlJc w:val="left"/>
      <w:pPr>
        <w:ind w:left="25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22CCFFA">
      <w:start w:val="1"/>
      <w:numFmt w:val="lowerLetter"/>
      <w:lvlText w:val="%5"/>
      <w:lvlJc w:val="left"/>
      <w:pPr>
        <w:ind w:left="32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E729FFE">
      <w:start w:val="1"/>
      <w:numFmt w:val="lowerRoman"/>
      <w:lvlText w:val="%6"/>
      <w:lvlJc w:val="left"/>
      <w:pPr>
        <w:ind w:left="39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EE01E04">
      <w:start w:val="1"/>
      <w:numFmt w:val="decimal"/>
      <w:lvlText w:val="%7"/>
      <w:lvlJc w:val="left"/>
      <w:pPr>
        <w:ind w:left="46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D54BEBC">
      <w:start w:val="1"/>
      <w:numFmt w:val="lowerLetter"/>
      <w:lvlText w:val="%8"/>
      <w:lvlJc w:val="left"/>
      <w:pPr>
        <w:ind w:left="54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67028BA">
      <w:start w:val="1"/>
      <w:numFmt w:val="lowerRoman"/>
      <w:lvlText w:val="%9"/>
      <w:lvlJc w:val="left"/>
      <w:pPr>
        <w:ind w:left="61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26DB58D6"/>
    <w:multiLevelType w:val="hybridMultilevel"/>
    <w:tmpl w:val="0504B6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A6BA9"/>
    <w:multiLevelType w:val="hybridMultilevel"/>
    <w:tmpl w:val="3696705A"/>
    <w:lvl w:ilvl="0" w:tplc="B8CAA250">
      <w:start w:val="1"/>
      <w:numFmt w:val="decimal"/>
      <w:lvlText w:val="%1."/>
      <w:lvlJc w:val="left"/>
      <w:pPr>
        <w:ind w:left="720" w:hanging="360"/>
      </w:pPr>
      <w:rPr>
        <w:rFonts w:hint="eastAsia"/>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F443F"/>
    <w:multiLevelType w:val="hybridMultilevel"/>
    <w:tmpl w:val="389293E2"/>
    <w:lvl w:ilvl="0" w:tplc="658E5256">
      <w:start w:val="1"/>
      <w:numFmt w:val="decimal"/>
      <w:pStyle w:val="para"/>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71B2A7C"/>
    <w:multiLevelType w:val="hybridMultilevel"/>
    <w:tmpl w:val="3B4892F8"/>
    <w:lvl w:ilvl="0" w:tplc="189A379E">
      <w:start w:val="1"/>
      <w:numFmt w:val="decimal"/>
      <w:lvlText w:val="(%1)"/>
      <w:lvlJc w:val="left"/>
      <w:pPr>
        <w:ind w:left="720" w:hanging="360"/>
      </w:pPr>
      <w:rPr>
        <w:rFonts w:hint="eastAsia"/>
        <w:b w:val="0"/>
        <w:i w:val="0"/>
        <w:sz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CA1628"/>
    <w:multiLevelType w:val="hybridMultilevel"/>
    <w:tmpl w:val="6798ADDE"/>
    <w:lvl w:ilvl="0" w:tplc="B82E2FAC">
      <w:start w:val="11"/>
      <w:numFmt w:val="decimal"/>
      <w:lvlText w:val="%1."/>
      <w:lvlJc w:val="left"/>
      <w:pPr>
        <w:ind w:left="7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208ACAA">
      <w:start w:val="1"/>
      <w:numFmt w:val="lowerLetter"/>
      <w:lvlText w:val="%2"/>
      <w:lvlJc w:val="left"/>
      <w:pPr>
        <w:ind w:left="11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5305DEE">
      <w:start w:val="1"/>
      <w:numFmt w:val="lowerRoman"/>
      <w:lvlText w:val="%3"/>
      <w:lvlJc w:val="left"/>
      <w:pPr>
        <w:ind w:left="18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BE2DA5E">
      <w:start w:val="1"/>
      <w:numFmt w:val="decimal"/>
      <w:lvlText w:val="%4"/>
      <w:lvlJc w:val="left"/>
      <w:pPr>
        <w:ind w:left="25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334DD7C">
      <w:start w:val="1"/>
      <w:numFmt w:val="lowerLetter"/>
      <w:lvlText w:val="%5"/>
      <w:lvlJc w:val="left"/>
      <w:pPr>
        <w:ind w:left="32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218E252">
      <w:start w:val="1"/>
      <w:numFmt w:val="lowerRoman"/>
      <w:lvlText w:val="%6"/>
      <w:lvlJc w:val="left"/>
      <w:pPr>
        <w:ind w:left="398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9F20D00">
      <w:start w:val="1"/>
      <w:numFmt w:val="decimal"/>
      <w:lvlText w:val="%7"/>
      <w:lvlJc w:val="left"/>
      <w:pPr>
        <w:ind w:left="47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B26A3CE">
      <w:start w:val="1"/>
      <w:numFmt w:val="lowerLetter"/>
      <w:lvlText w:val="%8"/>
      <w:lvlJc w:val="left"/>
      <w:pPr>
        <w:ind w:left="5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5BC4CDE">
      <w:start w:val="1"/>
      <w:numFmt w:val="lowerRoman"/>
      <w:lvlText w:val="%9"/>
      <w:lvlJc w:val="left"/>
      <w:pPr>
        <w:ind w:left="61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 w15:restartNumberingAfterBreak="0">
    <w:nsid w:val="58057D45"/>
    <w:multiLevelType w:val="hybridMultilevel"/>
    <w:tmpl w:val="3ECA26D4"/>
    <w:lvl w:ilvl="0" w:tplc="609CBB36">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1E3A95"/>
    <w:multiLevelType w:val="hybridMultilevel"/>
    <w:tmpl w:val="368C0ADC"/>
    <w:lvl w:ilvl="0" w:tplc="112ABDC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C07BD6"/>
    <w:multiLevelType w:val="hybridMultilevel"/>
    <w:tmpl w:val="35E8729C"/>
    <w:lvl w:ilvl="0" w:tplc="60DC2BFA">
      <w:start w:val="36"/>
      <w:numFmt w:val="decimal"/>
      <w:lvlText w:val="%1."/>
      <w:lvlJc w:val="left"/>
      <w:pPr>
        <w:ind w:left="8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5EEAA94">
      <w:start w:val="1"/>
      <w:numFmt w:val="lowerLetter"/>
      <w:lvlText w:val="%2"/>
      <w:lvlJc w:val="left"/>
      <w:pPr>
        <w:ind w:left="11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9267AD0">
      <w:start w:val="1"/>
      <w:numFmt w:val="lowerRoman"/>
      <w:lvlText w:val="%3"/>
      <w:lvlJc w:val="left"/>
      <w:pPr>
        <w:ind w:left="19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99ECBBE">
      <w:start w:val="1"/>
      <w:numFmt w:val="decimal"/>
      <w:lvlText w:val="%4"/>
      <w:lvlJc w:val="left"/>
      <w:pPr>
        <w:ind w:left="26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4682884">
      <w:start w:val="1"/>
      <w:numFmt w:val="lowerLetter"/>
      <w:lvlText w:val="%5"/>
      <w:lvlJc w:val="left"/>
      <w:pPr>
        <w:ind w:left="33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3D8FD7E">
      <w:start w:val="1"/>
      <w:numFmt w:val="lowerRoman"/>
      <w:lvlText w:val="%6"/>
      <w:lvlJc w:val="left"/>
      <w:pPr>
        <w:ind w:left="40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574532E">
      <w:start w:val="1"/>
      <w:numFmt w:val="decimal"/>
      <w:lvlText w:val="%7"/>
      <w:lvlJc w:val="left"/>
      <w:pPr>
        <w:ind w:left="47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F1CC61C">
      <w:start w:val="1"/>
      <w:numFmt w:val="lowerLetter"/>
      <w:lvlText w:val="%8"/>
      <w:lvlJc w:val="left"/>
      <w:pPr>
        <w:ind w:left="55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CD272D4">
      <w:start w:val="1"/>
      <w:numFmt w:val="lowerRoman"/>
      <w:lvlText w:val="%9"/>
      <w:lvlJc w:val="left"/>
      <w:pPr>
        <w:ind w:left="62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abstractNumId w:val="4"/>
  </w:num>
  <w:num w:numId="2">
    <w:abstractNumId w:val="8"/>
  </w:num>
  <w:num w:numId="3">
    <w:abstractNumId w:val="7"/>
  </w:num>
  <w:num w:numId="4">
    <w:abstractNumId w:val="9"/>
  </w:num>
  <w:num w:numId="5">
    <w:abstractNumId w:val="10"/>
  </w:num>
  <w:num w:numId="6">
    <w:abstractNumId w:val="5"/>
  </w:num>
  <w:num w:numId="7">
    <w:abstractNumId w:val="13"/>
  </w:num>
  <w:num w:numId="8">
    <w:abstractNumId w:val="1"/>
  </w:num>
  <w:num w:numId="9">
    <w:abstractNumId w:val="11"/>
  </w:num>
  <w:num w:numId="10">
    <w:abstractNumId w:val="2"/>
  </w:num>
  <w:num w:numId="11">
    <w:abstractNumId w:val="0"/>
  </w:num>
  <w:num w:numId="12">
    <w:abstractNumId w:val="12"/>
  </w:num>
  <w:num w:numId="13">
    <w:abstractNumId w:val="3"/>
  </w:num>
  <w:num w:numId="1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5763"/>
    <w:rsid w:val="00006BBF"/>
    <w:rsid w:val="000107F3"/>
    <w:rsid w:val="000115C0"/>
    <w:rsid w:val="00013958"/>
    <w:rsid w:val="000162CF"/>
    <w:rsid w:val="00016AAA"/>
    <w:rsid w:val="00021295"/>
    <w:rsid w:val="0002672A"/>
    <w:rsid w:val="00026C99"/>
    <w:rsid w:val="000305E0"/>
    <w:rsid w:val="00033CA9"/>
    <w:rsid w:val="00033E26"/>
    <w:rsid w:val="00034A9B"/>
    <w:rsid w:val="0003519F"/>
    <w:rsid w:val="00036466"/>
    <w:rsid w:val="00036B3E"/>
    <w:rsid w:val="000375FD"/>
    <w:rsid w:val="0003779A"/>
    <w:rsid w:val="00041477"/>
    <w:rsid w:val="00042582"/>
    <w:rsid w:val="0004298B"/>
    <w:rsid w:val="00042E4A"/>
    <w:rsid w:val="00043894"/>
    <w:rsid w:val="00046B0C"/>
    <w:rsid w:val="0005080D"/>
    <w:rsid w:val="0005189B"/>
    <w:rsid w:val="00056F63"/>
    <w:rsid w:val="0006211F"/>
    <w:rsid w:val="00063B6D"/>
    <w:rsid w:val="0007264D"/>
    <w:rsid w:val="000757B7"/>
    <w:rsid w:val="00076217"/>
    <w:rsid w:val="00076C1B"/>
    <w:rsid w:val="00086909"/>
    <w:rsid w:val="000941F8"/>
    <w:rsid w:val="0009552F"/>
    <w:rsid w:val="00096AFC"/>
    <w:rsid w:val="00097AFD"/>
    <w:rsid w:val="000A189E"/>
    <w:rsid w:val="000A353E"/>
    <w:rsid w:val="000A36F3"/>
    <w:rsid w:val="000A4C70"/>
    <w:rsid w:val="000B262D"/>
    <w:rsid w:val="000C06EA"/>
    <w:rsid w:val="000D0596"/>
    <w:rsid w:val="000D11B0"/>
    <w:rsid w:val="000D14B3"/>
    <w:rsid w:val="000D5EFA"/>
    <w:rsid w:val="000D7535"/>
    <w:rsid w:val="000E5161"/>
    <w:rsid w:val="000E7696"/>
    <w:rsid w:val="000F101D"/>
    <w:rsid w:val="000F69C1"/>
    <w:rsid w:val="00103E7E"/>
    <w:rsid w:val="001050FF"/>
    <w:rsid w:val="0011138D"/>
    <w:rsid w:val="00117723"/>
    <w:rsid w:val="00127968"/>
    <w:rsid w:val="00132392"/>
    <w:rsid w:val="00135173"/>
    <w:rsid w:val="001357A4"/>
    <w:rsid w:val="00137F02"/>
    <w:rsid w:val="00141B02"/>
    <w:rsid w:val="00145B6A"/>
    <w:rsid w:val="00166FC5"/>
    <w:rsid w:val="001673ED"/>
    <w:rsid w:val="0017032B"/>
    <w:rsid w:val="00171D59"/>
    <w:rsid w:val="00172037"/>
    <w:rsid w:val="00175FC5"/>
    <w:rsid w:val="001763C1"/>
    <w:rsid w:val="0017795E"/>
    <w:rsid w:val="00180CC4"/>
    <w:rsid w:val="00182F62"/>
    <w:rsid w:val="00183AAF"/>
    <w:rsid w:val="0018729A"/>
    <w:rsid w:val="00193D13"/>
    <w:rsid w:val="00194689"/>
    <w:rsid w:val="00196A91"/>
    <w:rsid w:val="001A0A4F"/>
    <w:rsid w:val="001A58BE"/>
    <w:rsid w:val="001B13AB"/>
    <w:rsid w:val="001B54BD"/>
    <w:rsid w:val="001C0AA8"/>
    <w:rsid w:val="001C4629"/>
    <w:rsid w:val="001C4BEF"/>
    <w:rsid w:val="001D2378"/>
    <w:rsid w:val="001D3239"/>
    <w:rsid w:val="001D455F"/>
    <w:rsid w:val="001D7B95"/>
    <w:rsid w:val="001E07A2"/>
    <w:rsid w:val="001E5770"/>
    <w:rsid w:val="001F0DB9"/>
    <w:rsid w:val="001F5516"/>
    <w:rsid w:val="00200070"/>
    <w:rsid w:val="0020117E"/>
    <w:rsid w:val="00203083"/>
    <w:rsid w:val="00203D82"/>
    <w:rsid w:val="00207750"/>
    <w:rsid w:val="00211DCF"/>
    <w:rsid w:val="00212735"/>
    <w:rsid w:val="0021345D"/>
    <w:rsid w:val="002142E7"/>
    <w:rsid w:val="00217997"/>
    <w:rsid w:val="00220FA2"/>
    <w:rsid w:val="00221DAC"/>
    <w:rsid w:val="002225E2"/>
    <w:rsid w:val="00223BB1"/>
    <w:rsid w:val="00223DD7"/>
    <w:rsid w:val="00226A53"/>
    <w:rsid w:val="002272C4"/>
    <w:rsid w:val="00227A49"/>
    <w:rsid w:val="0023569D"/>
    <w:rsid w:val="00243E2D"/>
    <w:rsid w:val="0024419B"/>
    <w:rsid w:val="00245D70"/>
    <w:rsid w:val="0024736F"/>
    <w:rsid w:val="002519DA"/>
    <w:rsid w:val="0025689F"/>
    <w:rsid w:val="002570DE"/>
    <w:rsid w:val="002614F7"/>
    <w:rsid w:val="00264B28"/>
    <w:rsid w:val="00264B63"/>
    <w:rsid w:val="00265723"/>
    <w:rsid w:val="00266886"/>
    <w:rsid w:val="00266A94"/>
    <w:rsid w:val="0027494E"/>
    <w:rsid w:val="00275519"/>
    <w:rsid w:val="00276737"/>
    <w:rsid w:val="00277153"/>
    <w:rsid w:val="002848ED"/>
    <w:rsid w:val="00285E01"/>
    <w:rsid w:val="002866A4"/>
    <w:rsid w:val="00291231"/>
    <w:rsid w:val="00295D2D"/>
    <w:rsid w:val="002A44CB"/>
    <w:rsid w:val="002B0D71"/>
    <w:rsid w:val="002B2679"/>
    <w:rsid w:val="002B4359"/>
    <w:rsid w:val="002B5195"/>
    <w:rsid w:val="002B54AB"/>
    <w:rsid w:val="002C2C86"/>
    <w:rsid w:val="002C500C"/>
    <w:rsid w:val="002D6804"/>
    <w:rsid w:val="002D6F2F"/>
    <w:rsid w:val="002E044D"/>
    <w:rsid w:val="002E0D2E"/>
    <w:rsid w:val="002E3B99"/>
    <w:rsid w:val="002E44A3"/>
    <w:rsid w:val="002E44FF"/>
    <w:rsid w:val="002E4875"/>
    <w:rsid w:val="002E4EAE"/>
    <w:rsid w:val="002E5297"/>
    <w:rsid w:val="002E74E6"/>
    <w:rsid w:val="002F03F8"/>
    <w:rsid w:val="00300A9E"/>
    <w:rsid w:val="00301AB1"/>
    <w:rsid w:val="0030210D"/>
    <w:rsid w:val="0030302E"/>
    <w:rsid w:val="003049B0"/>
    <w:rsid w:val="00306388"/>
    <w:rsid w:val="00306D24"/>
    <w:rsid w:val="003079E0"/>
    <w:rsid w:val="00310711"/>
    <w:rsid w:val="00314529"/>
    <w:rsid w:val="003168B7"/>
    <w:rsid w:val="00320D36"/>
    <w:rsid w:val="0032385C"/>
    <w:rsid w:val="003304EA"/>
    <w:rsid w:val="00334963"/>
    <w:rsid w:val="00334AD4"/>
    <w:rsid w:val="00336372"/>
    <w:rsid w:val="003372A6"/>
    <w:rsid w:val="00337C1D"/>
    <w:rsid w:val="00343054"/>
    <w:rsid w:val="0034367A"/>
    <w:rsid w:val="00350906"/>
    <w:rsid w:val="003557EC"/>
    <w:rsid w:val="003570BE"/>
    <w:rsid w:val="00357ED2"/>
    <w:rsid w:val="00367485"/>
    <w:rsid w:val="003805CE"/>
    <w:rsid w:val="00380C16"/>
    <w:rsid w:val="00381F96"/>
    <w:rsid w:val="00382073"/>
    <w:rsid w:val="00383ED0"/>
    <w:rsid w:val="0038458C"/>
    <w:rsid w:val="00384F4A"/>
    <w:rsid w:val="0038513F"/>
    <w:rsid w:val="00386187"/>
    <w:rsid w:val="0038665C"/>
    <w:rsid w:val="00386679"/>
    <w:rsid w:val="00393063"/>
    <w:rsid w:val="00396207"/>
    <w:rsid w:val="003A077A"/>
    <w:rsid w:val="003A1178"/>
    <w:rsid w:val="003A2D3E"/>
    <w:rsid w:val="003A4757"/>
    <w:rsid w:val="003A77DC"/>
    <w:rsid w:val="003B0E0F"/>
    <w:rsid w:val="003B1033"/>
    <w:rsid w:val="003B159B"/>
    <w:rsid w:val="003B44D8"/>
    <w:rsid w:val="003C03C9"/>
    <w:rsid w:val="003C119A"/>
    <w:rsid w:val="003C4445"/>
    <w:rsid w:val="003C5CA9"/>
    <w:rsid w:val="003C656F"/>
    <w:rsid w:val="003C75D0"/>
    <w:rsid w:val="003D0654"/>
    <w:rsid w:val="003D08E7"/>
    <w:rsid w:val="003D3FA5"/>
    <w:rsid w:val="003D42F2"/>
    <w:rsid w:val="003D4343"/>
    <w:rsid w:val="003D46D5"/>
    <w:rsid w:val="003D7F2E"/>
    <w:rsid w:val="003E1AB7"/>
    <w:rsid w:val="003E266C"/>
    <w:rsid w:val="003E46D3"/>
    <w:rsid w:val="003E6A6F"/>
    <w:rsid w:val="003E7AF4"/>
    <w:rsid w:val="003F1FFB"/>
    <w:rsid w:val="004062E7"/>
    <w:rsid w:val="004105C3"/>
    <w:rsid w:val="00412105"/>
    <w:rsid w:val="00412AE2"/>
    <w:rsid w:val="004162F1"/>
    <w:rsid w:val="00416684"/>
    <w:rsid w:val="00420E8E"/>
    <w:rsid w:val="0042260D"/>
    <w:rsid w:val="00423F6C"/>
    <w:rsid w:val="00427824"/>
    <w:rsid w:val="00430695"/>
    <w:rsid w:val="00430CF6"/>
    <w:rsid w:val="00437467"/>
    <w:rsid w:val="004534E7"/>
    <w:rsid w:val="00453BB4"/>
    <w:rsid w:val="004543D6"/>
    <w:rsid w:val="00454532"/>
    <w:rsid w:val="00463C22"/>
    <w:rsid w:val="00466D23"/>
    <w:rsid w:val="00473521"/>
    <w:rsid w:val="00474A7B"/>
    <w:rsid w:val="00475AA0"/>
    <w:rsid w:val="00477AF3"/>
    <w:rsid w:val="00481C15"/>
    <w:rsid w:val="004845FA"/>
    <w:rsid w:val="00484629"/>
    <w:rsid w:val="00486F5D"/>
    <w:rsid w:val="00487540"/>
    <w:rsid w:val="00491E14"/>
    <w:rsid w:val="004945FD"/>
    <w:rsid w:val="0049505E"/>
    <w:rsid w:val="004974B7"/>
    <w:rsid w:val="004A454E"/>
    <w:rsid w:val="004A4C89"/>
    <w:rsid w:val="004A6E09"/>
    <w:rsid w:val="004A6FAD"/>
    <w:rsid w:val="004A7F0A"/>
    <w:rsid w:val="004B5413"/>
    <w:rsid w:val="004B6F5B"/>
    <w:rsid w:val="004C0715"/>
    <w:rsid w:val="004C438C"/>
    <w:rsid w:val="004D021A"/>
    <w:rsid w:val="004D0B36"/>
    <w:rsid w:val="004D3A0D"/>
    <w:rsid w:val="004D424D"/>
    <w:rsid w:val="004E5077"/>
    <w:rsid w:val="004F7853"/>
    <w:rsid w:val="005039B9"/>
    <w:rsid w:val="005063D8"/>
    <w:rsid w:val="00512680"/>
    <w:rsid w:val="00512DA1"/>
    <w:rsid w:val="005154AB"/>
    <w:rsid w:val="00516523"/>
    <w:rsid w:val="00516664"/>
    <w:rsid w:val="0051788F"/>
    <w:rsid w:val="005222CE"/>
    <w:rsid w:val="005254AF"/>
    <w:rsid w:val="005256DF"/>
    <w:rsid w:val="00526268"/>
    <w:rsid w:val="00533EE7"/>
    <w:rsid w:val="00534706"/>
    <w:rsid w:val="00534EE9"/>
    <w:rsid w:val="00540731"/>
    <w:rsid w:val="00546EE9"/>
    <w:rsid w:val="005470A4"/>
    <w:rsid w:val="00547D24"/>
    <w:rsid w:val="00550712"/>
    <w:rsid w:val="00550FEF"/>
    <w:rsid w:val="0055213F"/>
    <w:rsid w:val="0055707D"/>
    <w:rsid w:val="00560DB1"/>
    <w:rsid w:val="00562C59"/>
    <w:rsid w:val="00566BDB"/>
    <w:rsid w:val="005671C3"/>
    <w:rsid w:val="0057119B"/>
    <w:rsid w:val="005759BE"/>
    <w:rsid w:val="00576AFC"/>
    <w:rsid w:val="00580031"/>
    <w:rsid w:val="005806AC"/>
    <w:rsid w:val="00581703"/>
    <w:rsid w:val="00586425"/>
    <w:rsid w:val="00586EEA"/>
    <w:rsid w:val="00590080"/>
    <w:rsid w:val="005917E8"/>
    <w:rsid w:val="0059343B"/>
    <w:rsid w:val="005951C6"/>
    <w:rsid w:val="005A1700"/>
    <w:rsid w:val="005A3B2C"/>
    <w:rsid w:val="005A46C3"/>
    <w:rsid w:val="005A4ABE"/>
    <w:rsid w:val="005A4E54"/>
    <w:rsid w:val="005A5F18"/>
    <w:rsid w:val="005A6212"/>
    <w:rsid w:val="005B0253"/>
    <w:rsid w:val="005B1222"/>
    <w:rsid w:val="005B4081"/>
    <w:rsid w:val="005B4BCB"/>
    <w:rsid w:val="005B5EF1"/>
    <w:rsid w:val="005C0AEE"/>
    <w:rsid w:val="005C1958"/>
    <w:rsid w:val="005C4424"/>
    <w:rsid w:val="005C6274"/>
    <w:rsid w:val="005D3B85"/>
    <w:rsid w:val="005D6090"/>
    <w:rsid w:val="005D64A1"/>
    <w:rsid w:val="005E7AB0"/>
    <w:rsid w:val="005F6CE1"/>
    <w:rsid w:val="00600EDA"/>
    <w:rsid w:val="00601A6E"/>
    <w:rsid w:val="00603A55"/>
    <w:rsid w:val="0061346F"/>
    <w:rsid w:val="00620CF1"/>
    <w:rsid w:val="00622F0C"/>
    <w:rsid w:val="00623A7B"/>
    <w:rsid w:val="00626118"/>
    <w:rsid w:val="00626D68"/>
    <w:rsid w:val="006315F3"/>
    <w:rsid w:val="006318B6"/>
    <w:rsid w:val="00641219"/>
    <w:rsid w:val="006467E8"/>
    <w:rsid w:val="00646F65"/>
    <w:rsid w:val="00647B3F"/>
    <w:rsid w:val="006513AC"/>
    <w:rsid w:val="00651DB3"/>
    <w:rsid w:val="006550A4"/>
    <w:rsid w:val="00656233"/>
    <w:rsid w:val="0065747A"/>
    <w:rsid w:val="006620E2"/>
    <w:rsid w:val="00662407"/>
    <w:rsid w:val="006657CD"/>
    <w:rsid w:val="00666BF0"/>
    <w:rsid w:val="00670923"/>
    <w:rsid w:val="006709A1"/>
    <w:rsid w:val="006719A3"/>
    <w:rsid w:val="00671CC9"/>
    <w:rsid w:val="006724D1"/>
    <w:rsid w:val="006813EB"/>
    <w:rsid w:val="00681755"/>
    <w:rsid w:val="00684A7E"/>
    <w:rsid w:val="00685775"/>
    <w:rsid w:val="006917AD"/>
    <w:rsid w:val="0069190C"/>
    <w:rsid w:val="00692EA1"/>
    <w:rsid w:val="00694A05"/>
    <w:rsid w:val="00694FAF"/>
    <w:rsid w:val="006972E7"/>
    <w:rsid w:val="0069760B"/>
    <w:rsid w:val="006A73A6"/>
    <w:rsid w:val="006B04F9"/>
    <w:rsid w:val="006B139E"/>
    <w:rsid w:val="006B1A4B"/>
    <w:rsid w:val="006B1CD3"/>
    <w:rsid w:val="006B4C51"/>
    <w:rsid w:val="006B5AF6"/>
    <w:rsid w:val="006B65E1"/>
    <w:rsid w:val="006C561F"/>
    <w:rsid w:val="006D07E4"/>
    <w:rsid w:val="006D2487"/>
    <w:rsid w:val="006D5231"/>
    <w:rsid w:val="006D55D9"/>
    <w:rsid w:val="006D5EED"/>
    <w:rsid w:val="006D6BE0"/>
    <w:rsid w:val="006E23B9"/>
    <w:rsid w:val="006E279D"/>
    <w:rsid w:val="006E290B"/>
    <w:rsid w:val="006E39C1"/>
    <w:rsid w:val="006E3AF5"/>
    <w:rsid w:val="006F0926"/>
    <w:rsid w:val="00703841"/>
    <w:rsid w:val="00704D6F"/>
    <w:rsid w:val="00705942"/>
    <w:rsid w:val="00706840"/>
    <w:rsid w:val="0070773B"/>
    <w:rsid w:val="0070787A"/>
    <w:rsid w:val="0071154D"/>
    <w:rsid w:val="007121AE"/>
    <w:rsid w:val="0071681C"/>
    <w:rsid w:val="00720EEA"/>
    <w:rsid w:val="00722A44"/>
    <w:rsid w:val="0072440F"/>
    <w:rsid w:val="0072737D"/>
    <w:rsid w:val="00732F59"/>
    <w:rsid w:val="007359FE"/>
    <w:rsid w:val="00737F39"/>
    <w:rsid w:val="0074587A"/>
    <w:rsid w:val="00751068"/>
    <w:rsid w:val="00751CC6"/>
    <w:rsid w:val="00753548"/>
    <w:rsid w:val="00753815"/>
    <w:rsid w:val="0075530A"/>
    <w:rsid w:val="007603EA"/>
    <w:rsid w:val="00763B70"/>
    <w:rsid w:val="007659EE"/>
    <w:rsid w:val="00766A6B"/>
    <w:rsid w:val="00770A0E"/>
    <w:rsid w:val="00776192"/>
    <w:rsid w:val="007813BB"/>
    <w:rsid w:val="00782869"/>
    <w:rsid w:val="00785AAB"/>
    <w:rsid w:val="0078739A"/>
    <w:rsid w:val="0078792B"/>
    <w:rsid w:val="00790B13"/>
    <w:rsid w:val="00790D7D"/>
    <w:rsid w:val="007911FA"/>
    <w:rsid w:val="007914C8"/>
    <w:rsid w:val="00793A4A"/>
    <w:rsid w:val="00796320"/>
    <w:rsid w:val="007A03B2"/>
    <w:rsid w:val="007A2E8D"/>
    <w:rsid w:val="007A3B6B"/>
    <w:rsid w:val="007A61CD"/>
    <w:rsid w:val="007B2CB2"/>
    <w:rsid w:val="007C1D60"/>
    <w:rsid w:val="007C1E90"/>
    <w:rsid w:val="007C3D9E"/>
    <w:rsid w:val="007C44F3"/>
    <w:rsid w:val="007C4DBE"/>
    <w:rsid w:val="007D0DA8"/>
    <w:rsid w:val="007D24D1"/>
    <w:rsid w:val="007D5378"/>
    <w:rsid w:val="007D5BC0"/>
    <w:rsid w:val="007E6300"/>
    <w:rsid w:val="007E64DF"/>
    <w:rsid w:val="007F0FBF"/>
    <w:rsid w:val="007F76C7"/>
    <w:rsid w:val="007F7B0A"/>
    <w:rsid w:val="007F7C56"/>
    <w:rsid w:val="00800920"/>
    <w:rsid w:val="00802ED0"/>
    <w:rsid w:val="00806EB0"/>
    <w:rsid w:val="0080725D"/>
    <w:rsid w:val="00824994"/>
    <w:rsid w:val="00827E6E"/>
    <w:rsid w:val="008336A9"/>
    <w:rsid w:val="00833DE6"/>
    <w:rsid w:val="00834F78"/>
    <w:rsid w:val="008358B9"/>
    <w:rsid w:val="0083760E"/>
    <w:rsid w:val="00841320"/>
    <w:rsid w:val="008426C3"/>
    <w:rsid w:val="00844DC1"/>
    <w:rsid w:val="00850ACB"/>
    <w:rsid w:val="008533FB"/>
    <w:rsid w:val="00854FE0"/>
    <w:rsid w:val="00860791"/>
    <w:rsid w:val="00861E0C"/>
    <w:rsid w:val="00870D45"/>
    <w:rsid w:val="00872552"/>
    <w:rsid w:val="008753AA"/>
    <w:rsid w:val="00876103"/>
    <w:rsid w:val="00880A98"/>
    <w:rsid w:val="00881196"/>
    <w:rsid w:val="00884539"/>
    <w:rsid w:val="00884FE6"/>
    <w:rsid w:val="008922A2"/>
    <w:rsid w:val="00892FBE"/>
    <w:rsid w:val="00895E4A"/>
    <w:rsid w:val="008A0CD2"/>
    <w:rsid w:val="008A354E"/>
    <w:rsid w:val="008A3C2E"/>
    <w:rsid w:val="008A61C1"/>
    <w:rsid w:val="008B033C"/>
    <w:rsid w:val="008D0535"/>
    <w:rsid w:val="008D77E7"/>
    <w:rsid w:val="008E0FB9"/>
    <w:rsid w:val="008E755A"/>
    <w:rsid w:val="008F04E0"/>
    <w:rsid w:val="008F0934"/>
    <w:rsid w:val="008F181E"/>
    <w:rsid w:val="00905A64"/>
    <w:rsid w:val="00905C9D"/>
    <w:rsid w:val="00916BFA"/>
    <w:rsid w:val="00920908"/>
    <w:rsid w:val="009215CC"/>
    <w:rsid w:val="009221AC"/>
    <w:rsid w:val="00922E3F"/>
    <w:rsid w:val="009233C2"/>
    <w:rsid w:val="00925725"/>
    <w:rsid w:val="009268DD"/>
    <w:rsid w:val="00926EEE"/>
    <w:rsid w:val="00927CF8"/>
    <w:rsid w:val="00935FCD"/>
    <w:rsid w:val="00940E12"/>
    <w:rsid w:val="00943FFE"/>
    <w:rsid w:val="00951CF0"/>
    <w:rsid w:val="00952F6C"/>
    <w:rsid w:val="00954B22"/>
    <w:rsid w:val="00956A55"/>
    <w:rsid w:val="009579DE"/>
    <w:rsid w:val="00964B3F"/>
    <w:rsid w:val="00973192"/>
    <w:rsid w:val="00974702"/>
    <w:rsid w:val="009748FC"/>
    <w:rsid w:val="0097791F"/>
    <w:rsid w:val="009814C6"/>
    <w:rsid w:val="00987F37"/>
    <w:rsid w:val="00991B0D"/>
    <w:rsid w:val="0099248E"/>
    <w:rsid w:val="009945FE"/>
    <w:rsid w:val="009A43E2"/>
    <w:rsid w:val="009A5B36"/>
    <w:rsid w:val="009B1A59"/>
    <w:rsid w:val="009B2C6C"/>
    <w:rsid w:val="009B5048"/>
    <w:rsid w:val="009C0667"/>
    <w:rsid w:val="009C1D79"/>
    <w:rsid w:val="009C50F6"/>
    <w:rsid w:val="009C7627"/>
    <w:rsid w:val="009D5145"/>
    <w:rsid w:val="009D7804"/>
    <w:rsid w:val="009E0068"/>
    <w:rsid w:val="009E0CE5"/>
    <w:rsid w:val="009F130F"/>
    <w:rsid w:val="009F272F"/>
    <w:rsid w:val="009F3158"/>
    <w:rsid w:val="009F4329"/>
    <w:rsid w:val="009F7B25"/>
    <w:rsid w:val="00A04EEE"/>
    <w:rsid w:val="00A078FD"/>
    <w:rsid w:val="00A12715"/>
    <w:rsid w:val="00A244EC"/>
    <w:rsid w:val="00A2565D"/>
    <w:rsid w:val="00A31429"/>
    <w:rsid w:val="00A3387E"/>
    <w:rsid w:val="00A35EE0"/>
    <w:rsid w:val="00A370F8"/>
    <w:rsid w:val="00A40662"/>
    <w:rsid w:val="00A4148A"/>
    <w:rsid w:val="00A46AE4"/>
    <w:rsid w:val="00A51629"/>
    <w:rsid w:val="00A572B1"/>
    <w:rsid w:val="00A64F2D"/>
    <w:rsid w:val="00A65CD7"/>
    <w:rsid w:val="00A75C31"/>
    <w:rsid w:val="00A83BD4"/>
    <w:rsid w:val="00A86AA5"/>
    <w:rsid w:val="00A876FC"/>
    <w:rsid w:val="00A91142"/>
    <w:rsid w:val="00A96576"/>
    <w:rsid w:val="00AA0C89"/>
    <w:rsid w:val="00AA4C95"/>
    <w:rsid w:val="00AA74C9"/>
    <w:rsid w:val="00AA7EB4"/>
    <w:rsid w:val="00AB0388"/>
    <w:rsid w:val="00AB03EC"/>
    <w:rsid w:val="00AB19A8"/>
    <w:rsid w:val="00AB1D02"/>
    <w:rsid w:val="00AB2250"/>
    <w:rsid w:val="00AC296D"/>
    <w:rsid w:val="00AC3289"/>
    <w:rsid w:val="00AC7F5E"/>
    <w:rsid w:val="00AD454B"/>
    <w:rsid w:val="00AE5169"/>
    <w:rsid w:val="00AF3114"/>
    <w:rsid w:val="00AF78C5"/>
    <w:rsid w:val="00B0779D"/>
    <w:rsid w:val="00B07DCF"/>
    <w:rsid w:val="00B10598"/>
    <w:rsid w:val="00B24B7A"/>
    <w:rsid w:val="00B2689B"/>
    <w:rsid w:val="00B30B3C"/>
    <w:rsid w:val="00B31E8D"/>
    <w:rsid w:val="00B37BBD"/>
    <w:rsid w:val="00B46AD7"/>
    <w:rsid w:val="00B52925"/>
    <w:rsid w:val="00B52A29"/>
    <w:rsid w:val="00B52BF7"/>
    <w:rsid w:val="00B55BF4"/>
    <w:rsid w:val="00B62226"/>
    <w:rsid w:val="00B63226"/>
    <w:rsid w:val="00B6351E"/>
    <w:rsid w:val="00B65754"/>
    <w:rsid w:val="00B66220"/>
    <w:rsid w:val="00B671DA"/>
    <w:rsid w:val="00B71CBC"/>
    <w:rsid w:val="00B72E14"/>
    <w:rsid w:val="00B755D1"/>
    <w:rsid w:val="00B762DF"/>
    <w:rsid w:val="00B7766E"/>
    <w:rsid w:val="00B82A72"/>
    <w:rsid w:val="00B87191"/>
    <w:rsid w:val="00B92CE8"/>
    <w:rsid w:val="00B97611"/>
    <w:rsid w:val="00BA0D59"/>
    <w:rsid w:val="00BA1F51"/>
    <w:rsid w:val="00BA2AB4"/>
    <w:rsid w:val="00BA37FA"/>
    <w:rsid w:val="00BA467B"/>
    <w:rsid w:val="00BA5414"/>
    <w:rsid w:val="00BA7EEA"/>
    <w:rsid w:val="00BB3622"/>
    <w:rsid w:val="00BB3F5B"/>
    <w:rsid w:val="00BB7D7E"/>
    <w:rsid w:val="00BB7FE2"/>
    <w:rsid w:val="00BC01BE"/>
    <w:rsid w:val="00BC3026"/>
    <w:rsid w:val="00BC5A0D"/>
    <w:rsid w:val="00BD2E24"/>
    <w:rsid w:val="00BD30A9"/>
    <w:rsid w:val="00BD3E32"/>
    <w:rsid w:val="00BD5AA8"/>
    <w:rsid w:val="00BD7BFC"/>
    <w:rsid w:val="00BE2DFA"/>
    <w:rsid w:val="00BE525F"/>
    <w:rsid w:val="00BE5AC8"/>
    <w:rsid w:val="00BE60F1"/>
    <w:rsid w:val="00BE61A8"/>
    <w:rsid w:val="00BE6C7A"/>
    <w:rsid w:val="00BF14F8"/>
    <w:rsid w:val="00BF278B"/>
    <w:rsid w:val="00C01FA4"/>
    <w:rsid w:val="00C100F7"/>
    <w:rsid w:val="00C117B2"/>
    <w:rsid w:val="00C12425"/>
    <w:rsid w:val="00C12491"/>
    <w:rsid w:val="00C17E0C"/>
    <w:rsid w:val="00C20BFF"/>
    <w:rsid w:val="00C26CA6"/>
    <w:rsid w:val="00C31690"/>
    <w:rsid w:val="00C34F22"/>
    <w:rsid w:val="00C3524B"/>
    <w:rsid w:val="00C42263"/>
    <w:rsid w:val="00C43960"/>
    <w:rsid w:val="00C465F1"/>
    <w:rsid w:val="00C47BBA"/>
    <w:rsid w:val="00C502F3"/>
    <w:rsid w:val="00C52CC0"/>
    <w:rsid w:val="00C60018"/>
    <w:rsid w:val="00C635FB"/>
    <w:rsid w:val="00C65659"/>
    <w:rsid w:val="00C67F37"/>
    <w:rsid w:val="00C70512"/>
    <w:rsid w:val="00C71ACF"/>
    <w:rsid w:val="00C72D6B"/>
    <w:rsid w:val="00C829CD"/>
    <w:rsid w:val="00C8472F"/>
    <w:rsid w:val="00C915A6"/>
    <w:rsid w:val="00C9677F"/>
    <w:rsid w:val="00CB022D"/>
    <w:rsid w:val="00CB142A"/>
    <w:rsid w:val="00CB6EED"/>
    <w:rsid w:val="00CB77E0"/>
    <w:rsid w:val="00CC1008"/>
    <w:rsid w:val="00CC33E2"/>
    <w:rsid w:val="00CC56BB"/>
    <w:rsid w:val="00CC6241"/>
    <w:rsid w:val="00CC7046"/>
    <w:rsid w:val="00CC7AAC"/>
    <w:rsid w:val="00CD0622"/>
    <w:rsid w:val="00CD559F"/>
    <w:rsid w:val="00CD5BF4"/>
    <w:rsid w:val="00CE4388"/>
    <w:rsid w:val="00CE6639"/>
    <w:rsid w:val="00CF36C8"/>
    <w:rsid w:val="00CF440B"/>
    <w:rsid w:val="00D017FA"/>
    <w:rsid w:val="00D02796"/>
    <w:rsid w:val="00D03280"/>
    <w:rsid w:val="00D068FC"/>
    <w:rsid w:val="00D12721"/>
    <w:rsid w:val="00D14F95"/>
    <w:rsid w:val="00D15715"/>
    <w:rsid w:val="00D15859"/>
    <w:rsid w:val="00D1675D"/>
    <w:rsid w:val="00D178EA"/>
    <w:rsid w:val="00D17EF9"/>
    <w:rsid w:val="00D204FC"/>
    <w:rsid w:val="00D20CE2"/>
    <w:rsid w:val="00D22F03"/>
    <w:rsid w:val="00D25B40"/>
    <w:rsid w:val="00D267C0"/>
    <w:rsid w:val="00D338E1"/>
    <w:rsid w:val="00D33BD3"/>
    <w:rsid w:val="00D33DB9"/>
    <w:rsid w:val="00D34D7A"/>
    <w:rsid w:val="00D35EB2"/>
    <w:rsid w:val="00D36B37"/>
    <w:rsid w:val="00D36B6C"/>
    <w:rsid w:val="00D432CA"/>
    <w:rsid w:val="00D43C4B"/>
    <w:rsid w:val="00D51181"/>
    <w:rsid w:val="00D56E74"/>
    <w:rsid w:val="00D56FAB"/>
    <w:rsid w:val="00D6028A"/>
    <w:rsid w:val="00D62345"/>
    <w:rsid w:val="00D634DE"/>
    <w:rsid w:val="00D66434"/>
    <w:rsid w:val="00D71B8F"/>
    <w:rsid w:val="00D71C74"/>
    <w:rsid w:val="00D74231"/>
    <w:rsid w:val="00D7464D"/>
    <w:rsid w:val="00D7568A"/>
    <w:rsid w:val="00D76EB6"/>
    <w:rsid w:val="00D8130E"/>
    <w:rsid w:val="00D814D7"/>
    <w:rsid w:val="00D819A1"/>
    <w:rsid w:val="00D85D93"/>
    <w:rsid w:val="00D86678"/>
    <w:rsid w:val="00D8774D"/>
    <w:rsid w:val="00D908BC"/>
    <w:rsid w:val="00D92887"/>
    <w:rsid w:val="00D934A6"/>
    <w:rsid w:val="00D940CF"/>
    <w:rsid w:val="00D94B1D"/>
    <w:rsid w:val="00D94BA7"/>
    <w:rsid w:val="00DA2A2E"/>
    <w:rsid w:val="00DA3A3E"/>
    <w:rsid w:val="00DA556D"/>
    <w:rsid w:val="00DA558E"/>
    <w:rsid w:val="00DB0536"/>
    <w:rsid w:val="00DB5419"/>
    <w:rsid w:val="00DB5E13"/>
    <w:rsid w:val="00DB6A2B"/>
    <w:rsid w:val="00DB7150"/>
    <w:rsid w:val="00DB7C70"/>
    <w:rsid w:val="00DD10CE"/>
    <w:rsid w:val="00DD7FEC"/>
    <w:rsid w:val="00DE21A0"/>
    <w:rsid w:val="00DE4A53"/>
    <w:rsid w:val="00DE5E21"/>
    <w:rsid w:val="00DE708F"/>
    <w:rsid w:val="00DE709A"/>
    <w:rsid w:val="00DF2E6D"/>
    <w:rsid w:val="00DF58D8"/>
    <w:rsid w:val="00DF696A"/>
    <w:rsid w:val="00DF7867"/>
    <w:rsid w:val="00E009DB"/>
    <w:rsid w:val="00E03289"/>
    <w:rsid w:val="00E041C2"/>
    <w:rsid w:val="00E0514F"/>
    <w:rsid w:val="00E12A46"/>
    <w:rsid w:val="00E13685"/>
    <w:rsid w:val="00E13A7C"/>
    <w:rsid w:val="00E153D3"/>
    <w:rsid w:val="00E16B8E"/>
    <w:rsid w:val="00E202F4"/>
    <w:rsid w:val="00E2544B"/>
    <w:rsid w:val="00E25EC8"/>
    <w:rsid w:val="00E2679A"/>
    <w:rsid w:val="00E34B91"/>
    <w:rsid w:val="00E3672C"/>
    <w:rsid w:val="00E45362"/>
    <w:rsid w:val="00E4647D"/>
    <w:rsid w:val="00E5039F"/>
    <w:rsid w:val="00E57644"/>
    <w:rsid w:val="00E5793B"/>
    <w:rsid w:val="00E750F6"/>
    <w:rsid w:val="00E7547E"/>
    <w:rsid w:val="00E769C8"/>
    <w:rsid w:val="00E76A52"/>
    <w:rsid w:val="00E77B6B"/>
    <w:rsid w:val="00E87110"/>
    <w:rsid w:val="00E90FE6"/>
    <w:rsid w:val="00E919F4"/>
    <w:rsid w:val="00E92B6A"/>
    <w:rsid w:val="00E968C2"/>
    <w:rsid w:val="00E971D6"/>
    <w:rsid w:val="00EA04DC"/>
    <w:rsid w:val="00EA0999"/>
    <w:rsid w:val="00EA26CF"/>
    <w:rsid w:val="00EA6709"/>
    <w:rsid w:val="00EB0262"/>
    <w:rsid w:val="00EC3D1C"/>
    <w:rsid w:val="00EC4454"/>
    <w:rsid w:val="00EC6568"/>
    <w:rsid w:val="00EC7A34"/>
    <w:rsid w:val="00ED6BBB"/>
    <w:rsid w:val="00ED7B3C"/>
    <w:rsid w:val="00EE0047"/>
    <w:rsid w:val="00EE245B"/>
    <w:rsid w:val="00EE5ECB"/>
    <w:rsid w:val="00EE7495"/>
    <w:rsid w:val="00EF0CD0"/>
    <w:rsid w:val="00EF3C26"/>
    <w:rsid w:val="00EF528F"/>
    <w:rsid w:val="00F00060"/>
    <w:rsid w:val="00F00380"/>
    <w:rsid w:val="00F011DF"/>
    <w:rsid w:val="00F0240A"/>
    <w:rsid w:val="00F1187C"/>
    <w:rsid w:val="00F15B19"/>
    <w:rsid w:val="00F169F0"/>
    <w:rsid w:val="00F21B5D"/>
    <w:rsid w:val="00F25B1D"/>
    <w:rsid w:val="00F277D5"/>
    <w:rsid w:val="00F40028"/>
    <w:rsid w:val="00F42BC7"/>
    <w:rsid w:val="00F43C82"/>
    <w:rsid w:val="00F465C5"/>
    <w:rsid w:val="00F47466"/>
    <w:rsid w:val="00F51099"/>
    <w:rsid w:val="00F517FC"/>
    <w:rsid w:val="00F52758"/>
    <w:rsid w:val="00F5366D"/>
    <w:rsid w:val="00F55C71"/>
    <w:rsid w:val="00F5729B"/>
    <w:rsid w:val="00F603A0"/>
    <w:rsid w:val="00F608D3"/>
    <w:rsid w:val="00F667E5"/>
    <w:rsid w:val="00F67864"/>
    <w:rsid w:val="00F70AD9"/>
    <w:rsid w:val="00F72E06"/>
    <w:rsid w:val="00F76C28"/>
    <w:rsid w:val="00F77743"/>
    <w:rsid w:val="00F86363"/>
    <w:rsid w:val="00F9066C"/>
    <w:rsid w:val="00F926CC"/>
    <w:rsid w:val="00F936EB"/>
    <w:rsid w:val="00F95555"/>
    <w:rsid w:val="00F960CB"/>
    <w:rsid w:val="00FA193B"/>
    <w:rsid w:val="00FA445C"/>
    <w:rsid w:val="00FA7069"/>
    <w:rsid w:val="00FB15D0"/>
    <w:rsid w:val="00FB587D"/>
    <w:rsid w:val="00FB72FF"/>
    <w:rsid w:val="00FC7EB5"/>
    <w:rsid w:val="00FD151B"/>
    <w:rsid w:val="00FD2A70"/>
    <w:rsid w:val="00FD44A0"/>
    <w:rsid w:val="00FD5E00"/>
    <w:rsid w:val="00FD6A68"/>
    <w:rsid w:val="00FE056B"/>
    <w:rsid w:val="00FE3890"/>
    <w:rsid w:val="00FE4640"/>
    <w:rsid w:val="00FE46A8"/>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link w:val="Heading1Char"/>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link w:val="Heading5Char"/>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rPr>
      <w:sz w:val="20"/>
    </w:rPr>
  </w:style>
  <w:style w:type="character" w:styleId="FootnoteReference">
    <w:name w:val="footnote reference"/>
    <w:basedOn w:val="DefaultParagraphFont"/>
    <w:uiPriority w:val="99"/>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basedOn w:val="DefaultParagraphFont"/>
    <w:link w:val="FootnoteText"/>
    <w:uiPriority w:val="99"/>
    <w:rsid w:val="006972E7"/>
  </w:style>
  <w:style w:type="paragraph" w:customStyle="1" w:styleId="Default">
    <w:name w:val="Default"/>
    <w:rsid w:val="006972E7"/>
    <w:pPr>
      <w:autoSpaceDE w:val="0"/>
      <w:autoSpaceDN w:val="0"/>
      <w:adjustRightInd w:val="0"/>
    </w:pPr>
    <w:rPr>
      <w:rFonts w:eastAsiaTheme="minorEastAsia"/>
      <w:color w:val="000000"/>
      <w:sz w:val="24"/>
      <w:szCs w:val="24"/>
      <w:lang w:eastAsia="zh-TW"/>
    </w:rPr>
  </w:style>
  <w:style w:type="paragraph" w:customStyle="1" w:styleId="Para-heading">
    <w:name w:val="Para-heading"/>
    <w:basedOn w:val="Normal"/>
    <w:next w:val="Normal"/>
    <w:rsid w:val="00D908BC"/>
    <w:pPr>
      <w:numPr>
        <w:numId w:val="1"/>
      </w:numPr>
      <w:tabs>
        <w:tab w:val="clear" w:pos="360"/>
        <w:tab w:val="clear" w:pos="1440"/>
        <w:tab w:val="clear" w:pos="4320"/>
        <w:tab w:val="clear" w:pos="9072"/>
        <w:tab w:val="num" w:pos="1400"/>
      </w:tabs>
      <w:spacing w:before="120" w:line="360" w:lineRule="auto"/>
    </w:pPr>
    <w:rPr>
      <w:lang w:val="en-GB"/>
    </w:rPr>
  </w:style>
  <w:style w:type="paragraph" w:customStyle="1" w:styleId="para">
    <w:name w:val="para"/>
    <w:rsid w:val="00BC01BE"/>
    <w:pPr>
      <w:numPr>
        <w:numId w:val="2"/>
      </w:numPr>
      <w:tabs>
        <w:tab w:val="num" w:pos="1400"/>
      </w:tabs>
      <w:snapToGrid w:val="0"/>
      <w:spacing w:before="480" w:line="360" w:lineRule="auto"/>
    </w:pPr>
    <w:rPr>
      <w:sz w:val="28"/>
      <w:lang w:val="en-GB"/>
    </w:rPr>
  </w:style>
  <w:style w:type="paragraph" w:customStyle="1" w:styleId="1">
    <w:name w:val="引文1"/>
    <w:rsid w:val="00BC01BE"/>
    <w:pPr>
      <w:tabs>
        <w:tab w:val="left" w:pos="1985"/>
      </w:tabs>
      <w:adjustRightInd w:val="0"/>
      <w:snapToGrid w:val="0"/>
      <w:spacing w:before="120" w:after="120"/>
      <w:ind w:left="1418" w:right="737"/>
    </w:pPr>
    <w:rPr>
      <w:sz w:val="24"/>
      <w:lang w:val="en-GB"/>
    </w:rPr>
  </w:style>
  <w:style w:type="paragraph" w:customStyle="1" w:styleId="points">
    <w:name w:val="points"/>
    <w:basedOn w:val="para"/>
    <w:rsid w:val="00BC01BE"/>
    <w:pPr>
      <w:numPr>
        <w:numId w:val="0"/>
      </w:numPr>
      <w:tabs>
        <w:tab w:val="left" w:pos="1400"/>
        <w:tab w:val="left" w:pos="1960"/>
      </w:tabs>
      <w:spacing w:before="120"/>
      <w:ind w:left="1417" w:hanging="680"/>
    </w:pPr>
  </w:style>
  <w:style w:type="character" w:customStyle="1" w:styleId="Heading1Char">
    <w:name w:val="Heading 1 Char"/>
    <w:basedOn w:val="DefaultParagraphFont"/>
    <w:link w:val="Heading1"/>
    <w:rsid w:val="0070773B"/>
    <w:rPr>
      <w:rFonts w:ascii="Arial" w:hAnsi="Arial"/>
      <w:b/>
      <w:kern w:val="28"/>
      <w:sz w:val="28"/>
      <w:lang w:val="en-GB"/>
    </w:rPr>
  </w:style>
  <w:style w:type="character" w:customStyle="1" w:styleId="Heading5Char">
    <w:name w:val="Heading 5 Char"/>
    <w:basedOn w:val="DefaultParagraphFont"/>
    <w:link w:val="Heading5"/>
    <w:rsid w:val="0070773B"/>
    <w:rPr>
      <w:rFonts w:ascii="Courier New" w:hAnsi="Courier New"/>
      <w:b/>
      <w:sz w:val="24"/>
      <w:lang w:val="en-GB"/>
    </w:rPr>
  </w:style>
  <w:style w:type="character" w:customStyle="1" w:styleId="eq0j8">
    <w:name w:val="eq0j8"/>
    <w:basedOn w:val="DefaultParagraphFont"/>
    <w:rsid w:val="00357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10601000101010101"/>
    <w:charset w:val="88"/>
    <w:family w:val="roman"/>
    <w:pitch w:val="variable"/>
    <w:sig w:usb0="00000003"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246455"/>
    <w:rsid w:val="00372F9A"/>
    <w:rsid w:val="003D17E9"/>
    <w:rsid w:val="004C1BC4"/>
    <w:rsid w:val="00505599"/>
    <w:rsid w:val="006004E4"/>
    <w:rsid w:val="006B729F"/>
    <w:rsid w:val="00742054"/>
    <w:rsid w:val="00754CC2"/>
    <w:rsid w:val="0080414C"/>
    <w:rsid w:val="008721E9"/>
    <w:rsid w:val="00974D86"/>
    <w:rsid w:val="0099583F"/>
    <w:rsid w:val="00A82AF8"/>
    <w:rsid w:val="00A96A7C"/>
    <w:rsid w:val="00AB4C00"/>
    <w:rsid w:val="00B51D99"/>
    <w:rsid w:val="00B60393"/>
    <w:rsid w:val="00BD33F9"/>
    <w:rsid w:val="00D42FFE"/>
    <w:rsid w:val="00E37623"/>
    <w:rsid w:val="00E4637F"/>
    <w:rsid w:val="00FC7E4D"/>
    <w:rsid w:val="00FD5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24B53-F91A-421A-B1BB-873909F8A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15</Pages>
  <Words>3372</Words>
  <Characters>19224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2021-09-03T03:04:00Z</cp:lastPrinted>
  <dcterms:created xsi:type="dcterms:W3CDTF">2021-09-03T08:13:00Z</dcterms:created>
  <dcterms:modified xsi:type="dcterms:W3CDTF">2021-09-03T08:13:00Z</dcterms:modified>
</cp:coreProperties>
</file>