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FF04AF" w:rsidRDefault="006E5CE1" w:rsidP="0042629F">
      <w:pPr>
        <w:pStyle w:val="Heading2"/>
        <w:tabs>
          <w:tab w:val="clear" w:pos="4320"/>
          <w:tab w:val="clear" w:pos="9072"/>
        </w:tabs>
        <w:snapToGrid w:val="0"/>
        <w:spacing w:line="360" w:lineRule="auto"/>
        <w:jc w:val="right"/>
        <w:rPr>
          <w:b w:val="0"/>
          <w:sz w:val="28"/>
          <w:szCs w:val="28"/>
        </w:rPr>
      </w:pPr>
      <w:r w:rsidRPr="00FF04AF">
        <w:rPr>
          <w:b w:val="0"/>
          <w:sz w:val="28"/>
          <w:szCs w:val="28"/>
        </w:rPr>
        <w:t>DCPI</w:t>
      </w:r>
      <w:r w:rsidR="00481CCA" w:rsidRPr="00FF04AF">
        <w:rPr>
          <w:rFonts w:eastAsia="PMingLiU"/>
          <w:b w:val="0"/>
          <w:sz w:val="28"/>
          <w:szCs w:val="28"/>
          <w:lang w:eastAsia="zh-TW"/>
        </w:rPr>
        <w:t xml:space="preserve"> </w:t>
      </w:r>
      <w:r w:rsidR="00165620">
        <w:rPr>
          <w:rFonts w:eastAsia="PMingLiU"/>
          <w:b w:val="0"/>
          <w:sz w:val="28"/>
          <w:szCs w:val="28"/>
          <w:lang w:eastAsia="zh-TW"/>
        </w:rPr>
        <w:t>12</w:t>
      </w:r>
      <w:r w:rsidR="00C17253">
        <w:rPr>
          <w:rFonts w:eastAsia="PMingLiU"/>
          <w:b w:val="0"/>
          <w:sz w:val="28"/>
          <w:szCs w:val="28"/>
          <w:lang w:eastAsia="zh-TW"/>
        </w:rPr>
        <w:t>17</w:t>
      </w:r>
      <w:r w:rsidRPr="00FF04AF">
        <w:rPr>
          <w:b w:val="0"/>
          <w:sz w:val="28"/>
          <w:szCs w:val="28"/>
        </w:rPr>
        <w:t>/201</w:t>
      </w:r>
      <w:r w:rsidR="00C17253">
        <w:rPr>
          <w:b w:val="0"/>
          <w:sz w:val="28"/>
          <w:szCs w:val="28"/>
        </w:rPr>
        <w:t>6</w:t>
      </w:r>
    </w:p>
    <w:p w:rsidR="00481CCA" w:rsidRPr="00FF04AF" w:rsidRDefault="00481CCA" w:rsidP="0042629F">
      <w:pPr>
        <w:spacing w:line="360" w:lineRule="auto"/>
        <w:rPr>
          <w:szCs w:val="28"/>
        </w:rPr>
      </w:pPr>
    </w:p>
    <w:p w:rsidR="00E71E46" w:rsidRPr="00FF04AF" w:rsidRDefault="00E71E46" w:rsidP="0042629F">
      <w:pPr>
        <w:pStyle w:val="normal3"/>
        <w:tabs>
          <w:tab w:val="clear" w:pos="4320"/>
          <w:tab w:val="clear" w:pos="4500"/>
          <w:tab w:val="clear" w:pos="9000"/>
          <w:tab w:val="clear" w:pos="9072"/>
        </w:tabs>
        <w:overflowPunct/>
        <w:autoSpaceDE/>
        <w:autoSpaceDN/>
        <w:rPr>
          <w:rFonts w:eastAsia="宋体"/>
          <w:szCs w:val="28"/>
          <w:lang w:val="en-US"/>
        </w:rPr>
        <w:sectPr w:rsidR="00E71E46" w:rsidRPr="00FF04AF" w:rsidSect="00C17253">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FF04AF" w:rsidRDefault="00E71E46" w:rsidP="0042629F">
      <w:pPr>
        <w:tabs>
          <w:tab w:val="clear" w:pos="4320"/>
          <w:tab w:val="clear" w:pos="9072"/>
        </w:tabs>
        <w:adjustRightInd w:val="0"/>
        <w:spacing w:line="360" w:lineRule="auto"/>
        <w:jc w:val="center"/>
        <w:rPr>
          <w:b/>
          <w:bCs/>
          <w:szCs w:val="28"/>
        </w:rPr>
      </w:pPr>
      <w:r w:rsidRPr="00FF04AF">
        <w:rPr>
          <w:b/>
          <w:bCs/>
          <w:szCs w:val="28"/>
        </w:rPr>
        <w:t>IN THE DISTRICT COURT OF THE</w:t>
      </w:r>
    </w:p>
    <w:p w:rsidR="00E71E46" w:rsidRPr="00FF04AF" w:rsidRDefault="00E71E46" w:rsidP="0042629F">
      <w:pPr>
        <w:tabs>
          <w:tab w:val="clear" w:pos="4320"/>
          <w:tab w:val="clear" w:pos="9072"/>
        </w:tabs>
        <w:adjustRightInd w:val="0"/>
        <w:spacing w:line="360" w:lineRule="auto"/>
        <w:jc w:val="center"/>
        <w:rPr>
          <w:szCs w:val="28"/>
        </w:rPr>
      </w:pPr>
      <w:r w:rsidRPr="00FF04AF">
        <w:rPr>
          <w:b/>
          <w:bCs/>
          <w:szCs w:val="28"/>
        </w:rPr>
        <w:t>HONG KONG SPECIAL ADMINISTRATIVE REGION</w:t>
      </w:r>
    </w:p>
    <w:p w:rsidR="00E71E46" w:rsidRPr="00FF04AF" w:rsidRDefault="006E5CE1" w:rsidP="0042629F">
      <w:pPr>
        <w:tabs>
          <w:tab w:val="clear" w:pos="4320"/>
          <w:tab w:val="clear" w:pos="9072"/>
        </w:tabs>
        <w:adjustRightInd w:val="0"/>
        <w:spacing w:line="360" w:lineRule="auto"/>
        <w:jc w:val="center"/>
        <w:rPr>
          <w:szCs w:val="28"/>
        </w:rPr>
      </w:pPr>
      <w:r w:rsidRPr="00FF04AF">
        <w:rPr>
          <w:szCs w:val="28"/>
        </w:rPr>
        <w:t xml:space="preserve">PERSONAL </w:t>
      </w:r>
      <w:r w:rsidR="005B3949" w:rsidRPr="00FF04AF">
        <w:rPr>
          <w:szCs w:val="28"/>
        </w:rPr>
        <w:t>INJURIES ACTION</w:t>
      </w:r>
      <w:r w:rsidRPr="00FF04AF">
        <w:rPr>
          <w:szCs w:val="28"/>
        </w:rPr>
        <w:t xml:space="preserve"> </w:t>
      </w:r>
      <w:r w:rsidR="00E71E46" w:rsidRPr="00FF04AF">
        <w:rPr>
          <w:szCs w:val="28"/>
        </w:rPr>
        <w:t xml:space="preserve">NO </w:t>
      </w:r>
      <w:r w:rsidR="00165620">
        <w:rPr>
          <w:szCs w:val="28"/>
        </w:rPr>
        <w:t>12</w:t>
      </w:r>
      <w:r w:rsidR="00C17253">
        <w:rPr>
          <w:szCs w:val="28"/>
        </w:rPr>
        <w:t>17</w:t>
      </w:r>
      <w:r w:rsidR="000B68F6">
        <w:rPr>
          <w:szCs w:val="28"/>
        </w:rPr>
        <w:t xml:space="preserve"> </w:t>
      </w:r>
      <w:r w:rsidR="00E71E46" w:rsidRPr="00FF04AF">
        <w:rPr>
          <w:szCs w:val="28"/>
        </w:rPr>
        <w:t>OF 20</w:t>
      </w:r>
      <w:r w:rsidR="0092167B" w:rsidRPr="00FF04AF">
        <w:rPr>
          <w:szCs w:val="28"/>
        </w:rPr>
        <w:t>1</w:t>
      </w:r>
      <w:r w:rsidR="00C17253">
        <w:rPr>
          <w:szCs w:val="28"/>
        </w:rPr>
        <w:t>6</w:t>
      </w:r>
    </w:p>
    <w:p w:rsidR="00E71E46" w:rsidRPr="00FF04AF" w:rsidRDefault="00E71E46" w:rsidP="0042629F">
      <w:pPr>
        <w:tabs>
          <w:tab w:val="clear" w:pos="4320"/>
          <w:tab w:val="clear" w:pos="9072"/>
        </w:tabs>
        <w:adjustRightInd w:val="0"/>
        <w:spacing w:line="360" w:lineRule="auto"/>
        <w:jc w:val="center"/>
        <w:rPr>
          <w:szCs w:val="28"/>
        </w:rPr>
      </w:pPr>
    </w:p>
    <w:p w:rsidR="000B68F6" w:rsidRPr="00FF04AF" w:rsidRDefault="000B68F6" w:rsidP="0042629F">
      <w:pPr>
        <w:tabs>
          <w:tab w:val="clear" w:pos="4320"/>
          <w:tab w:val="clear" w:pos="9072"/>
          <w:tab w:val="left" w:pos="1620"/>
          <w:tab w:val="right" w:pos="8280"/>
        </w:tabs>
        <w:adjustRightInd w:val="0"/>
        <w:spacing w:line="360" w:lineRule="auto"/>
        <w:jc w:val="center"/>
        <w:rPr>
          <w:szCs w:val="28"/>
        </w:rPr>
      </w:pPr>
      <w:r>
        <w:rPr>
          <w:szCs w:val="28"/>
        </w:rPr>
        <w:t>-----------------</w:t>
      </w:r>
      <w:r w:rsidRPr="00FF04AF">
        <w:rPr>
          <w:szCs w:val="28"/>
        </w:rPr>
        <w:t>--------------------</w:t>
      </w:r>
    </w:p>
    <w:p w:rsidR="00E71E46" w:rsidRPr="00FF04AF" w:rsidRDefault="00E71E46" w:rsidP="0042629F">
      <w:pPr>
        <w:pStyle w:val="Heading5"/>
        <w:snapToGrid w:val="0"/>
        <w:spacing w:line="360" w:lineRule="auto"/>
        <w:jc w:val="both"/>
        <w:rPr>
          <w:rFonts w:ascii="Times New Roman" w:hAnsi="Times New Roman"/>
          <w:b w:val="0"/>
          <w:sz w:val="28"/>
          <w:szCs w:val="28"/>
        </w:rPr>
      </w:pPr>
      <w:r w:rsidRPr="00FF04AF">
        <w:rPr>
          <w:rFonts w:ascii="Times New Roman" w:hAnsi="Times New Roman"/>
          <w:b w:val="0"/>
          <w:sz w:val="28"/>
          <w:szCs w:val="28"/>
        </w:rPr>
        <w:t>BETWEEN</w:t>
      </w:r>
    </w:p>
    <w:p w:rsidR="00E71E46" w:rsidRPr="00FF04AF" w:rsidRDefault="00D8731F" w:rsidP="0042629F">
      <w:pPr>
        <w:pStyle w:val="normal3"/>
        <w:tabs>
          <w:tab w:val="clear" w:pos="1440"/>
          <w:tab w:val="clear" w:pos="4320"/>
          <w:tab w:val="clear" w:pos="4500"/>
          <w:tab w:val="clear" w:pos="9000"/>
          <w:tab w:val="clear" w:pos="9072"/>
          <w:tab w:val="center" w:pos="4140"/>
          <w:tab w:val="right" w:pos="8280"/>
        </w:tabs>
        <w:overflowPunct/>
        <w:autoSpaceDE/>
        <w:autoSpaceDN/>
        <w:rPr>
          <w:rFonts w:eastAsia="宋体"/>
          <w:szCs w:val="28"/>
          <w:lang w:val="en-US"/>
        </w:rPr>
      </w:pPr>
      <w:r w:rsidRPr="00FF04AF">
        <w:rPr>
          <w:rFonts w:eastAsia="PMingLiU"/>
          <w:szCs w:val="28"/>
          <w:lang w:val="en-US" w:eastAsia="zh-TW"/>
        </w:rPr>
        <w:tab/>
      </w:r>
      <w:r w:rsidR="00C17253">
        <w:rPr>
          <w:rFonts w:eastAsia="PMingLiU"/>
          <w:szCs w:val="28"/>
          <w:lang w:val="en-US" w:eastAsia="zh-TW"/>
        </w:rPr>
        <w:t>LAU MING LEE</w:t>
      </w:r>
      <w:r w:rsidR="00C17253">
        <w:rPr>
          <w:rFonts w:eastAsia="PMingLiU" w:hint="eastAsia"/>
          <w:szCs w:val="28"/>
          <w:lang w:val="en-US" w:eastAsia="zh-TW"/>
        </w:rPr>
        <w:t>（</w:t>
      </w:r>
      <w:r w:rsidR="00C17253">
        <w:rPr>
          <w:rFonts w:eastAsia="PMingLiU" w:hint="eastAsia"/>
          <w:szCs w:val="28"/>
          <w:lang w:val="en-US" w:eastAsia="zh-HK"/>
        </w:rPr>
        <w:t>劉明莉</w:t>
      </w:r>
      <w:r w:rsidR="00C17253">
        <w:rPr>
          <w:rFonts w:eastAsia="PMingLiU" w:hint="eastAsia"/>
          <w:szCs w:val="28"/>
          <w:lang w:val="en-US" w:eastAsia="zh-TW"/>
        </w:rPr>
        <w:t>）</w:t>
      </w:r>
      <w:r w:rsidR="00E71E46" w:rsidRPr="00FF04AF">
        <w:rPr>
          <w:rFonts w:eastAsia="宋体"/>
          <w:szCs w:val="28"/>
          <w:lang w:val="en-US"/>
        </w:rPr>
        <w:tab/>
      </w:r>
      <w:r w:rsidR="00917593">
        <w:rPr>
          <w:rFonts w:eastAsia="宋体"/>
          <w:szCs w:val="28"/>
          <w:lang w:val="en-US"/>
        </w:rPr>
        <w:t>Plaintiff</w:t>
      </w:r>
    </w:p>
    <w:p w:rsidR="00E71E46" w:rsidRPr="00FF04AF" w:rsidRDefault="00E71E46" w:rsidP="0042629F">
      <w:pPr>
        <w:pStyle w:val="Heading3"/>
        <w:tabs>
          <w:tab w:val="clear" w:pos="1440"/>
          <w:tab w:val="clear" w:pos="4320"/>
          <w:tab w:val="clear" w:pos="9072"/>
          <w:tab w:val="center" w:pos="4140"/>
        </w:tabs>
        <w:snapToGrid w:val="0"/>
        <w:spacing w:line="360" w:lineRule="auto"/>
        <w:rPr>
          <w:b w:val="0"/>
          <w:sz w:val="28"/>
          <w:szCs w:val="28"/>
        </w:rPr>
      </w:pPr>
      <w:r w:rsidRPr="00FF04AF">
        <w:rPr>
          <w:b w:val="0"/>
          <w:sz w:val="28"/>
          <w:szCs w:val="28"/>
        </w:rPr>
        <w:t>and</w:t>
      </w:r>
    </w:p>
    <w:p w:rsidR="00C17253" w:rsidRDefault="000B68F6" w:rsidP="00A2719E">
      <w:pPr>
        <w:tabs>
          <w:tab w:val="clear" w:pos="1440"/>
          <w:tab w:val="clear" w:pos="4320"/>
          <w:tab w:val="clear" w:pos="9072"/>
          <w:tab w:val="left" w:pos="1080"/>
          <w:tab w:val="center" w:pos="4140"/>
          <w:tab w:val="right" w:pos="8280"/>
        </w:tabs>
        <w:rPr>
          <w:szCs w:val="28"/>
        </w:rPr>
      </w:pPr>
      <w:r>
        <w:rPr>
          <w:szCs w:val="28"/>
        </w:rPr>
        <w:tab/>
      </w:r>
      <w:r w:rsidR="002B7288">
        <w:rPr>
          <w:szCs w:val="28"/>
        </w:rPr>
        <w:t>SECRETARY FOR JUSTICE</w:t>
      </w:r>
      <w:r w:rsidR="00C17253">
        <w:rPr>
          <w:szCs w:val="28"/>
        </w:rPr>
        <w:t xml:space="preserve"> for and on behalf of </w:t>
      </w:r>
    </w:p>
    <w:p w:rsidR="00C17253" w:rsidRDefault="00C17253" w:rsidP="00C17253">
      <w:pPr>
        <w:tabs>
          <w:tab w:val="clear" w:pos="1440"/>
          <w:tab w:val="clear" w:pos="4320"/>
          <w:tab w:val="clear" w:pos="9072"/>
          <w:tab w:val="left" w:pos="1080"/>
          <w:tab w:val="center" w:pos="4140"/>
          <w:tab w:val="right" w:pos="8280"/>
        </w:tabs>
        <w:rPr>
          <w:szCs w:val="28"/>
        </w:rPr>
      </w:pPr>
      <w:r>
        <w:rPr>
          <w:szCs w:val="28"/>
        </w:rPr>
        <w:tab/>
      </w:r>
      <w:r w:rsidR="002B7288">
        <w:rPr>
          <w:szCs w:val="28"/>
        </w:rPr>
        <w:t>DIRECTOR OF</w:t>
      </w:r>
      <w:r>
        <w:rPr>
          <w:szCs w:val="28"/>
        </w:rPr>
        <w:t xml:space="preserve"> AGRICULTURE, FISHERIES </w:t>
      </w:r>
    </w:p>
    <w:p w:rsidR="002A4A1B" w:rsidRPr="00FF04AF" w:rsidRDefault="00C17253" w:rsidP="00C17253">
      <w:pPr>
        <w:tabs>
          <w:tab w:val="clear" w:pos="1440"/>
          <w:tab w:val="clear" w:pos="4320"/>
          <w:tab w:val="clear" w:pos="9072"/>
          <w:tab w:val="left" w:pos="1080"/>
          <w:tab w:val="right" w:pos="8280"/>
        </w:tabs>
        <w:spacing w:line="360" w:lineRule="auto"/>
        <w:rPr>
          <w:szCs w:val="28"/>
        </w:rPr>
      </w:pPr>
      <w:r>
        <w:rPr>
          <w:szCs w:val="28"/>
        </w:rPr>
        <w:tab/>
        <w:t>AND CONSERVATION</w:t>
      </w:r>
      <w:r w:rsidR="00A2719E">
        <w:rPr>
          <w:szCs w:val="28"/>
        </w:rPr>
        <w:tab/>
      </w:r>
      <w:r w:rsidR="00FD765C">
        <w:rPr>
          <w:szCs w:val="28"/>
        </w:rPr>
        <w:t>Defendant</w:t>
      </w:r>
    </w:p>
    <w:p w:rsidR="000B68F6" w:rsidRPr="00FF04AF" w:rsidRDefault="000B68F6" w:rsidP="0042629F">
      <w:pPr>
        <w:tabs>
          <w:tab w:val="clear" w:pos="4320"/>
          <w:tab w:val="clear" w:pos="9072"/>
          <w:tab w:val="left" w:pos="1620"/>
          <w:tab w:val="right" w:pos="8280"/>
        </w:tabs>
        <w:adjustRightInd w:val="0"/>
        <w:spacing w:line="360" w:lineRule="auto"/>
        <w:jc w:val="center"/>
        <w:rPr>
          <w:szCs w:val="28"/>
        </w:rPr>
      </w:pPr>
      <w:r>
        <w:rPr>
          <w:szCs w:val="28"/>
        </w:rPr>
        <w:t>-----------------</w:t>
      </w:r>
      <w:r w:rsidRPr="00FF04AF">
        <w:rPr>
          <w:szCs w:val="28"/>
        </w:rPr>
        <w:t>--------------------</w:t>
      </w:r>
    </w:p>
    <w:p w:rsidR="00E71E46" w:rsidRPr="00FF04AF" w:rsidRDefault="00E71E46" w:rsidP="0042629F">
      <w:pPr>
        <w:pStyle w:val="normal3"/>
        <w:tabs>
          <w:tab w:val="clear" w:pos="4320"/>
          <w:tab w:val="clear" w:pos="4500"/>
          <w:tab w:val="clear" w:pos="9000"/>
          <w:tab w:val="clear" w:pos="9072"/>
        </w:tabs>
        <w:overflowPunct/>
        <w:autoSpaceDE/>
        <w:autoSpaceDN/>
        <w:adjustRightInd w:val="0"/>
        <w:rPr>
          <w:rFonts w:eastAsia="宋体"/>
          <w:szCs w:val="28"/>
          <w:lang w:val="en-US"/>
        </w:rPr>
      </w:pPr>
    </w:p>
    <w:p w:rsidR="00E71E46" w:rsidRPr="00FF04AF" w:rsidRDefault="0025351D" w:rsidP="0042629F">
      <w:pPr>
        <w:tabs>
          <w:tab w:val="clear" w:pos="4320"/>
          <w:tab w:val="clear" w:pos="9072"/>
        </w:tabs>
        <w:adjustRightInd w:val="0"/>
        <w:spacing w:line="360" w:lineRule="auto"/>
        <w:rPr>
          <w:rFonts w:eastAsia="PMingLiU"/>
          <w:szCs w:val="28"/>
          <w:lang w:eastAsia="zh-TW"/>
        </w:rPr>
      </w:pPr>
      <w:r w:rsidRPr="00FF04AF">
        <w:rPr>
          <w:szCs w:val="28"/>
        </w:rPr>
        <w:t>Before</w:t>
      </w:r>
      <w:r w:rsidR="00666003" w:rsidRPr="00FF04AF">
        <w:rPr>
          <w:szCs w:val="28"/>
        </w:rPr>
        <w:t xml:space="preserve">:  </w:t>
      </w:r>
      <w:r w:rsidR="00C17253">
        <w:rPr>
          <w:szCs w:val="28"/>
        </w:rPr>
        <w:t xml:space="preserve">His </w:t>
      </w:r>
      <w:proofErr w:type="spellStart"/>
      <w:r w:rsidR="00C17253">
        <w:rPr>
          <w:szCs w:val="28"/>
        </w:rPr>
        <w:t>Honour</w:t>
      </w:r>
      <w:proofErr w:type="spellEnd"/>
      <w:r w:rsidR="00C17253">
        <w:rPr>
          <w:szCs w:val="28"/>
        </w:rPr>
        <w:t xml:space="preserve"> </w:t>
      </w:r>
      <w:r w:rsidR="00D8731F" w:rsidRPr="00FF04AF">
        <w:rPr>
          <w:szCs w:val="28"/>
        </w:rPr>
        <w:t xml:space="preserve">Judge </w:t>
      </w:r>
      <w:r w:rsidR="000B68F6">
        <w:rPr>
          <w:szCs w:val="28"/>
        </w:rPr>
        <w:t>M</w:t>
      </w:r>
      <w:r w:rsidR="00A2719E">
        <w:rPr>
          <w:szCs w:val="28"/>
        </w:rPr>
        <w:t xml:space="preserve">K </w:t>
      </w:r>
      <w:r w:rsidR="000B68F6">
        <w:rPr>
          <w:szCs w:val="28"/>
        </w:rPr>
        <w:t xml:space="preserve">Liu </w:t>
      </w:r>
      <w:r w:rsidR="00D8731F" w:rsidRPr="00FF04AF">
        <w:rPr>
          <w:szCs w:val="28"/>
        </w:rPr>
        <w:t xml:space="preserve">in </w:t>
      </w:r>
      <w:r w:rsidR="0073400D" w:rsidRPr="00FF04AF">
        <w:rPr>
          <w:szCs w:val="28"/>
        </w:rPr>
        <w:t>C</w:t>
      </w:r>
      <w:r w:rsidR="00C17253">
        <w:rPr>
          <w:szCs w:val="28"/>
        </w:rPr>
        <w:t>hambers (Open to Public)</w:t>
      </w:r>
    </w:p>
    <w:p w:rsidR="00316FD5" w:rsidRPr="003616DA" w:rsidRDefault="00E71E46" w:rsidP="0042629F">
      <w:pPr>
        <w:tabs>
          <w:tab w:val="clear" w:pos="4320"/>
          <w:tab w:val="clear" w:pos="9072"/>
        </w:tabs>
        <w:adjustRightInd w:val="0"/>
        <w:spacing w:line="360" w:lineRule="auto"/>
        <w:rPr>
          <w:szCs w:val="28"/>
        </w:rPr>
      </w:pPr>
      <w:r w:rsidRPr="003616DA">
        <w:rPr>
          <w:szCs w:val="28"/>
        </w:rPr>
        <w:t>Date of H</w:t>
      </w:r>
      <w:r w:rsidR="0025351D" w:rsidRPr="003616DA">
        <w:rPr>
          <w:szCs w:val="28"/>
        </w:rPr>
        <w:t>earing</w:t>
      </w:r>
      <w:r w:rsidR="00C73008" w:rsidRPr="003616DA">
        <w:rPr>
          <w:szCs w:val="28"/>
        </w:rPr>
        <w:t xml:space="preserve">: </w:t>
      </w:r>
      <w:r w:rsidR="00D8731F" w:rsidRPr="003616DA">
        <w:rPr>
          <w:szCs w:val="28"/>
        </w:rPr>
        <w:t xml:space="preserve"> </w:t>
      </w:r>
      <w:r w:rsidR="00A2719E" w:rsidRPr="003616DA">
        <w:rPr>
          <w:szCs w:val="28"/>
        </w:rPr>
        <w:t>2</w:t>
      </w:r>
      <w:r w:rsidR="00C17253">
        <w:rPr>
          <w:szCs w:val="28"/>
        </w:rPr>
        <w:t xml:space="preserve">6 September </w:t>
      </w:r>
      <w:r w:rsidR="0073400D" w:rsidRPr="003616DA">
        <w:rPr>
          <w:szCs w:val="28"/>
        </w:rPr>
        <w:t>201</w:t>
      </w:r>
      <w:r w:rsidR="00A2719E" w:rsidRPr="003616DA">
        <w:rPr>
          <w:szCs w:val="28"/>
        </w:rPr>
        <w:t>7</w:t>
      </w:r>
    </w:p>
    <w:p w:rsidR="00E71E46" w:rsidRPr="00FF04AF" w:rsidRDefault="00E71E46" w:rsidP="0042629F">
      <w:pPr>
        <w:tabs>
          <w:tab w:val="clear" w:pos="4320"/>
          <w:tab w:val="clear" w:pos="9072"/>
        </w:tabs>
        <w:adjustRightInd w:val="0"/>
        <w:spacing w:line="360" w:lineRule="auto"/>
        <w:rPr>
          <w:szCs w:val="28"/>
        </w:rPr>
      </w:pPr>
      <w:r w:rsidRPr="00FF04AF">
        <w:rPr>
          <w:szCs w:val="28"/>
        </w:rPr>
        <w:t xml:space="preserve">Date of </w:t>
      </w:r>
      <w:r w:rsidR="00C17253">
        <w:rPr>
          <w:szCs w:val="28"/>
        </w:rPr>
        <w:t>Decision</w:t>
      </w:r>
      <w:r w:rsidR="00AA58F9" w:rsidRPr="00FF04AF">
        <w:rPr>
          <w:szCs w:val="28"/>
        </w:rPr>
        <w:t>:</w:t>
      </w:r>
      <w:r w:rsidR="007A2963" w:rsidRPr="00FF04AF">
        <w:rPr>
          <w:szCs w:val="28"/>
        </w:rPr>
        <w:t xml:space="preserve"> </w:t>
      </w:r>
      <w:r w:rsidR="00D8731F" w:rsidRPr="00FF04AF">
        <w:rPr>
          <w:szCs w:val="28"/>
        </w:rPr>
        <w:t xml:space="preserve"> </w:t>
      </w:r>
      <w:r w:rsidR="003616DA">
        <w:rPr>
          <w:szCs w:val="28"/>
        </w:rPr>
        <w:t>2</w:t>
      </w:r>
      <w:r w:rsidR="00C17253">
        <w:rPr>
          <w:szCs w:val="28"/>
        </w:rPr>
        <w:t xml:space="preserve">6 September </w:t>
      </w:r>
      <w:r w:rsidR="000B68F6">
        <w:rPr>
          <w:szCs w:val="28"/>
        </w:rPr>
        <w:t>2017</w:t>
      </w:r>
    </w:p>
    <w:p w:rsidR="00481CCA" w:rsidRPr="00FF04AF" w:rsidRDefault="00481CCA" w:rsidP="0042629F">
      <w:pPr>
        <w:tabs>
          <w:tab w:val="clear" w:pos="4320"/>
          <w:tab w:val="clear" w:pos="9072"/>
        </w:tabs>
        <w:adjustRightInd w:val="0"/>
        <w:spacing w:line="360" w:lineRule="auto"/>
        <w:rPr>
          <w:szCs w:val="28"/>
        </w:rPr>
      </w:pPr>
    </w:p>
    <w:p w:rsidR="00481CCA" w:rsidRPr="00FF04AF" w:rsidRDefault="0073400D" w:rsidP="0042629F">
      <w:pPr>
        <w:tabs>
          <w:tab w:val="clear" w:pos="4320"/>
          <w:tab w:val="clear" w:pos="9072"/>
          <w:tab w:val="left" w:pos="1620"/>
          <w:tab w:val="right" w:pos="8280"/>
        </w:tabs>
        <w:adjustRightInd w:val="0"/>
        <w:spacing w:line="360" w:lineRule="auto"/>
        <w:jc w:val="center"/>
        <w:rPr>
          <w:szCs w:val="28"/>
        </w:rPr>
      </w:pPr>
      <w:r w:rsidRPr="00FF04AF">
        <w:rPr>
          <w:szCs w:val="28"/>
        </w:rPr>
        <w:t>---------------</w:t>
      </w:r>
      <w:r w:rsidR="00481CCA" w:rsidRPr="00FF04AF">
        <w:rPr>
          <w:szCs w:val="28"/>
        </w:rPr>
        <w:t>---------</w:t>
      </w:r>
    </w:p>
    <w:p w:rsidR="00481CCA" w:rsidRPr="00FF04AF" w:rsidRDefault="00C17253" w:rsidP="0042629F">
      <w:pPr>
        <w:tabs>
          <w:tab w:val="clear" w:pos="4320"/>
          <w:tab w:val="clear" w:pos="9072"/>
          <w:tab w:val="left" w:pos="1620"/>
          <w:tab w:val="right" w:pos="8280"/>
        </w:tabs>
        <w:adjustRightInd w:val="0"/>
        <w:spacing w:line="360" w:lineRule="auto"/>
        <w:jc w:val="center"/>
        <w:rPr>
          <w:rFonts w:eastAsia="PMingLiU"/>
          <w:szCs w:val="28"/>
          <w:lang w:eastAsia="zh-TW"/>
        </w:rPr>
      </w:pPr>
      <w:r>
        <w:rPr>
          <w:szCs w:val="28"/>
        </w:rPr>
        <w:t>DECISION</w:t>
      </w:r>
    </w:p>
    <w:p w:rsidR="00FD765C" w:rsidRPr="00FF04AF" w:rsidRDefault="00FD765C" w:rsidP="0042629F">
      <w:pPr>
        <w:tabs>
          <w:tab w:val="clear" w:pos="4320"/>
          <w:tab w:val="clear" w:pos="9072"/>
          <w:tab w:val="left" w:pos="1620"/>
          <w:tab w:val="right" w:pos="8280"/>
        </w:tabs>
        <w:adjustRightInd w:val="0"/>
        <w:spacing w:line="360" w:lineRule="auto"/>
        <w:jc w:val="center"/>
        <w:rPr>
          <w:szCs w:val="28"/>
        </w:rPr>
      </w:pPr>
      <w:r w:rsidRPr="00FF04AF">
        <w:rPr>
          <w:szCs w:val="28"/>
        </w:rPr>
        <w:t>------------------------</w:t>
      </w:r>
    </w:p>
    <w:p w:rsidR="00165620" w:rsidRDefault="00165620" w:rsidP="0042629F">
      <w:pPr>
        <w:tabs>
          <w:tab w:val="clear" w:pos="1440"/>
          <w:tab w:val="clear" w:pos="4320"/>
          <w:tab w:val="clear" w:pos="9072"/>
        </w:tabs>
        <w:snapToGrid/>
        <w:spacing w:line="360" w:lineRule="auto"/>
        <w:rPr>
          <w:szCs w:val="28"/>
        </w:rPr>
      </w:pPr>
    </w:p>
    <w:p w:rsidR="00C17253" w:rsidRPr="00C17253" w:rsidRDefault="00C17253" w:rsidP="0042629F">
      <w:pPr>
        <w:pStyle w:val="ListParagraph"/>
        <w:numPr>
          <w:ilvl w:val="0"/>
          <w:numId w:val="13"/>
        </w:numPr>
        <w:tabs>
          <w:tab w:val="clear" w:pos="4320"/>
          <w:tab w:val="clear" w:pos="9072"/>
        </w:tabs>
        <w:spacing w:line="360" w:lineRule="auto"/>
        <w:ind w:left="0" w:firstLine="0"/>
        <w:jc w:val="both"/>
      </w:pPr>
      <w:r w:rsidRPr="00C17253">
        <w:t xml:space="preserve">By a summons filed on 30 June 2017 (“the summons”), the plaintiff applies for leave to appeal from my decision handed down on 2 June 2017 (“the Decision”), in which I ordered that the plaintiff’s statement of claim filed on 30 November 2016 be struck out on the ground that it discloses no reasonable cause of action and the plaintiff’s action be dismissed.  The facts have been set out in the Decision and I do not repeat </w:t>
      </w:r>
      <w:r w:rsidRPr="00C17253">
        <w:lastRenderedPageBreak/>
        <w:t xml:space="preserve">the same herein.  For ease of reference, the abbreviations used in the Decision are adopted in the paragraphs below. </w:t>
      </w:r>
    </w:p>
    <w:p w:rsidR="00C17253" w:rsidRPr="00C17253" w:rsidRDefault="00C17253" w:rsidP="0042629F">
      <w:pPr>
        <w:tabs>
          <w:tab w:val="clear" w:pos="4320"/>
          <w:tab w:val="clear" w:pos="9072"/>
        </w:tabs>
        <w:spacing w:line="360" w:lineRule="auto"/>
        <w:jc w:val="both"/>
      </w:pPr>
    </w:p>
    <w:p w:rsidR="00C17253" w:rsidRPr="00354C71" w:rsidRDefault="00C17253" w:rsidP="0042629F">
      <w:pPr>
        <w:pStyle w:val="ListParagraph"/>
        <w:tabs>
          <w:tab w:val="clear" w:pos="4320"/>
          <w:tab w:val="clear" w:pos="9072"/>
        </w:tabs>
        <w:spacing w:line="360" w:lineRule="auto"/>
        <w:ind w:left="0"/>
        <w:jc w:val="both"/>
        <w:rPr>
          <w:i/>
        </w:rPr>
      </w:pPr>
      <w:r w:rsidRPr="00354C71">
        <w:rPr>
          <w:i/>
        </w:rPr>
        <w:t>The principles</w:t>
      </w:r>
    </w:p>
    <w:p w:rsidR="00C17253" w:rsidRPr="00C17253" w:rsidRDefault="00C17253" w:rsidP="0042629F">
      <w:pPr>
        <w:tabs>
          <w:tab w:val="clear" w:pos="4320"/>
          <w:tab w:val="clear" w:pos="9072"/>
        </w:tabs>
        <w:spacing w:line="360" w:lineRule="auto"/>
        <w:jc w:val="both"/>
      </w:pPr>
    </w:p>
    <w:p w:rsidR="00C17253" w:rsidRPr="00C17253" w:rsidRDefault="00C17253" w:rsidP="0042629F">
      <w:pPr>
        <w:pStyle w:val="ListParagraph"/>
        <w:numPr>
          <w:ilvl w:val="0"/>
          <w:numId w:val="13"/>
        </w:numPr>
        <w:tabs>
          <w:tab w:val="clear" w:pos="4320"/>
          <w:tab w:val="clear" w:pos="9072"/>
        </w:tabs>
        <w:spacing w:line="360" w:lineRule="auto"/>
        <w:ind w:left="0" w:firstLine="0"/>
        <w:jc w:val="both"/>
      </w:pPr>
      <w:r w:rsidRPr="00C17253">
        <w:t>Leave to appeal from the District Court to the Court of Appeal is governed by the District Court Ordinance (“DCO”), s</w:t>
      </w:r>
      <w:r w:rsidR="00354C71">
        <w:t xml:space="preserve"> </w:t>
      </w:r>
      <w:r w:rsidRPr="00C17253">
        <w:t>63</w:t>
      </w:r>
      <w:proofErr w:type="gramStart"/>
      <w:r w:rsidRPr="00C17253">
        <w:t>A(</w:t>
      </w:r>
      <w:proofErr w:type="gramEnd"/>
      <w:r w:rsidRPr="00C17253">
        <w:t>2), which provides:</w:t>
      </w:r>
      <w:r w:rsidR="00354C71">
        <w:rPr>
          <w:rFonts w:ascii="PMingLiU" w:eastAsia="PMingLiU" w:hAnsi="PMingLiU" w:hint="eastAsia"/>
          <w:lang w:eastAsia="zh-TW"/>
        </w:rPr>
        <w:t>-</w:t>
      </w:r>
    </w:p>
    <w:p w:rsidR="00C17253" w:rsidRPr="00C17253" w:rsidRDefault="00C17253" w:rsidP="0042629F">
      <w:pPr>
        <w:tabs>
          <w:tab w:val="clear" w:pos="4320"/>
          <w:tab w:val="clear" w:pos="9072"/>
        </w:tabs>
        <w:spacing w:line="360" w:lineRule="auto"/>
        <w:jc w:val="both"/>
      </w:pPr>
    </w:p>
    <w:p w:rsidR="00C17253" w:rsidRDefault="00C17253" w:rsidP="00354C71">
      <w:pPr>
        <w:pStyle w:val="ListParagraph"/>
        <w:tabs>
          <w:tab w:val="clear" w:pos="4320"/>
          <w:tab w:val="clear" w:pos="9072"/>
          <w:tab w:val="left" w:pos="2160"/>
        </w:tabs>
        <w:ind w:left="1440" w:right="746"/>
        <w:jc w:val="both"/>
        <w:rPr>
          <w:sz w:val="24"/>
          <w:szCs w:val="24"/>
        </w:rPr>
      </w:pPr>
      <w:r w:rsidRPr="00354C71">
        <w:rPr>
          <w:sz w:val="24"/>
          <w:szCs w:val="24"/>
        </w:rPr>
        <w:t>“(2)</w:t>
      </w:r>
      <w:r w:rsidR="00354C71">
        <w:rPr>
          <w:sz w:val="24"/>
          <w:szCs w:val="24"/>
        </w:rPr>
        <w:tab/>
      </w:r>
      <w:r w:rsidRPr="00354C71">
        <w:rPr>
          <w:sz w:val="24"/>
          <w:szCs w:val="24"/>
        </w:rPr>
        <w:t>Leave to appeal shall not be granted unless the judge, the master or the Court of Appeal hearing the application for leave is satisfied that—</w:t>
      </w:r>
    </w:p>
    <w:p w:rsidR="00354C71" w:rsidRPr="00354C71" w:rsidRDefault="00354C71" w:rsidP="00354C71">
      <w:pPr>
        <w:tabs>
          <w:tab w:val="clear" w:pos="4320"/>
          <w:tab w:val="clear" w:pos="9072"/>
          <w:tab w:val="left" w:pos="2160"/>
        </w:tabs>
        <w:ind w:right="746"/>
        <w:jc w:val="both"/>
        <w:rPr>
          <w:sz w:val="24"/>
          <w:szCs w:val="24"/>
        </w:rPr>
      </w:pPr>
    </w:p>
    <w:p w:rsidR="00C17253" w:rsidRDefault="00C17253" w:rsidP="002B0F87">
      <w:pPr>
        <w:pStyle w:val="ListParagraph"/>
        <w:numPr>
          <w:ilvl w:val="1"/>
          <w:numId w:val="13"/>
        </w:numPr>
        <w:tabs>
          <w:tab w:val="clear" w:pos="1440"/>
          <w:tab w:val="clear" w:pos="4320"/>
          <w:tab w:val="clear" w:pos="9072"/>
          <w:tab w:val="left" w:pos="2880"/>
        </w:tabs>
        <w:ind w:left="2880" w:right="746" w:hanging="720"/>
        <w:jc w:val="both"/>
        <w:rPr>
          <w:sz w:val="24"/>
          <w:szCs w:val="24"/>
        </w:rPr>
      </w:pPr>
      <w:r w:rsidRPr="00354C71">
        <w:rPr>
          <w:sz w:val="24"/>
          <w:szCs w:val="24"/>
        </w:rPr>
        <w:t>the appeal has a reasonable prospect of success; or</w:t>
      </w:r>
    </w:p>
    <w:p w:rsidR="00354C71" w:rsidRPr="00354C71" w:rsidRDefault="00354C71" w:rsidP="0042629F">
      <w:pPr>
        <w:pStyle w:val="ListParagraph"/>
        <w:tabs>
          <w:tab w:val="clear" w:pos="1440"/>
          <w:tab w:val="clear" w:pos="4320"/>
          <w:tab w:val="clear" w:pos="9072"/>
          <w:tab w:val="left" w:pos="2160"/>
          <w:tab w:val="left" w:pos="2880"/>
        </w:tabs>
        <w:ind w:left="2160" w:right="746"/>
        <w:jc w:val="both"/>
        <w:rPr>
          <w:sz w:val="24"/>
          <w:szCs w:val="24"/>
        </w:rPr>
      </w:pPr>
    </w:p>
    <w:p w:rsidR="00C17253" w:rsidRPr="00354C71" w:rsidRDefault="00C17253" w:rsidP="002B0F87">
      <w:pPr>
        <w:pStyle w:val="ListParagraph"/>
        <w:numPr>
          <w:ilvl w:val="1"/>
          <w:numId w:val="13"/>
        </w:numPr>
        <w:tabs>
          <w:tab w:val="clear" w:pos="1440"/>
          <w:tab w:val="clear" w:pos="4320"/>
          <w:tab w:val="clear" w:pos="9072"/>
          <w:tab w:val="left" w:pos="2880"/>
        </w:tabs>
        <w:ind w:left="2880" w:right="746" w:hanging="720"/>
        <w:jc w:val="both"/>
        <w:rPr>
          <w:sz w:val="24"/>
          <w:szCs w:val="24"/>
        </w:rPr>
      </w:pPr>
      <w:r w:rsidRPr="00354C71">
        <w:rPr>
          <w:sz w:val="24"/>
          <w:szCs w:val="24"/>
        </w:rPr>
        <w:t xml:space="preserve">there is some other reason in the interests of justice why the appeal should be heard.”  </w:t>
      </w:r>
    </w:p>
    <w:p w:rsidR="00C17253" w:rsidRPr="00C17253" w:rsidRDefault="00C17253" w:rsidP="0042629F">
      <w:pPr>
        <w:tabs>
          <w:tab w:val="clear" w:pos="4320"/>
          <w:tab w:val="clear" w:pos="9072"/>
        </w:tabs>
        <w:spacing w:line="360" w:lineRule="auto"/>
        <w:jc w:val="both"/>
      </w:pPr>
    </w:p>
    <w:p w:rsidR="00C17253" w:rsidRPr="00C17253" w:rsidRDefault="00C17253" w:rsidP="0042629F">
      <w:pPr>
        <w:pStyle w:val="ListParagraph"/>
        <w:numPr>
          <w:ilvl w:val="0"/>
          <w:numId w:val="13"/>
        </w:numPr>
        <w:tabs>
          <w:tab w:val="clear" w:pos="4320"/>
          <w:tab w:val="clear" w:pos="9072"/>
        </w:tabs>
        <w:spacing w:line="360" w:lineRule="auto"/>
        <w:ind w:left="0" w:firstLine="0"/>
        <w:jc w:val="both"/>
      </w:pPr>
      <w:r w:rsidRPr="00C17253">
        <w:t>The principles concerning DCO s</w:t>
      </w:r>
      <w:r w:rsidR="0042629F">
        <w:t xml:space="preserve"> </w:t>
      </w:r>
      <w:r w:rsidRPr="00C17253">
        <w:t>63</w:t>
      </w:r>
      <w:proofErr w:type="gramStart"/>
      <w:r w:rsidRPr="00C17253">
        <w:t>A(</w:t>
      </w:r>
      <w:proofErr w:type="gramEnd"/>
      <w:r w:rsidRPr="00C17253">
        <w:t xml:space="preserve">2) are trite.  A succinct summary of those principles can be found in a recent Court of Appeal’s decision </w:t>
      </w:r>
      <w:r w:rsidRPr="00354C71">
        <w:rPr>
          <w:rFonts w:hint="eastAsia"/>
          <w:i/>
        </w:rPr>
        <w:t xml:space="preserve">Yuen Oi Yee Lisa v Charoen </w:t>
      </w:r>
      <w:proofErr w:type="spellStart"/>
      <w:r w:rsidRPr="00354C71">
        <w:rPr>
          <w:rFonts w:hint="eastAsia"/>
          <w:i/>
        </w:rPr>
        <w:t>Sirivadhanabhakdi</w:t>
      </w:r>
      <w:proofErr w:type="spellEnd"/>
      <w:r w:rsidRPr="00354C71">
        <w:rPr>
          <w:rFonts w:hint="eastAsia"/>
          <w:i/>
        </w:rPr>
        <w:t xml:space="preserve"> and Others</w:t>
      </w:r>
      <w:r w:rsidRPr="00C17253">
        <w:t xml:space="preserve"> (HCMP 3305/2015, 18 February 2016), in which Poon JA </w:t>
      </w:r>
      <w:proofErr w:type="gramStart"/>
      <w:r w:rsidRPr="00C17253">
        <w:t>said:</w:t>
      </w:r>
      <w:r w:rsidR="00F423A8">
        <w:rPr>
          <w:rFonts w:ascii="PMingLiU" w:eastAsia="PMingLiU" w:hAnsi="PMingLiU" w:hint="eastAsia"/>
          <w:lang w:eastAsia="zh-TW"/>
        </w:rPr>
        <w:t>-</w:t>
      </w:r>
      <w:proofErr w:type="gramEnd"/>
    </w:p>
    <w:p w:rsidR="00C17253" w:rsidRPr="00C17253" w:rsidRDefault="00C17253" w:rsidP="0042629F">
      <w:pPr>
        <w:tabs>
          <w:tab w:val="clear" w:pos="4320"/>
          <w:tab w:val="clear" w:pos="9072"/>
        </w:tabs>
        <w:spacing w:line="360" w:lineRule="auto"/>
        <w:jc w:val="both"/>
      </w:pPr>
    </w:p>
    <w:p w:rsidR="00C17253" w:rsidRPr="00F423A8" w:rsidRDefault="00C17253" w:rsidP="00F423A8">
      <w:pPr>
        <w:pStyle w:val="ListParagraph"/>
        <w:tabs>
          <w:tab w:val="clear" w:pos="4320"/>
          <w:tab w:val="clear" w:pos="9072"/>
          <w:tab w:val="left" w:pos="2160"/>
        </w:tabs>
        <w:ind w:left="1440" w:right="746"/>
        <w:jc w:val="both"/>
        <w:rPr>
          <w:sz w:val="24"/>
          <w:szCs w:val="24"/>
        </w:rPr>
      </w:pPr>
      <w:r w:rsidRPr="00F423A8">
        <w:rPr>
          <w:sz w:val="24"/>
          <w:szCs w:val="24"/>
        </w:rPr>
        <w:t>“8.</w:t>
      </w:r>
      <w:r w:rsidR="00F423A8" w:rsidRPr="00F423A8">
        <w:rPr>
          <w:sz w:val="24"/>
          <w:szCs w:val="24"/>
        </w:rPr>
        <w:tab/>
      </w:r>
      <w:r w:rsidRPr="00F423A8">
        <w:rPr>
          <w:sz w:val="24"/>
          <w:szCs w:val="24"/>
        </w:rPr>
        <w:t>Under section 63 of the District Court Ordinance, Cap 336, an appeal to the Court of Appeal from a judgment, order or decision of a District Judge in any civil cause or matter may only be made with leave.  Section 63</w:t>
      </w:r>
      <w:proofErr w:type="gramStart"/>
      <w:r w:rsidRPr="00F423A8">
        <w:rPr>
          <w:sz w:val="24"/>
          <w:szCs w:val="24"/>
        </w:rPr>
        <w:t>A(</w:t>
      </w:r>
      <w:proofErr w:type="gramEnd"/>
      <w:r w:rsidRPr="00F423A8">
        <w:rPr>
          <w:sz w:val="24"/>
          <w:szCs w:val="24"/>
        </w:rPr>
        <w:t>2) goes on to provide that leave to appeal shall not be granted unless the Judge or the Court of Appeal hearing the application is satisfied that the appeal has a reasonable prospect of success or there is some other reason in the interests of justice why the appeal should be heard.</w:t>
      </w:r>
    </w:p>
    <w:p w:rsidR="00C17253" w:rsidRPr="00F423A8" w:rsidRDefault="00C17253" w:rsidP="00F423A8">
      <w:pPr>
        <w:tabs>
          <w:tab w:val="clear" w:pos="4320"/>
          <w:tab w:val="clear" w:pos="9072"/>
          <w:tab w:val="left" w:pos="2160"/>
        </w:tabs>
        <w:ind w:left="1440" w:right="746"/>
        <w:jc w:val="both"/>
        <w:rPr>
          <w:sz w:val="24"/>
          <w:szCs w:val="24"/>
        </w:rPr>
      </w:pPr>
    </w:p>
    <w:p w:rsidR="00C17253" w:rsidRPr="00F423A8" w:rsidRDefault="00C17253" w:rsidP="00F423A8">
      <w:pPr>
        <w:pStyle w:val="ListParagraph"/>
        <w:tabs>
          <w:tab w:val="clear" w:pos="4320"/>
          <w:tab w:val="clear" w:pos="9072"/>
          <w:tab w:val="left" w:pos="2160"/>
        </w:tabs>
        <w:ind w:left="1440" w:right="746"/>
        <w:jc w:val="both"/>
        <w:rPr>
          <w:sz w:val="24"/>
          <w:szCs w:val="24"/>
        </w:rPr>
      </w:pPr>
      <w:r w:rsidRPr="00F423A8">
        <w:rPr>
          <w:sz w:val="24"/>
          <w:szCs w:val="24"/>
        </w:rPr>
        <w:t>9.</w:t>
      </w:r>
      <w:r w:rsidR="00F423A8">
        <w:rPr>
          <w:sz w:val="24"/>
          <w:szCs w:val="24"/>
        </w:rPr>
        <w:tab/>
      </w:r>
      <w:r w:rsidRPr="00F423A8">
        <w:rPr>
          <w:sz w:val="24"/>
          <w:szCs w:val="24"/>
        </w:rPr>
        <w:t>It is well established that leave to appeal under section 63</w:t>
      </w:r>
      <w:proofErr w:type="gramStart"/>
      <w:r w:rsidRPr="00F423A8">
        <w:rPr>
          <w:sz w:val="24"/>
          <w:szCs w:val="24"/>
        </w:rPr>
        <w:t>A(</w:t>
      </w:r>
      <w:proofErr w:type="gramEnd"/>
      <w:r w:rsidRPr="00F423A8">
        <w:rPr>
          <w:sz w:val="24"/>
          <w:szCs w:val="24"/>
        </w:rPr>
        <w:t xml:space="preserve">2) </w:t>
      </w:r>
      <w:r w:rsidRPr="00F423A8">
        <w:rPr>
          <w:b/>
          <w:sz w:val="24"/>
          <w:szCs w:val="24"/>
        </w:rPr>
        <w:t>is not lightly granted</w:t>
      </w:r>
      <w:r w:rsidRPr="00F423A8">
        <w:rPr>
          <w:sz w:val="24"/>
          <w:szCs w:val="24"/>
        </w:rPr>
        <w:t xml:space="preserve">.  </w:t>
      </w:r>
      <w:r w:rsidRPr="00F423A8">
        <w:rPr>
          <w:b/>
          <w:sz w:val="24"/>
          <w:szCs w:val="24"/>
        </w:rPr>
        <w:t>Reasonable prospects of success</w:t>
      </w:r>
      <w:r w:rsidRPr="00F423A8">
        <w:rPr>
          <w:sz w:val="24"/>
          <w:szCs w:val="24"/>
        </w:rPr>
        <w:t xml:space="preserve"> </w:t>
      </w:r>
      <w:proofErr w:type="gramStart"/>
      <w:r w:rsidRPr="00F423A8">
        <w:rPr>
          <w:sz w:val="24"/>
          <w:szCs w:val="24"/>
        </w:rPr>
        <w:t>involves</w:t>
      </w:r>
      <w:proofErr w:type="gramEnd"/>
      <w:r w:rsidRPr="00F423A8">
        <w:rPr>
          <w:sz w:val="24"/>
          <w:szCs w:val="24"/>
        </w:rPr>
        <w:t xml:space="preserve"> the notion that the prospects of succeeding must be reasonable and therefore </w:t>
      </w:r>
      <w:r w:rsidRPr="00F423A8">
        <w:rPr>
          <w:b/>
          <w:sz w:val="24"/>
          <w:szCs w:val="24"/>
        </w:rPr>
        <w:t xml:space="preserve">more than fanciful, without </w:t>
      </w:r>
      <w:r w:rsidRPr="00F423A8">
        <w:rPr>
          <w:b/>
          <w:sz w:val="24"/>
          <w:szCs w:val="24"/>
        </w:rPr>
        <w:lastRenderedPageBreak/>
        <w:t>having to be probable</w:t>
      </w:r>
      <w:r w:rsidRPr="00F423A8">
        <w:rPr>
          <w:sz w:val="24"/>
          <w:szCs w:val="24"/>
        </w:rPr>
        <w:t xml:space="preserve">: see </w:t>
      </w:r>
      <w:r w:rsidRPr="00F423A8">
        <w:rPr>
          <w:i/>
          <w:sz w:val="24"/>
          <w:szCs w:val="24"/>
        </w:rPr>
        <w:t>SMSE v KL</w:t>
      </w:r>
      <w:r w:rsidRPr="00F423A8">
        <w:rPr>
          <w:sz w:val="24"/>
          <w:szCs w:val="24"/>
        </w:rPr>
        <w:t xml:space="preserve"> [2009] 4 HKLRD 125, per Le </w:t>
      </w:r>
      <w:proofErr w:type="spellStart"/>
      <w:r w:rsidRPr="00F423A8">
        <w:rPr>
          <w:sz w:val="24"/>
          <w:szCs w:val="24"/>
        </w:rPr>
        <w:t>Pichon</w:t>
      </w:r>
      <w:proofErr w:type="spellEnd"/>
      <w:r w:rsidRPr="00F423A8">
        <w:rPr>
          <w:sz w:val="24"/>
          <w:szCs w:val="24"/>
        </w:rPr>
        <w:t xml:space="preserve"> JA at [17].” (Emphasis added)</w:t>
      </w:r>
    </w:p>
    <w:p w:rsidR="00C17253" w:rsidRPr="00C17253" w:rsidRDefault="00C17253" w:rsidP="0042629F">
      <w:pPr>
        <w:tabs>
          <w:tab w:val="clear" w:pos="4320"/>
          <w:tab w:val="clear" w:pos="9072"/>
        </w:tabs>
        <w:spacing w:line="360" w:lineRule="auto"/>
        <w:jc w:val="both"/>
        <w:rPr>
          <w:lang w:eastAsia="zh-TW"/>
        </w:rPr>
      </w:pPr>
    </w:p>
    <w:p w:rsidR="00C17253" w:rsidRPr="00C17253" w:rsidRDefault="00C17253" w:rsidP="0042629F">
      <w:pPr>
        <w:pStyle w:val="ListParagraph"/>
        <w:numPr>
          <w:ilvl w:val="0"/>
          <w:numId w:val="13"/>
        </w:numPr>
        <w:tabs>
          <w:tab w:val="clear" w:pos="4320"/>
          <w:tab w:val="clear" w:pos="9072"/>
        </w:tabs>
        <w:spacing w:line="360" w:lineRule="auto"/>
        <w:ind w:left="0" w:firstLine="0"/>
        <w:jc w:val="both"/>
        <w:rPr>
          <w:lang w:eastAsia="zh-TW"/>
        </w:rPr>
      </w:pPr>
      <w:r w:rsidRPr="00C17253">
        <w:rPr>
          <w:lang w:eastAsia="zh-TW"/>
        </w:rPr>
        <w:t xml:space="preserve">As to the “some other reason” limb, the court may grant leave under this limb if there is an issue which the court considers that in the interest of the public should be clarified by the Court of Appeal.  See </w:t>
      </w:r>
      <w:r w:rsidRPr="00354C71">
        <w:rPr>
          <w:i/>
          <w:lang w:eastAsia="zh-TW"/>
        </w:rPr>
        <w:t xml:space="preserve">Smith v </w:t>
      </w:r>
      <w:proofErr w:type="spellStart"/>
      <w:r w:rsidRPr="00354C71">
        <w:rPr>
          <w:i/>
          <w:lang w:eastAsia="zh-TW"/>
        </w:rPr>
        <w:t>Cosworth</w:t>
      </w:r>
      <w:proofErr w:type="spellEnd"/>
      <w:r w:rsidRPr="00354C71">
        <w:rPr>
          <w:i/>
          <w:lang w:eastAsia="zh-TW"/>
        </w:rPr>
        <w:t xml:space="preserve"> Casting Processes Ltd</w:t>
      </w:r>
      <w:r w:rsidRPr="00C17253">
        <w:rPr>
          <w:lang w:eastAsia="zh-TW"/>
        </w:rPr>
        <w:t xml:space="preserve"> [1997] 1 WLR 1538.  However, even if there is an issue which may need clarification, if the “clarification</w:t>
      </w:r>
      <w:r w:rsidR="0042629F">
        <w:rPr>
          <w:lang w:eastAsia="zh-TW"/>
        </w:rPr>
        <w:t>”</w:t>
      </w:r>
      <w:r w:rsidRPr="00C17253">
        <w:rPr>
          <w:lang w:eastAsia="zh-TW"/>
        </w:rPr>
        <w:t xml:space="preserve"> would not change the outcome of the appeal, the court may still refuse to grant leave.  </w:t>
      </w:r>
    </w:p>
    <w:p w:rsidR="00C17253" w:rsidRPr="00C17253" w:rsidRDefault="00C17253" w:rsidP="0042629F">
      <w:pPr>
        <w:tabs>
          <w:tab w:val="clear" w:pos="4320"/>
          <w:tab w:val="clear" w:pos="9072"/>
        </w:tabs>
        <w:spacing w:line="360" w:lineRule="auto"/>
        <w:jc w:val="both"/>
        <w:rPr>
          <w:lang w:eastAsia="zh-TW"/>
        </w:rPr>
      </w:pPr>
    </w:p>
    <w:p w:rsidR="00C17253" w:rsidRPr="00F423A8" w:rsidRDefault="00C17253" w:rsidP="0042629F">
      <w:pPr>
        <w:pStyle w:val="ListParagraph"/>
        <w:tabs>
          <w:tab w:val="clear" w:pos="4320"/>
          <w:tab w:val="clear" w:pos="9072"/>
        </w:tabs>
        <w:spacing w:line="360" w:lineRule="auto"/>
        <w:ind w:left="0"/>
        <w:jc w:val="both"/>
        <w:rPr>
          <w:i/>
          <w:lang w:eastAsia="zh-TW"/>
        </w:rPr>
      </w:pPr>
      <w:r w:rsidRPr="00F423A8">
        <w:rPr>
          <w:i/>
          <w:lang w:eastAsia="zh-TW"/>
        </w:rPr>
        <w:t>Grounds of appeal</w:t>
      </w:r>
    </w:p>
    <w:p w:rsidR="00C17253" w:rsidRPr="00C17253" w:rsidRDefault="00C17253" w:rsidP="0042629F">
      <w:pPr>
        <w:tabs>
          <w:tab w:val="clear" w:pos="4320"/>
          <w:tab w:val="clear" w:pos="9072"/>
        </w:tabs>
        <w:spacing w:line="360" w:lineRule="auto"/>
        <w:jc w:val="both"/>
        <w:rPr>
          <w:lang w:eastAsia="zh-TW"/>
        </w:rPr>
      </w:pPr>
    </w:p>
    <w:p w:rsidR="00C17253" w:rsidRPr="00C17253" w:rsidRDefault="00C17253" w:rsidP="0042629F">
      <w:pPr>
        <w:pStyle w:val="ListParagraph"/>
        <w:numPr>
          <w:ilvl w:val="0"/>
          <w:numId w:val="13"/>
        </w:numPr>
        <w:tabs>
          <w:tab w:val="clear" w:pos="4320"/>
          <w:tab w:val="clear" w:pos="9072"/>
        </w:tabs>
        <w:spacing w:line="360" w:lineRule="auto"/>
        <w:ind w:left="0" w:firstLine="0"/>
        <w:jc w:val="both"/>
        <w:rPr>
          <w:lang w:eastAsia="zh-TW"/>
        </w:rPr>
      </w:pPr>
      <w:proofErr w:type="spellStart"/>
      <w:r w:rsidRPr="00C17253">
        <w:rPr>
          <w:lang w:eastAsia="zh-TW"/>
        </w:rPr>
        <w:t>Mr</w:t>
      </w:r>
      <w:proofErr w:type="spellEnd"/>
      <w:r w:rsidRPr="00C17253">
        <w:rPr>
          <w:lang w:eastAsia="zh-TW"/>
        </w:rPr>
        <w:t xml:space="preserve"> Wong, counsel for the plaintiff, put forward several grounds of appeal.  Those grounds in fact can be summarized in 2 </w:t>
      </w:r>
      <w:proofErr w:type="gramStart"/>
      <w:r w:rsidRPr="00C17253">
        <w:rPr>
          <w:lang w:eastAsia="zh-TW"/>
        </w:rPr>
        <w:t>points:</w:t>
      </w:r>
      <w:r w:rsidR="00F423A8">
        <w:rPr>
          <w:rFonts w:ascii="PMingLiU" w:eastAsia="PMingLiU" w:hAnsi="PMingLiU" w:hint="eastAsia"/>
          <w:lang w:eastAsia="zh-TW"/>
        </w:rPr>
        <w:t>-</w:t>
      </w:r>
      <w:proofErr w:type="gramEnd"/>
    </w:p>
    <w:p w:rsidR="00C17253" w:rsidRPr="00C17253" w:rsidRDefault="00C17253" w:rsidP="0042629F">
      <w:pPr>
        <w:tabs>
          <w:tab w:val="clear" w:pos="4320"/>
          <w:tab w:val="clear" w:pos="9072"/>
        </w:tabs>
        <w:spacing w:line="360" w:lineRule="auto"/>
        <w:jc w:val="both"/>
        <w:rPr>
          <w:lang w:eastAsia="zh-TW"/>
        </w:rPr>
      </w:pPr>
    </w:p>
    <w:p w:rsidR="00C17253" w:rsidRPr="00C17253" w:rsidRDefault="0042629F" w:rsidP="0042629F">
      <w:pPr>
        <w:pStyle w:val="ListParagraph"/>
        <w:numPr>
          <w:ilvl w:val="0"/>
          <w:numId w:val="14"/>
        </w:numPr>
        <w:tabs>
          <w:tab w:val="clear" w:pos="4320"/>
          <w:tab w:val="clear" w:pos="9072"/>
          <w:tab w:val="left" w:pos="2160"/>
        </w:tabs>
        <w:spacing w:line="360" w:lineRule="auto"/>
        <w:ind w:left="2160" w:hanging="720"/>
        <w:jc w:val="both"/>
        <w:rPr>
          <w:lang w:eastAsia="zh-TW"/>
        </w:rPr>
      </w:pPr>
      <w:r>
        <w:rPr>
          <w:lang w:eastAsia="zh-TW"/>
        </w:rPr>
        <w:t>P’s P</w:t>
      </w:r>
      <w:r w:rsidR="00C17253" w:rsidRPr="00C17253">
        <w:rPr>
          <w:lang w:eastAsia="zh-TW"/>
        </w:rPr>
        <w:t xml:space="preserve">roposition that in a criminal investigation, a law enforcement officer generally owes a duty of care to the suspect is arguably a correct statement of law notwithstanding the Court of Appeal’s decision in </w:t>
      </w:r>
      <w:r w:rsidR="00C17253" w:rsidRPr="00354C71">
        <w:rPr>
          <w:i/>
          <w:lang w:eastAsia="zh-TW"/>
        </w:rPr>
        <w:t xml:space="preserve">Liu Mei </w:t>
      </w:r>
      <w:proofErr w:type="spellStart"/>
      <w:r w:rsidR="00C17253" w:rsidRPr="00354C71">
        <w:rPr>
          <w:i/>
          <w:lang w:eastAsia="zh-TW"/>
        </w:rPr>
        <w:t>Huei</w:t>
      </w:r>
      <w:proofErr w:type="spellEnd"/>
      <w:r w:rsidR="00C17253" w:rsidRPr="00354C71">
        <w:rPr>
          <w:i/>
          <w:lang w:eastAsia="zh-TW"/>
        </w:rPr>
        <w:t xml:space="preserve"> v Government of the HKSAR</w:t>
      </w:r>
      <w:r w:rsidR="00C17253" w:rsidRPr="00C17253">
        <w:rPr>
          <w:lang w:eastAsia="zh-TW"/>
        </w:rPr>
        <w:t xml:space="preserve"> [2016] 2 HKLRD 249.</w:t>
      </w:r>
    </w:p>
    <w:p w:rsidR="00C17253" w:rsidRPr="00C17253" w:rsidRDefault="00C17253" w:rsidP="0042629F">
      <w:pPr>
        <w:tabs>
          <w:tab w:val="clear" w:pos="4320"/>
          <w:tab w:val="clear" w:pos="9072"/>
          <w:tab w:val="left" w:pos="2160"/>
        </w:tabs>
        <w:spacing w:line="360" w:lineRule="auto"/>
        <w:ind w:left="2160" w:hanging="720"/>
        <w:jc w:val="both"/>
        <w:rPr>
          <w:lang w:eastAsia="zh-TW"/>
        </w:rPr>
      </w:pPr>
    </w:p>
    <w:p w:rsidR="00C17253" w:rsidRPr="00C17253" w:rsidRDefault="00C17253" w:rsidP="0042629F">
      <w:pPr>
        <w:pStyle w:val="ListParagraph"/>
        <w:numPr>
          <w:ilvl w:val="0"/>
          <w:numId w:val="14"/>
        </w:numPr>
        <w:tabs>
          <w:tab w:val="clear" w:pos="4320"/>
          <w:tab w:val="clear" w:pos="9072"/>
          <w:tab w:val="left" w:pos="2160"/>
        </w:tabs>
        <w:spacing w:line="360" w:lineRule="auto"/>
        <w:ind w:left="2160" w:hanging="720"/>
        <w:jc w:val="both"/>
        <w:rPr>
          <w:lang w:eastAsia="zh-TW"/>
        </w:rPr>
      </w:pPr>
      <w:r w:rsidRPr="00C17253">
        <w:rPr>
          <w:lang w:eastAsia="zh-TW"/>
        </w:rPr>
        <w:t>It is arguable that a reasonable law enforcement officer may not regard the plaintiff as “keeper” of the said Dog for the purposes of s</w:t>
      </w:r>
      <w:r w:rsidR="00F423A8">
        <w:rPr>
          <w:lang w:eastAsia="zh-TW"/>
        </w:rPr>
        <w:t xml:space="preserve"> </w:t>
      </w:r>
      <w:r w:rsidRPr="00C17253">
        <w:rPr>
          <w:lang w:eastAsia="zh-TW"/>
        </w:rPr>
        <w:t xml:space="preserve">25 of the RO, in that the plaintiff neither owned the said Dog nor had it in her possession at the time of the said Incident.  Any deficiencies in the </w:t>
      </w:r>
      <w:r w:rsidRPr="00C17253">
        <w:rPr>
          <w:lang w:eastAsia="zh-TW"/>
        </w:rPr>
        <w:lastRenderedPageBreak/>
        <w:t>statement of claim can be cured by appropriate amendments.</w:t>
      </w:r>
    </w:p>
    <w:p w:rsidR="00C17253" w:rsidRPr="00C17253" w:rsidRDefault="00C17253" w:rsidP="0042629F">
      <w:pPr>
        <w:tabs>
          <w:tab w:val="clear" w:pos="4320"/>
          <w:tab w:val="clear" w:pos="9072"/>
        </w:tabs>
        <w:spacing w:line="360" w:lineRule="auto"/>
        <w:jc w:val="both"/>
        <w:rPr>
          <w:lang w:eastAsia="zh-TW"/>
        </w:rPr>
      </w:pPr>
    </w:p>
    <w:p w:rsidR="00C17253" w:rsidRPr="00F423A8" w:rsidRDefault="00C17253" w:rsidP="0042629F">
      <w:pPr>
        <w:pStyle w:val="ListParagraph"/>
        <w:tabs>
          <w:tab w:val="clear" w:pos="4320"/>
          <w:tab w:val="clear" w:pos="9072"/>
        </w:tabs>
        <w:spacing w:line="360" w:lineRule="auto"/>
        <w:ind w:left="0"/>
        <w:jc w:val="both"/>
        <w:rPr>
          <w:i/>
          <w:lang w:eastAsia="zh-TW"/>
        </w:rPr>
      </w:pPr>
      <w:r w:rsidRPr="00F423A8">
        <w:rPr>
          <w:i/>
          <w:lang w:eastAsia="zh-TW"/>
        </w:rPr>
        <w:t>No reasonable prospect of success</w:t>
      </w:r>
    </w:p>
    <w:p w:rsidR="00C17253" w:rsidRPr="00C17253" w:rsidRDefault="00C17253" w:rsidP="0042629F">
      <w:pPr>
        <w:tabs>
          <w:tab w:val="clear" w:pos="4320"/>
          <w:tab w:val="clear" w:pos="9072"/>
        </w:tabs>
        <w:spacing w:line="360" w:lineRule="auto"/>
        <w:jc w:val="both"/>
        <w:rPr>
          <w:lang w:eastAsia="zh-TW"/>
        </w:rPr>
      </w:pPr>
    </w:p>
    <w:p w:rsidR="00C17253" w:rsidRPr="00C17253" w:rsidRDefault="00C17253" w:rsidP="0042629F">
      <w:pPr>
        <w:pStyle w:val="ListParagraph"/>
        <w:numPr>
          <w:ilvl w:val="0"/>
          <w:numId w:val="13"/>
        </w:numPr>
        <w:tabs>
          <w:tab w:val="clear" w:pos="4320"/>
          <w:tab w:val="clear" w:pos="9072"/>
        </w:tabs>
        <w:spacing w:line="360" w:lineRule="auto"/>
        <w:ind w:left="0" w:firstLine="0"/>
        <w:jc w:val="both"/>
        <w:rPr>
          <w:lang w:eastAsia="zh-TW"/>
        </w:rPr>
      </w:pPr>
      <w:r w:rsidRPr="00C17253">
        <w:rPr>
          <w:lang w:eastAsia="zh-TW"/>
        </w:rPr>
        <w:t xml:space="preserve">As to whether </w:t>
      </w:r>
      <w:r w:rsidR="006601E7">
        <w:rPr>
          <w:lang w:eastAsia="zh-TW"/>
        </w:rPr>
        <w:t>P</w:t>
      </w:r>
      <w:r w:rsidRPr="00F423A8">
        <w:rPr>
          <w:lang w:eastAsia="zh-TW"/>
        </w:rPr>
        <w:t xml:space="preserve">’s </w:t>
      </w:r>
      <w:r w:rsidR="006601E7">
        <w:rPr>
          <w:lang w:eastAsia="zh-TW"/>
        </w:rPr>
        <w:t>P</w:t>
      </w:r>
      <w:r w:rsidRPr="00F423A8">
        <w:rPr>
          <w:lang w:eastAsia="zh-TW"/>
        </w:rPr>
        <w:t xml:space="preserve">roposition </w:t>
      </w:r>
      <w:r w:rsidRPr="00C17253">
        <w:rPr>
          <w:lang w:eastAsia="zh-TW"/>
        </w:rPr>
        <w:t xml:space="preserve">is an arguable point of law, with respect to </w:t>
      </w:r>
      <w:proofErr w:type="spellStart"/>
      <w:r w:rsidRPr="00C17253">
        <w:rPr>
          <w:lang w:eastAsia="zh-TW"/>
        </w:rPr>
        <w:t>Mr</w:t>
      </w:r>
      <w:proofErr w:type="spellEnd"/>
      <w:r w:rsidRPr="00C17253">
        <w:rPr>
          <w:lang w:eastAsia="zh-TW"/>
        </w:rPr>
        <w:t xml:space="preserve"> Wong, he is repeating the arguments made in the previous hearing.  For the reasons set out in the Decision, [11]</w:t>
      </w:r>
      <w:proofErr w:type="gramStart"/>
      <w:r w:rsidR="00533234">
        <w:rPr>
          <w:lang w:eastAsia="zh-TW"/>
        </w:rPr>
        <w:t>-</w:t>
      </w:r>
      <w:r w:rsidRPr="00C17253">
        <w:rPr>
          <w:lang w:eastAsia="zh-TW"/>
        </w:rPr>
        <w:t>[</w:t>
      </w:r>
      <w:proofErr w:type="gramEnd"/>
      <w:r w:rsidRPr="00C17253">
        <w:rPr>
          <w:lang w:eastAsia="zh-TW"/>
        </w:rPr>
        <w:t xml:space="preserve">19], I have rejected those arguments and ruled that </w:t>
      </w:r>
      <w:r w:rsidR="006601E7">
        <w:rPr>
          <w:lang w:eastAsia="zh-TW"/>
        </w:rPr>
        <w:t>P</w:t>
      </w:r>
      <w:r w:rsidR="006601E7" w:rsidRPr="00F423A8">
        <w:rPr>
          <w:lang w:eastAsia="zh-TW"/>
        </w:rPr>
        <w:t xml:space="preserve">’s </w:t>
      </w:r>
      <w:r w:rsidR="006601E7">
        <w:rPr>
          <w:lang w:eastAsia="zh-TW"/>
        </w:rPr>
        <w:t>P</w:t>
      </w:r>
      <w:r w:rsidR="006601E7" w:rsidRPr="00F423A8">
        <w:rPr>
          <w:lang w:eastAsia="zh-TW"/>
        </w:rPr>
        <w:t xml:space="preserve">roposition </w:t>
      </w:r>
      <w:r w:rsidRPr="00C17253">
        <w:rPr>
          <w:lang w:eastAsia="zh-TW"/>
        </w:rPr>
        <w:t>is unarguable.  My view remains unchanged.  In my judgment, the plaintiff does not have a reasonable prospect of success in overturning my ruling on this point.</w:t>
      </w:r>
    </w:p>
    <w:p w:rsidR="00C17253" w:rsidRPr="00C17253" w:rsidRDefault="00C17253" w:rsidP="0042629F">
      <w:pPr>
        <w:tabs>
          <w:tab w:val="clear" w:pos="4320"/>
          <w:tab w:val="clear" w:pos="9072"/>
        </w:tabs>
        <w:spacing w:line="360" w:lineRule="auto"/>
        <w:jc w:val="both"/>
        <w:rPr>
          <w:lang w:eastAsia="zh-TW"/>
        </w:rPr>
      </w:pPr>
    </w:p>
    <w:p w:rsidR="00C17253" w:rsidRPr="00C17253" w:rsidRDefault="00C17253" w:rsidP="0042629F">
      <w:pPr>
        <w:pStyle w:val="ListParagraph"/>
        <w:numPr>
          <w:ilvl w:val="0"/>
          <w:numId w:val="13"/>
        </w:numPr>
        <w:tabs>
          <w:tab w:val="clear" w:pos="4320"/>
          <w:tab w:val="clear" w:pos="9072"/>
        </w:tabs>
        <w:spacing w:line="360" w:lineRule="auto"/>
        <w:ind w:left="0" w:firstLine="0"/>
        <w:jc w:val="both"/>
        <w:rPr>
          <w:lang w:eastAsia="zh-TW"/>
        </w:rPr>
      </w:pPr>
      <w:r w:rsidRPr="00C17253">
        <w:rPr>
          <w:lang w:eastAsia="zh-TW"/>
        </w:rPr>
        <w:t xml:space="preserve">Since the plaintiff does not have a reasonable prospectus of success in establishing that </w:t>
      </w:r>
      <w:r w:rsidR="006601E7">
        <w:rPr>
          <w:lang w:eastAsia="zh-TW"/>
        </w:rPr>
        <w:t>P</w:t>
      </w:r>
      <w:r w:rsidR="006601E7" w:rsidRPr="00F423A8">
        <w:rPr>
          <w:lang w:eastAsia="zh-TW"/>
        </w:rPr>
        <w:t xml:space="preserve">’s </w:t>
      </w:r>
      <w:r w:rsidR="006601E7">
        <w:rPr>
          <w:lang w:eastAsia="zh-TW"/>
        </w:rPr>
        <w:t>P</w:t>
      </w:r>
      <w:r w:rsidR="006601E7" w:rsidRPr="00F423A8">
        <w:rPr>
          <w:lang w:eastAsia="zh-TW"/>
        </w:rPr>
        <w:t xml:space="preserve">roposition </w:t>
      </w:r>
      <w:r w:rsidRPr="00C17253">
        <w:rPr>
          <w:lang w:eastAsia="zh-TW"/>
        </w:rPr>
        <w:t xml:space="preserve">is an arguable legal proposition, her case must come to an end.  The point made by </w:t>
      </w:r>
      <w:proofErr w:type="spellStart"/>
      <w:r w:rsidRPr="00C17253">
        <w:rPr>
          <w:lang w:eastAsia="zh-TW"/>
        </w:rPr>
        <w:t>Mr</w:t>
      </w:r>
      <w:proofErr w:type="spellEnd"/>
      <w:r w:rsidRPr="00C17253">
        <w:rPr>
          <w:lang w:eastAsia="zh-TW"/>
        </w:rPr>
        <w:t xml:space="preserve"> Wong as summarized in §5(b) above does not assist the plaintiff at all.</w:t>
      </w:r>
    </w:p>
    <w:p w:rsidR="00C17253" w:rsidRPr="00C17253" w:rsidRDefault="00C17253" w:rsidP="0042629F">
      <w:pPr>
        <w:tabs>
          <w:tab w:val="clear" w:pos="4320"/>
          <w:tab w:val="clear" w:pos="9072"/>
        </w:tabs>
        <w:spacing w:line="360" w:lineRule="auto"/>
        <w:jc w:val="both"/>
        <w:rPr>
          <w:lang w:eastAsia="zh-TW"/>
        </w:rPr>
      </w:pPr>
    </w:p>
    <w:p w:rsidR="00C17253" w:rsidRPr="00C17253" w:rsidRDefault="00C17253" w:rsidP="0042629F">
      <w:pPr>
        <w:pStyle w:val="ListParagraph"/>
        <w:numPr>
          <w:ilvl w:val="0"/>
          <w:numId w:val="13"/>
        </w:numPr>
        <w:tabs>
          <w:tab w:val="clear" w:pos="4320"/>
          <w:tab w:val="clear" w:pos="9072"/>
        </w:tabs>
        <w:spacing w:line="360" w:lineRule="auto"/>
        <w:ind w:left="0" w:firstLine="0"/>
        <w:jc w:val="both"/>
        <w:rPr>
          <w:lang w:eastAsia="zh-TW"/>
        </w:rPr>
      </w:pPr>
      <w:r w:rsidRPr="00C17253">
        <w:rPr>
          <w:lang w:eastAsia="zh-TW"/>
        </w:rPr>
        <w:t xml:space="preserve">For the sake of completeness, I have also considered the submissions made by </w:t>
      </w:r>
      <w:proofErr w:type="spellStart"/>
      <w:r w:rsidRPr="00C17253">
        <w:rPr>
          <w:lang w:eastAsia="zh-TW"/>
        </w:rPr>
        <w:t>Mr</w:t>
      </w:r>
      <w:proofErr w:type="spellEnd"/>
      <w:r w:rsidRPr="00C17253">
        <w:rPr>
          <w:lang w:eastAsia="zh-TW"/>
        </w:rPr>
        <w:t xml:space="preserve"> Wong concerning the point as summarized in §5(b) above.  </w:t>
      </w:r>
      <w:proofErr w:type="spellStart"/>
      <w:r w:rsidRPr="00C17253">
        <w:rPr>
          <w:lang w:eastAsia="zh-TW"/>
        </w:rPr>
        <w:t>Mr</w:t>
      </w:r>
      <w:proofErr w:type="spellEnd"/>
      <w:r w:rsidRPr="00C17253">
        <w:rPr>
          <w:lang w:eastAsia="zh-TW"/>
        </w:rPr>
        <w:t xml:space="preserve"> Wong submits that whether the plaintiff should be considered as the “keeper” of the said Dog should be determined by reference to the time of the said Incident.  In my view, one should not overlook that the plaintiff started §1 of the statement of claim with these words, </w:t>
      </w:r>
      <w:proofErr w:type="spellStart"/>
      <w:r w:rsidRPr="00C17253">
        <w:rPr>
          <w:lang w:eastAsia="zh-TW"/>
        </w:rPr>
        <w:t>ie</w:t>
      </w:r>
      <w:proofErr w:type="spellEnd"/>
      <w:r w:rsidRPr="00C17253">
        <w:rPr>
          <w:lang w:eastAsia="zh-TW"/>
        </w:rPr>
        <w:t xml:space="preserve"> “</w:t>
      </w:r>
      <w:r w:rsidRPr="002B0F87">
        <w:rPr>
          <w:i/>
          <w:lang w:eastAsia="zh-TW"/>
        </w:rPr>
        <w:t>At all material times ......</w:t>
      </w:r>
      <w:r w:rsidRPr="00C17253">
        <w:rPr>
          <w:lang w:eastAsia="zh-TW"/>
        </w:rPr>
        <w:t xml:space="preserve">”, which must include the time of the said Incident.  Notwithstanding </w:t>
      </w:r>
      <w:proofErr w:type="spellStart"/>
      <w:r w:rsidRPr="00C17253">
        <w:rPr>
          <w:lang w:eastAsia="zh-TW"/>
        </w:rPr>
        <w:t>Mr</w:t>
      </w:r>
      <w:proofErr w:type="spellEnd"/>
      <w:r w:rsidRPr="00C17253">
        <w:rPr>
          <w:lang w:eastAsia="zh-TW"/>
        </w:rPr>
        <w:t xml:space="preserve"> Wong’s submissions, for the reasons set out in the Decision, [21]</w:t>
      </w:r>
      <w:proofErr w:type="gramStart"/>
      <w:r w:rsidR="00533234">
        <w:rPr>
          <w:lang w:eastAsia="zh-TW"/>
        </w:rPr>
        <w:t>-</w:t>
      </w:r>
      <w:r w:rsidRPr="00C17253">
        <w:rPr>
          <w:lang w:eastAsia="zh-TW"/>
        </w:rPr>
        <w:t>[</w:t>
      </w:r>
      <w:proofErr w:type="gramEnd"/>
      <w:r w:rsidRPr="00C17253">
        <w:rPr>
          <w:lang w:eastAsia="zh-TW"/>
        </w:rPr>
        <w:t xml:space="preserve">31], I am of the same view that a reasonable law enforcement officer may well regard the plaintiff as the keeper of the said Dog for the purposes of the RO.  With respect to </w:t>
      </w:r>
      <w:proofErr w:type="spellStart"/>
      <w:r w:rsidRPr="00C17253">
        <w:rPr>
          <w:lang w:eastAsia="zh-TW"/>
        </w:rPr>
        <w:t>Mr</w:t>
      </w:r>
      <w:proofErr w:type="spellEnd"/>
      <w:r w:rsidRPr="00C17253">
        <w:rPr>
          <w:lang w:eastAsia="zh-TW"/>
        </w:rPr>
        <w:t xml:space="preserve"> Wong, I do not </w:t>
      </w:r>
      <w:r w:rsidRPr="00C17253">
        <w:rPr>
          <w:lang w:eastAsia="zh-TW"/>
        </w:rPr>
        <w:lastRenderedPageBreak/>
        <w:t xml:space="preserve">regard the plaintiff has any reasonable prospect of success in appealing against my ruling. </w:t>
      </w:r>
    </w:p>
    <w:p w:rsidR="00C17253" w:rsidRPr="00C17253" w:rsidRDefault="00C17253" w:rsidP="0042629F">
      <w:pPr>
        <w:tabs>
          <w:tab w:val="clear" w:pos="4320"/>
          <w:tab w:val="clear" w:pos="9072"/>
        </w:tabs>
        <w:spacing w:line="360" w:lineRule="auto"/>
        <w:jc w:val="both"/>
        <w:rPr>
          <w:lang w:eastAsia="zh-TW"/>
        </w:rPr>
      </w:pPr>
    </w:p>
    <w:p w:rsidR="00C17253" w:rsidRPr="00533234" w:rsidRDefault="00C17253" w:rsidP="0042629F">
      <w:pPr>
        <w:pStyle w:val="ListParagraph"/>
        <w:tabs>
          <w:tab w:val="clear" w:pos="4320"/>
          <w:tab w:val="clear" w:pos="9072"/>
        </w:tabs>
        <w:spacing w:line="360" w:lineRule="auto"/>
        <w:ind w:left="0"/>
        <w:jc w:val="both"/>
        <w:rPr>
          <w:i/>
          <w:lang w:eastAsia="zh-TW"/>
        </w:rPr>
      </w:pPr>
      <w:r w:rsidRPr="00533234">
        <w:rPr>
          <w:i/>
          <w:lang w:eastAsia="zh-TW"/>
        </w:rPr>
        <w:t>Some other reason?</w:t>
      </w:r>
    </w:p>
    <w:p w:rsidR="00C17253" w:rsidRPr="00C17253" w:rsidRDefault="00C17253" w:rsidP="0042629F">
      <w:pPr>
        <w:tabs>
          <w:tab w:val="clear" w:pos="4320"/>
          <w:tab w:val="clear" w:pos="9072"/>
        </w:tabs>
        <w:spacing w:line="360" w:lineRule="auto"/>
        <w:jc w:val="both"/>
        <w:rPr>
          <w:lang w:eastAsia="zh-TW"/>
        </w:rPr>
      </w:pPr>
    </w:p>
    <w:p w:rsidR="00C17253" w:rsidRPr="00C17253" w:rsidRDefault="00C17253" w:rsidP="0042629F">
      <w:pPr>
        <w:pStyle w:val="ListParagraph"/>
        <w:numPr>
          <w:ilvl w:val="0"/>
          <w:numId w:val="13"/>
        </w:numPr>
        <w:tabs>
          <w:tab w:val="clear" w:pos="4320"/>
          <w:tab w:val="clear" w:pos="9072"/>
        </w:tabs>
        <w:spacing w:line="360" w:lineRule="auto"/>
        <w:ind w:left="0" w:firstLine="0"/>
        <w:jc w:val="both"/>
        <w:rPr>
          <w:lang w:eastAsia="zh-TW"/>
        </w:rPr>
      </w:pPr>
      <w:proofErr w:type="spellStart"/>
      <w:r w:rsidRPr="00C17253">
        <w:rPr>
          <w:lang w:eastAsia="zh-TW"/>
        </w:rPr>
        <w:t>Mr</w:t>
      </w:r>
      <w:proofErr w:type="spellEnd"/>
      <w:r w:rsidRPr="00C17253">
        <w:rPr>
          <w:lang w:eastAsia="zh-TW"/>
        </w:rPr>
        <w:t xml:space="preserve"> Wong further submits that there is some other reason in the interests of justice that the appeal should be heard, and that some other reason is that the Court of Appeal may take the opportunity to clarify whether the duty of care as suggested in </w:t>
      </w:r>
      <w:r w:rsidR="006601E7">
        <w:rPr>
          <w:lang w:eastAsia="zh-TW"/>
        </w:rPr>
        <w:t>P</w:t>
      </w:r>
      <w:r w:rsidR="006601E7" w:rsidRPr="00F423A8">
        <w:rPr>
          <w:lang w:eastAsia="zh-TW"/>
        </w:rPr>
        <w:t xml:space="preserve">’s </w:t>
      </w:r>
      <w:r w:rsidR="006601E7">
        <w:rPr>
          <w:lang w:eastAsia="zh-TW"/>
        </w:rPr>
        <w:t>P</w:t>
      </w:r>
      <w:r w:rsidR="006601E7" w:rsidRPr="00F423A8">
        <w:rPr>
          <w:lang w:eastAsia="zh-TW"/>
        </w:rPr>
        <w:t xml:space="preserve">roposition </w:t>
      </w:r>
      <w:r w:rsidRPr="00C17253">
        <w:rPr>
          <w:lang w:eastAsia="zh-TW"/>
        </w:rPr>
        <w:t xml:space="preserve">exists in Hong Kong notwithstanding the </w:t>
      </w:r>
      <w:r w:rsidRPr="00354C71">
        <w:rPr>
          <w:i/>
          <w:lang w:eastAsia="zh-TW"/>
        </w:rPr>
        <w:t xml:space="preserve">Liu Mei </w:t>
      </w:r>
      <w:proofErr w:type="spellStart"/>
      <w:r w:rsidRPr="00354C71">
        <w:rPr>
          <w:i/>
          <w:lang w:eastAsia="zh-TW"/>
        </w:rPr>
        <w:t>Huei</w:t>
      </w:r>
      <w:proofErr w:type="spellEnd"/>
      <w:r w:rsidRPr="00C17253">
        <w:rPr>
          <w:lang w:eastAsia="zh-TW"/>
        </w:rPr>
        <w:t xml:space="preserve"> case.  In my judgment, this is saying the same thing in another way.  </w:t>
      </w:r>
      <w:proofErr w:type="spellStart"/>
      <w:r w:rsidRPr="00C17253">
        <w:rPr>
          <w:lang w:eastAsia="zh-TW"/>
        </w:rPr>
        <w:t>Mr</w:t>
      </w:r>
      <w:proofErr w:type="spellEnd"/>
      <w:r w:rsidRPr="00C17253">
        <w:rPr>
          <w:lang w:eastAsia="zh-TW"/>
        </w:rPr>
        <w:t xml:space="preserve"> Wong in fact is still suggesting that </w:t>
      </w:r>
      <w:r w:rsidR="006601E7">
        <w:rPr>
          <w:lang w:eastAsia="zh-TW"/>
        </w:rPr>
        <w:t>P</w:t>
      </w:r>
      <w:r w:rsidR="006601E7" w:rsidRPr="00F423A8">
        <w:rPr>
          <w:lang w:eastAsia="zh-TW"/>
        </w:rPr>
        <w:t xml:space="preserve">’s </w:t>
      </w:r>
      <w:r w:rsidR="006601E7">
        <w:rPr>
          <w:lang w:eastAsia="zh-TW"/>
        </w:rPr>
        <w:t>P</w:t>
      </w:r>
      <w:r w:rsidR="006601E7" w:rsidRPr="00F423A8">
        <w:rPr>
          <w:lang w:eastAsia="zh-TW"/>
        </w:rPr>
        <w:t xml:space="preserve">roposition </w:t>
      </w:r>
      <w:r w:rsidRPr="00C17253">
        <w:rPr>
          <w:lang w:eastAsia="zh-TW"/>
        </w:rPr>
        <w:t xml:space="preserve">is an arguable point of law notwithstanding the </w:t>
      </w:r>
      <w:r w:rsidRPr="00354C71">
        <w:rPr>
          <w:i/>
          <w:lang w:eastAsia="zh-TW"/>
        </w:rPr>
        <w:t xml:space="preserve">Liu Mei </w:t>
      </w:r>
      <w:proofErr w:type="spellStart"/>
      <w:r w:rsidRPr="00354C71">
        <w:rPr>
          <w:i/>
          <w:lang w:eastAsia="zh-TW"/>
        </w:rPr>
        <w:t>Huei</w:t>
      </w:r>
      <w:proofErr w:type="spellEnd"/>
      <w:r w:rsidRPr="00C17253">
        <w:rPr>
          <w:lang w:eastAsia="zh-TW"/>
        </w:rPr>
        <w:t xml:space="preserve"> case.  I have already rejected the submissions and ruled that </w:t>
      </w:r>
      <w:r w:rsidR="006601E7">
        <w:rPr>
          <w:lang w:eastAsia="zh-TW"/>
        </w:rPr>
        <w:t>P</w:t>
      </w:r>
      <w:r w:rsidR="006601E7" w:rsidRPr="00F423A8">
        <w:rPr>
          <w:lang w:eastAsia="zh-TW"/>
        </w:rPr>
        <w:t xml:space="preserve">’s </w:t>
      </w:r>
      <w:r w:rsidR="006601E7">
        <w:rPr>
          <w:lang w:eastAsia="zh-TW"/>
        </w:rPr>
        <w:t>P</w:t>
      </w:r>
      <w:r w:rsidR="006601E7" w:rsidRPr="00F423A8">
        <w:rPr>
          <w:lang w:eastAsia="zh-TW"/>
        </w:rPr>
        <w:t xml:space="preserve">roposition </w:t>
      </w:r>
      <w:r w:rsidRPr="00C17253">
        <w:rPr>
          <w:lang w:eastAsia="zh-TW"/>
        </w:rPr>
        <w:t xml:space="preserve">is unarguable.  With respect to </w:t>
      </w:r>
      <w:proofErr w:type="spellStart"/>
      <w:r w:rsidRPr="00C17253">
        <w:rPr>
          <w:lang w:eastAsia="zh-TW"/>
        </w:rPr>
        <w:t>Mr</w:t>
      </w:r>
      <w:proofErr w:type="spellEnd"/>
      <w:r w:rsidRPr="00C17253">
        <w:rPr>
          <w:lang w:eastAsia="zh-TW"/>
        </w:rPr>
        <w:t xml:space="preserve"> Wong, I do not think there is anything unclear which has to be clarified by the Court of Appeal.</w:t>
      </w:r>
    </w:p>
    <w:p w:rsidR="00C17253" w:rsidRPr="00C17253" w:rsidRDefault="00C17253" w:rsidP="0042629F">
      <w:pPr>
        <w:tabs>
          <w:tab w:val="clear" w:pos="4320"/>
          <w:tab w:val="clear" w:pos="9072"/>
        </w:tabs>
        <w:spacing w:line="360" w:lineRule="auto"/>
        <w:jc w:val="both"/>
        <w:rPr>
          <w:lang w:eastAsia="zh-TW"/>
        </w:rPr>
      </w:pPr>
    </w:p>
    <w:p w:rsidR="00C17253" w:rsidRPr="00C17253" w:rsidRDefault="00C17253" w:rsidP="0042629F">
      <w:pPr>
        <w:pStyle w:val="ListParagraph"/>
        <w:numPr>
          <w:ilvl w:val="0"/>
          <w:numId w:val="13"/>
        </w:numPr>
        <w:tabs>
          <w:tab w:val="clear" w:pos="4320"/>
          <w:tab w:val="clear" w:pos="9072"/>
        </w:tabs>
        <w:spacing w:line="360" w:lineRule="auto"/>
        <w:ind w:left="0" w:firstLine="0"/>
        <w:jc w:val="both"/>
        <w:rPr>
          <w:lang w:eastAsia="zh-TW"/>
        </w:rPr>
      </w:pPr>
      <w:r w:rsidRPr="00C17253">
        <w:rPr>
          <w:lang w:eastAsia="zh-TW"/>
        </w:rPr>
        <w:t>Further, for the reasons set out in the Decision, [21]</w:t>
      </w:r>
      <w:proofErr w:type="gramStart"/>
      <w:r w:rsidR="00533234">
        <w:rPr>
          <w:lang w:eastAsia="zh-TW"/>
        </w:rPr>
        <w:t>-</w:t>
      </w:r>
      <w:r w:rsidRPr="00C17253">
        <w:rPr>
          <w:lang w:eastAsia="zh-TW"/>
        </w:rPr>
        <w:t>[</w:t>
      </w:r>
      <w:proofErr w:type="gramEnd"/>
      <w:r w:rsidRPr="00C17253">
        <w:rPr>
          <w:lang w:eastAsia="zh-TW"/>
        </w:rPr>
        <w:t xml:space="preserve">31], even if </w:t>
      </w:r>
      <w:r w:rsidR="006601E7">
        <w:rPr>
          <w:lang w:eastAsia="zh-TW"/>
        </w:rPr>
        <w:t>P</w:t>
      </w:r>
      <w:r w:rsidR="006601E7" w:rsidRPr="00F423A8">
        <w:rPr>
          <w:lang w:eastAsia="zh-TW"/>
        </w:rPr>
        <w:t xml:space="preserve">’s </w:t>
      </w:r>
      <w:r w:rsidR="006601E7">
        <w:rPr>
          <w:lang w:eastAsia="zh-TW"/>
        </w:rPr>
        <w:t>P</w:t>
      </w:r>
      <w:r w:rsidR="006601E7" w:rsidRPr="00F423A8">
        <w:rPr>
          <w:lang w:eastAsia="zh-TW"/>
        </w:rPr>
        <w:t xml:space="preserve">roposition </w:t>
      </w:r>
      <w:r w:rsidRPr="00C17253">
        <w:rPr>
          <w:lang w:eastAsia="zh-TW"/>
        </w:rPr>
        <w:t>is arguable, I am of the view that the plaintiff’s case is bound to fail.  This is another reason for declining leave under the “</w:t>
      </w:r>
      <w:r w:rsidRPr="00533234">
        <w:rPr>
          <w:lang w:eastAsia="zh-TW"/>
        </w:rPr>
        <w:t>some other reason</w:t>
      </w:r>
      <w:r w:rsidRPr="00C17253">
        <w:rPr>
          <w:lang w:eastAsia="zh-TW"/>
        </w:rPr>
        <w:t>” limb.</w:t>
      </w:r>
    </w:p>
    <w:p w:rsidR="00C17253" w:rsidRPr="00C17253" w:rsidRDefault="00C17253" w:rsidP="0042629F">
      <w:pPr>
        <w:tabs>
          <w:tab w:val="clear" w:pos="4320"/>
          <w:tab w:val="clear" w:pos="9072"/>
        </w:tabs>
        <w:spacing w:line="360" w:lineRule="auto"/>
        <w:jc w:val="both"/>
        <w:rPr>
          <w:lang w:eastAsia="zh-TW"/>
        </w:rPr>
      </w:pPr>
    </w:p>
    <w:p w:rsidR="00C17253" w:rsidRPr="0042629F" w:rsidRDefault="00C17253" w:rsidP="0042629F">
      <w:pPr>
        <w:pStyle w:val="ListParagraph"/>
        <w:tabs>
          <w:tab w:val="clear" w:pos="4320"/>
          <w:tab w:val="clear" w:pos="9072"/>
        </w:tabs>
        <w:spacing w:line="360" w:lineRule="auto"/>
        <w:ind w:left="0"/>
        <w:jc w:val="both"/>
        <w:rPr>
          <w:i/>
          <w:lang w:eastAsia="zh-TW"/>
        </w:rPr>
      </w:pPr>
      <w:r w:rsidRPr="0042629F">
        <w:rPr>
          <w:i/>
          <w:lang w:eastAsia="zh-TW"/>
        </w:rPr>
        <w:t>Disposition</w:t>
      </w:r>
    </w:p>
    <w:p w:rsidR="00C17253" w:rsidRPr="00C17253" w:rsidRDefault="00C17253" w:rsidP="0042629F">
      <w:pPr>
        <w:tabs>
          <w:tab w:val="clear" w:pos="4320"/>
          <w:tab w:val="clear" w:pos="9072"/>
        </w:tabs>
        <w:spacing w:line="360" w:lineRule="auto"/>
        <w:jc w:val="both"/>
        <w:rPr>
          <w:lang w:eastAsia="zh-TW"/>
        </w:rPr>
      </w:pPr>
    </w:p>
    <w:p w:rsidR="00C17253" w:rsidRPr="00C17253" w:rsidRDefault="00C17253" w:rsidP="0042629F">
      <w:pPr>
        <w:pStyle w:val="ListParagraph"/>
        <w:numPr>
          <w:ilvl w:val="0"/>
          <w:numId w:val="13"/>
        </w:numPr>
        <w:tabs>
          <w:tab w:val="clear" w:pos="4320"/>
          <w:tab w:val="clear" w:pos="9072"/>
        </w:tabs>
        <w:spacing w:line="360" w:lineRule="auto"/>
        <w:ind w:left="0" w:firstLine="0"/>
        <w:jc w:val="both"/>
        <w:rPr>
          <w:lang w:eastAsia="zh-TW"/>
        </w:rPr>
      </w:pPr>
      <w:r w:rsidRPr="00C17253">
        <w:rPr>
          <w:lang w:eastAsia="zh-TW"/>
        </w:rPr>
        <w:t>The plaintiff has failed in demonstrating any reason justifying for leave to appeal being granted.  I therefore dismiss the summons.</w:t>
      </w:r>
    </w:p>
    <w:p w:rsidR="00C17253" w:rsidRPr="00C17253" w:rsidRDefault="00C17253" w:rsidP="0042629F">
      <w:pPr>
        <w:tabs>
          <w:tab w:val="clear" w:pos="4320"/>
          <w:tab w:val="clear" w:pos="9072"/>
        </w:tabs>
        <w:spacing w:line="360" w:lineRule="auto"/>
        <w:jc w:val="both"/>
        <w:rPr>
          <w:lang w:eastAsia="zh-TW"/>
        </w:rPr>
      </w:pPr>
    </w:p>
    <w:p w:rsidR="00C17253" w:rsidRPr="00C17253" w:rsidRDefault="00C17253" w:rsidP="0042629F">
      <w:pPr>
        <w:pStyle w:val="ListParagraph"/>
        <w:numPr>
          <w:ilvl w:val="0"/>
          <w:numId w:val="13"/>
        </w:numPr>
        <w:tabs>
          <w:tab w:val="clear" w:pos="4320"/>
          <w:tab w:val="clear" w:pos="9072"/>
        </w:tabs>
        <w:spacing w:line="360" w:lineRule="auto"/>
        <w:ind w:left="0" w:firstLine="0"/>
        <w:jc w:val="both"/>
        <w:rPr>
          <w:lang w:eastAsia="zh-TW"/>
        </w:rPr>
      </w:pPr>
      <w:r w:rsidRPr="00C17253">
        <w:rPr>
          <w:lang w:eastAsia="zh-TW"/>
        </w:rPr>
        <w:t xml:space="preserve">Having heard submissions on costs, I am of the view that costs of the summons should be to the defendant.  I order that costs of the </w:t>
      </w:r>
      <w:r w:rsidRPr="00C17253">
        <w:rPr>
          <w:lang w:eastAsia="zh-TW"/>
        </w:rPr>
        <w:lastRenderedPageBreak/>
        <w:t>summons be to the defendant, with a certificate for counsel.  I summarily assess those costs at HK$10,000.</w:t>
      </w:r>
    </w:p>
    <w:p w:rsidR="00C17253" w:rsidRPr="00C17253" w:rsidRDefault="00C17253" w:rsidP="0042629F">
      <w:pPr>
        <w:tabs>
          <w:tab w:val="clear" w:pos="4320"/>
          <w:tab w:val="clear" w:pos="9072"/>
        </w:tabs>
        <w:spacing w:line="360" w:lineRule="auto"/>
        <w:jc w:val="both"/>
        <w:rPr>
          <w:lang w:eastAsia="zh-TW"/>
        </w:rPr>
      </w:pPr>
    </w:p>
    <w:p w:rsidR="00C17253" w:rsidRPr="00C17253" w:rsidRDefault="00C17253" w:rsidP="0042629F">
      <w:pPr>
        <w:pStyle w:val="ListParagraph"/>
        <w:numPr>
          <w:ilvl w:val="0"/>
          <w:numId w:val="13"/>
        </w:numPr>
        <w:tabs>
          <w:tab w:val="clear" w:pos="4320"/>
          <w:tab w:val="clear" w:pos="9072"/>
        </w:tabs>
        <w:spacing w:line="360" w:lineRule="auto"/>
        <w:ind w:left="0" w:firstLine="0"/>
        <w:jc w:val="both"/>
        <w:rPr>
          <w:lang w:eastAsia="zh-TW"/>
        </w:rPr>
      </w:pPr>
      <w:r w:rsidRPr="00C17253">
        <w:rPr>
          <w:lang w:eastAsia="zh-TW"/>
        </w:rPr>
        <w:t xml:space="preserve">I thank </w:t>
      </w:r>
      <w:proofErr w:type="spellStart"/>
      <w:r w:rsidRPr="00C17253">
        <w:rPr>
          <w:lang w:eastAsia="zh-TW"/>
        </w:rPr>
        <w:t>Mr</w:t>
      </w:r>
      <w:proofErr w:type="spellEnd"/>
      <w:r w:rsidRPr="00C17253">
        <w:rPr>
          <w:lang w:eastAsia="zh-TW"/>
        </w:rPr>
        <w:t xml:space="preserve"> Wong and </w:t>
      </w:r>
      <w:proofErr w:type="spellStart"/>
      <w:r w:rsidRPr="00C17253">
        <w:rPr>
          <w:lang w:eastAsia="zh-TW"/>
        </w:rPr>
        <w:t>Mr</w:t>
      </w:r>
      <w:proofErr w:type="spellEnd"/>
      <w:r w:rsidRPr="00C17253">
        <w:rPr>
          <w:lang w:eastAsia="zh-TW"/>
        </w:rPr>
        <w:t xml:space="preserve"> </w:t>
      </w:r>
      <w:proofErr w:type="spellStart"/>
      <w:r w:rsidRPr="00C17253">
        <w:rPr>
          <w:lang w:eastAsia="zh-TW"/>
        </w:rPr>
        <w:t>Chik</w:t>
      </w:r>
      <w:proofErr w:type="spellEnd"/>
      <w:r w:rsidRPr="00C17253">
        <w:rPr>
          <w:lang w:eastAsia="zh-TW"/>
        </w:rPr>
        <w:t xml:space="preserve"> for the assistance rendered to the court.</w:t>
      </w:r>
    </w:p>
    <w:p w:rsidR="002E4AD4" w:rsidRDefault="002E4AD4" w:rsidP="0042629F">
      <w:pPr>
        <w:spacing w:line="360" w:lineRule="auto"/>
      </w:pPr>
    </w:p>
    <w:p w:rsidR="0042629F" w:rsidRDefault="0042629F" w:rsidP="0042629F">
      <w:pPr>
        <w:spacing w:line="360" w:lineRule="auto"/>
      </w:pPr>
    </w:p>
    <w:p w:rsidR="0042629F" w:rsidRDefault="0042629F" w:rsidP="002E4AD4">
      <w:pPr>
        <w:spacing w:line="360" w:lineRule="auto"/>
      </w:pPr>
    </w:p>
    <w:p w:rsidR="000B68F6" w:rsidRDefault="000B68F6" w:rsidP="000B68F6">
      <w:pPr>
        <w:tabs>
          <w:tab w:val="clear" w:pos="4320"/>
          <w:tab w:val="clear" w:pos="9072"/>
          <w:tab w:val="center" w:pos="6480"/>
        </w:tabs>
      </w:pPr>
      <w:r>
        <w:tab/>
      </w:r>
      <w:r>
        <w:tab/>
      </w:r>
      <w:proofErr w:type="gramStart"/>
      <w:r>
        <w:t>( M</w:t>
      </w:r>
      <w:r w:rsidR="00165620">
        <w:t>K</w:t>
      </w:r>
      <w:proofErr w:type="gramEnd"/>
      <w:r w:rsidR="00165620">
        <w:t xml:space="preserve"> </w:t>
      </w:r>
      <w:r>
        <w:t>Liu )</w:t>
      </w:r>
    </w:p>
    <w:p w:rsidR="000B68F6" w:rsidRDefault="000B68F6" w:rsidP="000B68F6">
      <w:pPr>
        <w:tabs>
          <w:tab w:val="clear" w:pos="4320"/>
          <w:tab w:val="center" w:pos="6480"/>
        </w:tabs>
      </w:pPr>
      <w:r>
        <w:tab/>
      </w:r>
      <w:r>
        <w:tab/>
        <w:t>District Judge</w:t>
      </w:r>
    </w:p>
    <w:p w:rsidR="000B68F6" w:rsidRDefault="000B68F6" w:rsidP="000B68F6"/>
    <w:p w:rsidR="000B68F6" w:rsidRDefault="000B68F6" w:rsidP="000B68F6"/>
    <w:p w:rsidR="000B68F6" w:rsidRDefault="000B68F6" w:rsidP="00E10549">
      <w:pPr>
        <w:tabs>
          <w:tab w:val="clear" w:pos="4320"/>
          <w:tab w:val="clear" w:pos="9072"/>
        </w:tabs>
        <w:spacing w:line="276" w:lineRule="auto"/>
        <w:jc w:val="both"/>
      </w:pPr>
      <w:proofErr w:type="spellStart"/>
      <w:r>
        <w:t>Mr</w:t>
      </w:r>
      <w:proofErr w:type="spellEnd"/>
      <w:r>
        <w:t xml:space="preserve"> </w:t>
      </w:r>
      <w:r w:rsidR="00C17253">
        <w:t>Anson Wong</w:t>
      </w:r>
      <w:r w:rsidR="002B0F87">
        <w:t xml:space="preserve"> Yu Yat</w:t>
      </w:r>
      <w:bookmarkStart w:id="0" w:name="_GoBack"/>
      <w:bookmarkEnd w:id="0"/>
      <w:r>
        <w:t xml:space="preserve">, instructed by </w:t>
      </w:r>
      <w:r w:rsidR="00C17253">
        <w:t>Y H Yeung &amp; Associates</w:t>
      </w:r>
      <w:r w:rsidR="00A2719E">
        <w:t xml:space="preserve">, </w:t>
      </w:r>
      <w:r>
        <w:t xml:space="preserve">for the </w:t>
      </w:r>
      <w:r w:rsidR="00917593">
        <w:t>plaintiff</w:t>
      </w:r>
    </w:p>
    <w:p w:rsidR="000B68F6" w:rsidRDefault="000B68F6" w:rsidP="000B68F6">
      <w:pPr>
        <w:spacing w:line="276" w:lineRule="auto"/>
      </w:pPr>
    </w:p>
    <w:p w:rsidR="000B68F6" w:rsidRDefault="000B68F6" w:rsidP="000B68F6">
      <w:pPr>
        <w:spacing w:line="276" w:lineRule="auto"/>
      </w:pPr>
      <w:proofErr w:type="spellStart"/>
      <w:r>
        <w:t>M</w:t>
      </w:r>
      <w:r w:rsidR="00C17253">
        <w:t>r</w:t>
      </w:r>
      <w:proofErr w:type="spellEnd"/>
      <w:r w:rsidR="00C17253">
        <w:t xml:space="preserve"> Edward </w:t>
      </w:r>
      <w:proofErr w:type="spellStart"/>
      <w:r w:rsidR="00C17253">
        <w:t>Chik</w:t>
      </w:r>
      <w:proofErr w:type="spellEnd"/>
      <w:r w:rsidR="00C17253">
        <w:t>, Government Counsel, of Department of Justice</w:t>
      </w:r>
      <w:r w:rsidR="00354C71">
        <w:t>,</w:t>
      </w:r>
      <w:r w:rsidR="00C17253">
        <w:t xml:space="preserve"> </w:t>
      </w:r>
      <w:r>
        <w:t xml:space="preserve">for the </w:t>
      </w:r>
      <w:r w:rsidR="00E10549">
        <w:t>d</w:t>
      </w:r>
      <w:r>
        <w:t>efendant</w:t>
      </w:r>
    </w:p>
    <w:sectPr w:rsidR="000B68F6" w:rsidSect="001335E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849" w:rsidRDefault="00286849">
      <w:r>
        <w:separator/>
      </w:r>
    </w:p>
  </w:endnote>
  <w:endnote w:type="continuationSeparator" w:id="0">
    <w:p w:rsidR="00286849" w:rsidRDefault="0028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93" w:rsidRDefault="009175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7593" w:rsidRDefault="009175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93" w:rsidRDefault="00917593">
    <w:pPr>
      <w:pStyle w:val="Footer"/>
      <w:framePr w:wrap="around" w:vAnchor="text" w:hAnchor="margin" w:xAlign="right" w:y="1"/>
      <w:rPr>
        <w:rStyle w:val="PageNumber"/>
      </w:rPr>
    </w:pPr>
  </w:p>
  <w:p w:rsidR="00917593" w:rsidRDefault="009175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849" w:rsidRDefault="00286849">
      <w:r>
        <w:separator/>
      </w:r>
    </w:p>
  </w:footnote>
  <w:footnote w:type="continuationSeparator" w:id="0">
    <w:p w:rsidR="00286849" w:rsidRDefault="00286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93" w:rsidRDefault="00EF5ECC">
    <w:pPr>
      <w:pStyle w:val="Header"/>
    </w:pPr>
    <w:r w:rsidRPr="00AF087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mc:Fallback>
      </mc:AlternateContent>
    </w:r>
    <w:r w:rsidRPr="00AF087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Pr="00481CCA" w:rsidRDefault="00917593">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62hAIAABU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q3KsuL&#10;9DqvZqvzxXxWrIpyVs3TxSzNquvqPC2q4nb1PQSYFXUnGOPqTih+EGBW/B3B+1aYpBMliIYGV2Ve&#10;Tgz9Mck0fr9Lshce+lGKvsGLoxOpA6+vFYO0Se2JkNM8+Tn8WGWoweEfqxJVEIifJODH9RjlFiUS&#10;FLLW7BFkYTXQBgzDWwKTTtuvGA3Qlw12X7bEcozkWwXSqrKiCI0cF0U5z2FhTy3rUwtRFKAa7DGa&#10;pjd+av6tsWLTwU2TmJW+Ajm2IkrlKaq9iKH3Yk77dyI09+k6ej29Zssf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j&#10;Uc62hAIAABUFAAAOAAAAAAAAAAAAAAAAAC4CAABkcnMvZTJvRG9jLnhtbFBLAQItABQABgAIAAAA&#10;IQCU+uCF3wAAAAoBAAAPAAAAAAAAAAAAAAAAAN4EAABkcnMvZG93bnJldi54bWxQSwUGAAAAAAQA&#10;BADzAAAA6gUAAAAA&#10;" o:allowincell="f" stroked="f">
              <v:textbox>
                <w:txbxContent>
                  <w:p w:rsidR="00917593" w:rsidRPr="00481CCA" w:rsidRDefault="00917593">
                    <w:pPr>
                      <w:rPr>
                        <w:rFonts w:eastAsia="PMingLiU"/>
                        <w:b/>
                        <w:sz w:val="18"/>
                        <w:lang w:eastAsia="zh-TW"/>
                      </w:rPr>
                    </w:pPr>
                  </w:p>
                </w:txbxContent>
              </v:textbox>
            </v:shape>
          </w:pict>
        </mc:Fallback>
      </mc:AlternateContent>
    </w:r>
    <w:r w:rsidRPr="00AF087C">
      <w:rPr>
        <w:noProof/>
        <w:sz w:val="20"/>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" o:allowincell="f" stroked="f">
              <v:textbo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93" w:rsidRDefault="00917593">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2B0F87">
      <w:rPr>
        <w:rStyle w:val="PageNumber"/>
        <w:noProof/>
        <w:sz w:val="28"/>
      </w:rPr>
      <w:t>6</w:t>
    </w:r>
    <w:r>
      <w:rPr>
        <w:rStyle w:val="PageNumber"/>
        <w:sz w:val="28"/>
      </w:rPr>
      <w:fldChar w:fldCharType="end"/>
    </w:r>
    <w:r>
      <w:rPr>
        <w:rStyle w:val="PageNumber"/>
        <w:rFonts w:hint="eastAsia"/>
        <w:sz w:val="28"/>
      </w:rPr>
      <w:t xml:space="preserve"> -</w:t>
    </w:r>
    <w:r w:rsidR="00EF5ECC">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mc:Fallback>
      </mc:AlternateContent>
    </w:r>
    <w:r w:rsidR="00EF5ECC">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Ww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xj&#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hqX03w6&#10;MvTHJNP4/S7JTnjoRym6Gi/OTqQKvL5SDNImlSdCjvPk5/BjlaEGp3+sSlRBIH6UgB+2Q5RbcRLX&#10;VrMnkIXVQBswDG8JTFptv2DUQ1/W2H3eE8sxkm8USKvMiiI0clwU03kOC3tp2V5aiKIAVWOP0Thd&#10;+bH598aKXQs3jWJW+hbk2IgolaDbMaqjiKH3Yk7HdyI09+U6ev14zZbfAQ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C8&#10;sFWwhAIAABUFAAAOAAAAAAAAAAAAAAAAAC4CAABkcnMvZTJvRG9jLnhtbFBLAQItABQABgAIAAAA&#10;IQCU+uCF3wAAAAoBAAAPAAAAAAAAAAAAAAAAAN4EAABkcnMvZG93bnJldi54bWxQSwUGAAAAAAQA&#10;BADzAAAA6gUAAAAA&#10;" o:allowincell="f" stroked="f">
              <v:textbox>
                <w:txbxContent>
                  <w:p w:rsidR="00917593" w:rsidRDefault="00917593">
                    <w:pPr>
                      <w:rPr>
                        <w:rFonts w:eastAsia="黑体"/>
                        <w:b/>
                        <w:sz w:val="18"/>
                      </w:rPr>
                    </w:pPr>
                  </w:p>
                </w:txbxContent>
              </v:textbox>
            </v:shape>
          </w:pict>
        </mc:Fallback>
      </mc:AlternateContent>
    </w:r>
    <w:r w:rsidR="00EF5ECC">
      <w:rPr>
        <w:noProof/>
        <w:sz w:val="28"/>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JFhg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Z3ltjXgGYTgDtAHH8JrApDHuC0Y9dGaF/ec9cxKj9o0GcRU5pbGV04IurqIu3NSynVqY5gBV4YDR&#10;OL0LY/vvrVO7Bm4a5azNDQiyVkkqUbljVEcZQ/elnI4vRWzv6Tp5/XjP1t8B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BRmDJFhgIAABcFAAAOAAAAAAAAAAAAAAAAAC4CAABkcnMvZTJvRG9jLnhtbFBLAQItABQABgAI&#10;AAAAIQB4vZMb4AAAAAwBAAAPAAAAAAAAAAAAAAAAAOAEAABkcnMvZG93bnJldi54bWxQSwUGAAAA&#10;AAQABADzAAAA7QUAAAAA&#10;" o:allowincell="f" stroked="f">
              <v:textbo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37A1"/>
    <w:multiLevelType w:val="hybridMultilevel"/>
    <w:tmpl w:val="D8421006"/>
    <w:lvl w:ilvl="0" w:tplc="53B6BD2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42C58DC"/>
    <w:multiLevelType w:val="hybridMultilevel"/>
    <w:tmpl w:val="CF323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43A68"/>
    <w:multiLevelType w:val="hybridMultilevel"/>
    <w:tmpl w:val="B4549F90"/>
    <w:lvl w:ilvl="0" w:tplc="53CE6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C770D0C"/>
    <w:multiLevelType w:val="hybridMultilevel"/>
    <w:tmpl w:val="680ADB84"/>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CEC0B94"/>
    <w:multiLevelType w:val="hybridMultilevel"/>
    <w:tmpl w:val="CE507DC6"/>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57D31D4"/>
    <w:multiLevelType w:val="hybridMultilevel"/>
    <w:tmpl w:val="ACCCA430"/>
    <w:lvl w:ilvl="0" w:tplc="9F389CEA">
      <w:start w:val="1"/>
      <w:numFmt w:val="decimal"/>
      <w:lvlText w:val="%1."/>
      <w:lvlJc w:val="left"/>
      <w:pPr>
        <w:ind w:left="720" w:hanging="360"/>
      </w:pPr>
      <w:rPr>
        <w:rFonts w:hint="eastAsia"/>
        <w:b w:val="0"/>
        <w:i w:val="0"/>
        <w:sz w:val="28"/>
      </w:rPr>
    </w:lvl>
    <w:lvl w:ilvl="1" w:tplc="42EA5692">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D85F47"/>
    <w:multiLevelType w:val="hybridMultilevel"/>
    <w:tmpl w:val="C1100E8C"/>
    <w:lvl w:ilvl="0" w:tplc="53B6BD2E">
      <w:start w:val="1"/>
      <w:numFmt w:val="lowerLetter"/>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7" w15:restartNumberingAfterBreak="0">
    <w:nsid w:val="36132A73"/>
    <w:multiLevelType w:val="hybridMultilevel"/>
    <w:tmpl w:val="7CF2C57E"/>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5755109"/>
    <w:multiLevelType w:val="hybridMultilevel"/>
    <w:tmpl w:val="0386A876"/>
    <w:lvl w:ilvl="0" w:tplc="7EB2FB6C">
      <w:start w:val="1"/>
      <w:numFmt w:val="lowerLetter"/>
      <w:lvlText w:val="(%1)"/>
      <w:lvlJc w:val="left"/>
      <w:pPr>
        <w:ind w:left="720" w:hanging="360"/>
      </w:pPr>
      <w:rPr>
        <w:rFonts w:hint="default"/>
        <w:b w:val="0"/>
        <w:i w:val="0"/>
        <w:sz w:val="28"/>
      </w:rPr>
    </w:lvl>
    <w:lvl w:ilvl="1" w:tplc="42EA5692">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E0429"/>
    <w:multiLevelType w:val="hybridMultilevel"/>
    <w:tmpl w:val="A37A2182"/>
    <w:lvl w:ilvl="0" w:tplc="DD582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051E87"/>
    <w:multiLevelType w:val="hybridMultilevel"/>
    <w:tmpl w:val="C5DC11AE"/>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B980E02"/>
    <w:multiLevelType w:val="hybridMultilevel"/>
    <w:tmpl w:val="235835A2"/>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3C42ACA"/>
    <w:multiLevelType w:val="hybridMultilevel"/>
    <w:tmpl w:val="A2FAF510"/>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8223F5D"/>
    <w:multiLevelType w:val="hybridMultilevel"/>
    <w:tmpl w:val="14649A84"/>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6"/>
  </w:num>
  <w:num w:numId="4">
    <w:abstractNumId w:val="7"/>
  </w:num>
  <w:num w:numId="5">
    <w:abstractNumId w:val="13"/>
  </w:num>
  <w:num w:numId="6">
    <w:abstractNumId w:val="10"/>
  </w:num>
  <w:num w:numId="7">
    <w:abstractNumId w:val="12"/>
  </w:num>
  <w:num w:numId="8">
    <w:abstractNumId w:val="3"/>
  </w:num>
  <w:num w:numId="9">
    <w:abstractNumId w:val="11"/>
  </w:num>
  <w:num w:numId="10">
    <w:abstractNumId w:val="4"/>
  </w:num>
  <w:num w:numId="11">
    <w:abstractNumId w:val="1"/>
  </w:num>
  <w:num w:numId="12">
    <w:abstractNumId w:val="9"/>
  </w:num>
  <w:num w:numId="13">
    <w:abstractNumId w:val="5"/>
  </w:num>
  <w:num w:numId="1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4DDD363-0BB8-4BD1-BFE9-DD026F3E3B69}"/>
    <w:docVar w:name="dgnword-eventsink" w:val="98411912"/>
  </w:docVars>
  <w:rsids>
    <w:rsidRoot w:val="000C5DCF"/>
    <w:rsid w:val="00000049"/>
    <w:rsid w:val="00005CA6"/>
    <w:rsid w:val="00005F34"/>
    <w:rsid w:val="00016E70"/>
    <w:rsid w:val="0002479B"/>
    <w:rsid w:val="00032D9A"/>
    <w:rsid w:val="00053005"/>
    <w:rsid w:val="00053A4E"/>
    <w:rsid w:val="000550F6"/>
    <w:rsid w:val="00056923"/>
    <w:rsid w:val="000600F2"/>
    <w:rsid w:val="00061CD3"/>
    <w:rsid w:val="000672B8"/>
    <w:rsid w:val="00070353"/>
    <w:rsid w:val="00074ECC"/>
    <w:rsid w:val="00074F22"/>
    <w:rsid w:val="00077375"/>
    <w:rsid w:val="00086B0C"/>
    <w:rsid w:val="00090C6F"/>
    <w:rsid w:val="000A48F3"/>
    <w:rsid w:val="000A7FA3"/>
    <w:rsid w:val="000B68F6"/>
    <w:rsid w:val="000B7001"/>
    <w:rsid w:val="000B7FAD"/>
    <w:rsid w:val="000C3642"/>
    <w:rsid w:val="000C5DCF"/>
    <w:rsid w:val="000D2117"/>
    <w:rsid w:val="000D534B"/>
    <w:rsid w:val="000F03B4"/>
    <w:rsid w:val="000F1269"/>
    <w:rsid w:val="000F14D0"/>
    <w:rsid w:val="000F3420"/>
    <w:rsid w:val="000F47BA"/>
    <w:rsid w:val="000F4D00"/>
    <w:rsid w:val="000F67FE"/>
    <w:rsid w:val="00103655"/>
    <w:rsid w:val="00104914"/>
    <w:rsid w:val="001110B0"/>
    <w:rsid w:val="001159A0"/>
    <w:rsid w:val="00120AE8"/>
    <w:rsid w:val="00133310"/>
    <w:rsid w:val="001335E4"/>
    <w:rsid w:val="001344E2"/>
    <w:rsid w:val="00134F78"/>
    <w:rsid w:val="00135A4A"/>
    <w:rsid w:val="001413A5"/>
    <w:rsid w:val="00141AD3"/>
    <w:rsid w:val="00141E3B"/>
    <w:rsid w:val="00143EEC"/>
    <w:rsid w:val="00144A49"/>
    <w:rsid w:val="001459A8"/>
    <w:rsid w:val="001518E1"/>
    <w:rsid w:val="00160F67"/>
    <w:rsid w:val="00160F6E"/>
    <w:rsid w:val="00162197"/>
    <w:rsid w:val="00165620"/>
    <w:rsid w:val="001659A8"/>
    <w:rsid w:val="00171140"/>
    <w:rsid w:val="001736E5"/>
    <w:rsid w:val="001741B1"/>
    <w:rsid w:val="0017718A"/>
    <w:rsid w:val="0018098E"/>
    <w:rsid w:val="001817B3"/>
    <w:rsid w:val="00191506"/>
    <w:rsid w:val="00192054"/>
    <w:rsid w:val="00192922"/>
    <w:rsid w:val="00195D02"/>
    <w:rsid w:val="0019659F"/>
    <w:rsid w:val="001A30CD"/>
    <w:rsid w:val="001A3B7C"/>
    <w:rsid w:val="001A5D2B"/>
    <w:rsid w:val="001A672A"/>
    <w:rsid w:val="001A75D9"/>
    <w:rsid w:val="001B011E"/>
    <w:rsid w:val="001B0C5F"/>
    <w:rsid w:val="001C6166"/>
    <w:rsid w:val="001E0907"/>
    <w:rsid w:val="001E0ABF"/>
    <w:rsid w:val="001E1386"/>
    <w:rsid w:val="001E621E"/>
    <w:rsid w:val="001F56F3"/>
    <w:rsid w:val="001F6CC5"/>
    <w:rsid w:val="0020276C"/>
    <w:rsid w:val="00203311"/>
    <w:rsid w:val="00203DF0"/>
    <w:rsid w:val="002139AA"/>
    <w:rsid w:val="00215EAB"/>
    <w:rsid w:val="00216E1A"/>
    <w:rsid w:val="0022166A"/>
    <w:rsid w:val="00222703"/>
    <w:rsid w:val="00223A43"/>
    <w:rsid w:val="00224DA0"/>
    <w:rsid w:val="00234152"/>
    <w:rsid w:val="002348C0"/>
    <w:rsid w:val="002375F2"/>
    <w:rsid w:val="00253260"/>
    <w:rsid w:val="0025351D"/>
    <w:rsid w:val="00257922"/>
    <w:rsid w:val="002605ED"/>
    <w:rsid w:val="00261FEC"/>
    <w:rsid w:val="00275709"/>
    <w:rsid w:val="00286849"/>
    <w:rsid w:val="00291367"/>
    <w:rsid w:val="0029341F"/>
    <w:rsid w:val="00294E01"/>
    <w:rsid w:val="002A4A1B"/>
    <w:rsid w:val="002A54BE"/>
    <w:rsid w:val="002A72F6"/>
    <w:rsid w:val="002B0F87"/>
    <w:rsid w:val="002B6CB1"/>
    <w:rsid w:val="002B7288"/>
    <w:rsid w:val="002C1FCF"/>
    <w:rsid w:val="002C3C80"/>
    <w:rsid w:val="002C5729"/>
    <w:rsid w:val="002C7210"/>
    <w:rsid w:val="002D7B7C"/>
    <w:rsid w:val="002E2649"/>
    <w:rsid w:val="002E4AD4"/>
    <w:rsid w:val="002E7D32"/>
    <w:rsid w:val="002F2C33"/>
    <w:rsid w:val="002F4CD1"/>
    <w:rsid w:val="00306F2C"/>
    <w:rsid w:val="0030755C"/>
    <w:rsid w:val="003079A7"/>
    <w:rsid w:val="00307D0E"/>
    <w:rsid w:val="00316FD5"/>
    <w:rsid w:val="00325783"/>
    <w:rsid w:val="00327489"/>
    <w:rsid w:val="0032751A"/>
    <w:rsid w:val="00332266"/>
    <w:rsid w:val="003329EA"/>
    <w:rsid w:val="00332E8D"/>
    <w:rsid w:val="00333783"/>
    <w:rsid w:val="003363E6"/>
    <w:rsid w:val="00343883"/>
    <w:rsid w:val="00343B30"/>
    <w:rsid w:val="00347AEB"/>
    <w:rsid w:val="003548EC"/>
    <w:rsid w:val="00354C71"/>
    <w:rsid w:val="00355F75"/>
    <w:rsid w:val="00356535"/>
    <w:rsid w:val="003616DA"/>
    <w:rsid w:val="003626BE"/>
    <w:rsid w:val="0036412B"/>
    <w:rsid w:val="0037722C"/>
    <w:rsid w:val="003776AF"/>
    <w:rsid w:val="00383055"/>
    <w:rsid w:val="00392E77"/>
    <w:rsid w:val="0039393D"/>
    <w:rsid w:val="00395311"/>
    <w:rsid w:val="00396AD2"/>
    <w:rsid w:val="00397167"/>
    <w:rsid w:val="003B1AED"/>
    <w:rsid w:val="003B370A"/>
    <w:rsid w:val="003B4AFE"/>
    <w:rsid w:val="003B7BC8"/>
    <w:rsid w:val="003C0301"/>
    <w:rsid w:val="003C0D49"/>
    <w:rsid w:val="003C4963"/>
    <w:rsid w:val="003C4B37"/>
    <w:rsid w:val="003D033B"/>
    <w:rsid w:val="003D09D6"/>
    <w:rsid w:val="003D13A4"/>
    <w:rsid w:val="003D6F1D"/>
    <w:rsid w:val="003D78B6"/>
    <w:rsid w:val="003D7D60"/>
    <w:rsid w:val="003E1314"/>
    <w:rsid w:val="003E52E0"/>
    <w:rsid w:val="003E7614"/>
    <w:rsid w:val="003F471B"/>
    <w:rsid w:val="00411444"/>
    <w:rsid w:val="00417498"/>
    <w:rsid w:val="0042269D"/>
    <w:rsid w:val="004252AF"/>
    <w:rsid w:val="0042629F"/>
    <w:rsid w:val="004419A5"/>
    <w:rsid w:val="00442C32"/>
    <w:rsid w:val="004449F0"/>
    <w:rsid w:val="00450C98"/>
    <w:rsid w:val="00454E56"/>
    <w:rsid w:val="00455B36"/>
    <w:rsid w:val="00461317"/>
    <w:rsid w:val="00461CB0"/>
    <w:rsid w:val="00470851"/>
    <w:rsid w:val="00470A3E"/>
    <w:rsid w:val="00481CCA"/>
    <w:rsid w:val="004834F9"/>
    <w:rsid w:val="004852A1"/>
    <w:rsid w:val="00486B61"/>
    <w:rsid w:val="0049143E"/>
    <w:rsid w:val="00491755"/>
    <w:rsid w:val="00493CCE"/>
    <w:rsid w:val="004A4725"/>
    <w:rsid w:val="004A502B"/>
    <w:rsid w:val="004A6754"/>
    <w:rsid w:val="004A7AA6"/>
    <w:rsid w:val="004B2828"/>
    <w:rsid w:val="004C07AC"/>
    <w:rsid w:val="004C222D"/>
    <w:rsid w:val="004D5E2B"/>
    <w:rsid w:val="004D69D2"/>
    <w:rsid w:val="004E045C"/>
    <w:rsid w:val="004E047F"/>
    <w:rsid w:val="004E5AA9"/>
    <w:rsid w:val="004F6D55"/>
    <w:rsid w:val="00506B05"/>
    <w:rsid w:val="005109DE"/>
    <w:rsid w:val="00511F40"/>
    <w:rsid w:val="00512A8C"/>
    <w:rsid w:val="00521388"/>
    <w:rsid w:val="005218DD"/>
    <w:rsid w:val="00523D3C"/>
    <w:rsid w:val="005306B8"/>
    <w:rsid w:val="00533234"/>
    <w:rsid w:val="00541D8B"/>
    <w:rsid w:val="0054388A"/>
    <w:rsid w:val="005501D3"/>
    <w:rsid w:val="0055121D"/>
    <w:rsid w:val="005514F2"/>
    <w:rsid w:val="005540FB"/>
    <w:rsid w:val="00560F86"/>
    <w:rsid w:val="0056211C"/>
    <w:rsid w:val="00566591"/>
    <w:rsid w:val="00567EFB"/>
    <w:rsid w:val="00573096"/>
    <w:rsid w:val="00575226"/>
    <w:rsid w:val="005833DC"/>
    <w:rsid w:val="00585192"/>
    <w:rsid w:val="00586643"/>
    <w:rsid w:val="00591911"/>
    <w:rsid w:val="00595E12"/>
    <w:rsid w:val="005A16D0"/>
    <w:rsid w:val="005A1927"/>
    <w:rsid w:val="005A2057"/>
    <w:rsid w:val="005A399C"/>
    <w:rsid w:val="005A6C4F"/>
    <w:rsid w:val="005A7C75"/>
    <w:rsid w:val="005B127D"/>
    <w:rsid w:val="005B172A"/>
    <w:rsid w:val="005B3949"/>
    <w:rsid w:val="005B480C"/>
    <w:rsid w:val="005C1075"/>
    <w:rsid w:val="005C64A3"/>
    <w:rsid w:val="005D2A99"/>
    <w:rsid w:val="005D32B2"/>
    <w:rsid w:val="005D6FEE"/>
    <w:rsid w:val="005E3A32"/>
    <w:rsid w:val="005E5D58"/>
    <w:rsid w:val="005E6883"/>
    <w:rsid w:val="005E7B91"/>
    <w:rsid w:val="005F1820"/>
    <w:rsid w:val="005F697E"/>
    <w:rsid w:val="00600454"/>
    <w:rsid w:val="00601022"/>
    <w:rsid w:val="00606568"/>
    <w:rsid w:val="00611662"/>
    <w:rsid w:val="0061580B"/>
    <w:rsid w:val="00617622"/>
    <w:rsid w:val="00620D04"/>
    <w:rsid w:val="00624867"/>
    <w:rsid w:val="0062494D"/>
    <w:rsid w:val="00631A78"/>
    <w:rsid w:val="00634CE3"/>
    <w:rsid w:val="00635260"/>
    <w:rsid w:val="006371D9"/>
    <w:rsid w:val="006416E1"/>
    <w:rsid w:val="00656EF9"/>
    <w:rsid w:val="00657F62"/>
    <w:rsid w:val="006601E7"/>
    <w:rsid w:val="00665781"/>
    <w:rsid w:val="00666003"/>
    <w:rsid w:val="00672092"/>
    <w:rsid w:val="00674481"/>
    <w:rsid w:val="00682045"/>
    <w:rsid w:val="006829D5"/>
    <w:rsid w:val="00692D03"/>
    <w:rsid w:val="0069412D"/>
    <w:rsid w:val="006943AE"/>
    <w:rsid w:val="006951B9"/>
    <w:rsid w:val="006963B5"/>
    <w:rsid w:val="006A3540"/>
    <w:rsid w:val="006B2071"/>
    <w:rsid w:val="006B2CCE"/>
    <w:rsid w:val="006C7587"/>
    <w:rsid w:val="006D5886"/>
    <w:rsid w:val="006D73D0"/>
    <w:rsid w:val="006E5CE1"/>
    <w:rsid w:val="006E630D"/>
    <w:rsid w:val="006F0924"/>
    <w:rsid w:val="006F10A0"/>
    <w:rsid w:val="006F28C0"/>
    <w:rsid w:val="006F37EB"/>
    <w:rsid w:val="006F3AB4"/>
    <w:rsid w:val="006F5608"/>
    <w:rsid w:val="00700B8C"/>
    <w:rsid w:val="00701D02"/>
    <w:rsid w:val="00702A3D"/>
    <w:rsid w:val="00703430"/>
    <w:rsid w:val="00703FF6"/>
    <w:rsid w:val="0070445C"/>
    <w:rsid w:val="00711E1A"/>
    <w:rsid w:val="007126D7"/>
    <w:rsid w:val="00731B0B"/>
    <w:rsid w:val="00732AAD"/>
    <w:rsid w:val="0073400D"/>
    <w:rsid w:val="00740AD6"/>
    <w:rsid w:val="00742F61"/>
    <w:rsid w:val="00743353"/>
    <w:rsid w:val="00743A7D"/>
    <w:rsid w:val="00744618"/>
    <w:rsid w:val="00744856"/>
    <w:rsid w:val="00746523"/>
    <w:rsid w:val="00746CCB"/>
    <w:rsid w:val="00755722"/>
    <w:rsid w:val="00755F23"/>
    <w:rsid w:val="007618BD"/>
    <w:rsid w:val="0076596A"/>
    <w:rsid w:val="00765DE6"/>
    <w:rsid w:val="007732A8"/>
    <w:rsid w:val="00775013"/>
    <w:rsid w:val="00776ACC"/>
    <w:rsid w:val="00783090"/>
    <w:rsid w:val="007851DF"/>
    <w:rsid w:val="00785C71"/>
    <w:rsid w:val="0079382B"/>
    <w:rsid w:val="00796DC5"/>
    <w:rsid w:val="007A0903"/>
    <w:rsid w:val="007A1D69"/>
    <w:rsid w:val="007A2963"/>
    <w:rsid w:val="007A39B4"/>
    <w:rsid w:val="007A6227"/>
    <w:rsid w:val="007A730E"/>
    <w:rsid w:val="007B3A34"/>
    <w:rsid w:val="007B3B87"/>
    <w:rsid w:val="007B6BEE"/>
    <w:rsid w:val="007C3A83"/>
    <w:rsid w:val="007C3C65"/>
    <w:rsid w:val="007C5112"/>
    <w:rsid w:val="007D5C3E"/>
    <w:rsid w:val="007D6149"/>
    <w:rsid w:val="007F5618"/>
    <w:rsid w:val="008031E4"/>
    <w:rsid w:val="00804297"/>
    <w:rsid w:val="00804CA6"/>
    <w:rsid w:val="00806967"/>
    <w:rsid w:val="008079EF"/>
    <w:rsid w:val="00814142"/>
    <w:rsid w:val="0082099E"/>
    <w:rsid w:val="008211A1"/>
    <w:rsid w:val="0082250F"/>
    <w:rsid w:val="008242CD"/>
    <w:rsid w:val="00835C3C"/>
    <w:rsid w:val="008447D6"/>
    <w:rsid w:val="00845787"/>
    <w:rsid w:val="00850323"/>
    <w:rsid w:val="0085129E"/>
    <w:rsid w:val="008517F3"/>
    <w:rsid w:val="008569FC"/>
    <w:rsid w:val="0086053E"/>
    <w:rsid w:val="0086561D"/>
    <w:rsid w:val="0088146D"/>
    <w:rsid w:val="00882617"/>
    <w:rsid w:val="00883D4F"/>
    <w:rsid w:val="00884A46"/>
    <w:rsid w:val="008857A5"/>
    <w:rsid w:val="00885921"/>
    <w:rsid w:val="008965EB"/>
    <w:rsid w:val="00896AA9"/>
    <w:rsid w:val="008A0BB3"/>
    <w:rsid w:val="008A4220"/>
    <w:rsid w:val="008C13A1"/>
    <w:rsid w:val="008C1C2F"/>
    <w:rsid w:val="008C72F2"/>
    <w:rsid w:val="008D0D3A"/>
    <w:rsid w:val="008D20AB"/>
    <w:rsid w:val="008D538B"/>
    <w:rsid w:val="008E0253"/>
    <w:rsid w:val="008E0AAC"/>
    <w:rsid w:val="008E0B70"/>
    <w:rsid w:val="008E368F"/>
    <w:rsid w:val="008E5439"/>
    <w:rsid w:val="008E61DC"/>
    <w:rsid w:val="008F390A"/>
    <w:rsid w:val="008F4EC7"/>
    <w:rsid w:val="00905124"/>
    <w:rsid w:val="009117FD"/>
    <w:rsid w:val="00915353"/>
    <w:rsid w:val="00917593"/>
    <w:rsid w:val="00920612"/>
    <w:rsid w:val="0092167B"/>
    <w:rsid w:val="009251FA"/>
    <w:rsid w:val="00931DCA"/>
    <w:rsid w:val="009361BE"/>
    <w:rsid w:val="00944C6E"/>
    <w:rsid w:val="00944F98"/>
    <w:rsid w:val="00946F78"/>
    <w:rsid w:val="00947E28"/>
    <w:rsid w:val="009503EC"/>
    <w:rsid w:val="00952261"/>
    <w:rsid w:val="00955472"/>
    <w:rsid w:val="00964263"/>
    <w:rsid w:val="0096702D"/>
    <w:rsid w:val="00970F92"/>
    <w:rsid w:val="00973931"/>
    <w:rsid w:val="009741AC"/>
    <w:rsid w:val="00975969"/>
    <w:rsid w:val="00977525"/>
    <w:rsid w:val="00980E99"/>
    <w:rsid w:val="00981AA0"/>
    <w:rsid w:val="00985DBB"/>
    <w:rsid w:val="00987102"/>
    <w:rsid w:val="009937F3"/>
    <w:rsid w:val="0099387B"/>
    <w:rsid w:val="00994865"/>
    <w:rsid w:val="009A0977"/>
    <w:rsid w:val="009A5D6B"/>
    <w:rsid w:val="009B2EE0"/>
    <w:rsid w:val="009B7018"/>
    <w:rsid w:val="009C2F49"/>
    <w:rsid w:val="009C30E3"/>
    <w:rsid w:val="009C43A9"/>
    <w:rsid w:val="009C554A"/>
    <w:rsid w:val="009C758F"/>
    <w:rsid w:val="009D4590"/>
    <w:rsid w:val="009E0D52"/>
    <w:rsid w:val="009E2A2C"/>
    <w:rsid w:val="009E611B"/>
    <w:rsid w:val="009F3387"/>
    <w:rsid w:val="009F3BC5"/>
    <w:rsid w:val="00A10D56"/>
    <w:rsid w:val="00A12658"/>
    <w:rsid w:val="00A21E49"/>
    <w:rsid w:val="00A25192"/>
    <w:rsid w:val="00A26F52"/>
    <w:rsid w:val="00A2719E"/>
    <w:rsid w:val="00A41F2D"/>
    <w:rsid w:val="00A45853"/>
    <w:rsid w:val="00A527EA"/>
    <w:rsid w:val="00A5406A"/>
    <w:rsid w:val="00A54775"/>
    <w:rsid w:val="00A634B4"/>
    <w:rsid w:val="00A67D40"/>
    <w:rsid w:val="00A716BD"/>
    <w:rsid w:val="00A72FED"/>
    <w:rsid w:val="00A749BF"/>
    <w:rsid w:val="00A87503"/>
    <w:rsid w:val="00A91875"/>
    <w:rsid w:val="00A96E62"/>
    <w:rsid w:val="00A97345"/>
    <w:rsid w:val="00AA58F9"/>
    <w:rsid w:val="00AA5979"/>
    <w:rsid w:val="00AA5CD9"/>
    <w:rsid w:val="00AA7EC0"/>
    <w:rsid w:val="00AB1038"/>
    <w:rsid w:val="00AB256C"/>
    <w:rsid w:val="00AC760F"/>
    <w:rsid w:val="00AD6044"/>
    <w:rsid w:val="00AE0784"/>
    <w:rsid w:val="00AE1CC5"/>
    <w:rsid w:val="00AE5507"/>
    <w:rsid w:val="00AF087C"/>
    <w:rsid w:val="00AF3DDE"/>
    <w:rsid w:val="00AF57DE"/>
    <w:rsid w:val="00AF6020"/>
    <w:rsid w:val="00AF659C"/>
    <w:rsid w:val="00B0108B"/>
    <w:rsid w:val="00B0774D"/>
    <w:rsid w:val="00B14820"/>
    <w:rsid w:val="00B2524C"/>
    <w:rsid w:val="00B263F4"/>
    <w:rsid w:val="00B27CB6"/>
    <w:rsid w:val="00B31F2C"/>
    <w:rsid w:val="00B3583B"/>
    <w:rsid w:val="00B36C7D"/>
    <w:rsid w:val="00B446B4"/>
    <w:rsid w:val="00B52692"/>
    <w:rsid w:val="00B54892"/>
    <w:rsid w:val="00B55A1A"/>
    <w:rsid w:val="00B643D4"/>
    <w:rsid w:val="00B66DF5"/>
    <w:rsid w:val="00B678EB"/>
    <w:rsid w:val="00B703C6"/>
    <w:rsid w:val="00B81BFA"/>
    <w:rsid w:val="00B82614"/>
    <w:rsid w:val="00B834B1"/>
    <w:rsid w:val="00B862DA"/>
    <w:rsid w:val="00B92146"/>
    <w:rsid w:val="00BA5C59"/>
    <w:rsid w:val="00BC200E"/>
    <w:rsid w:val="00BC4C53"/>
    <w:rsid w:val="00BC6464"/>
    <w:rsid w:val="00BC73A7"/>
    <w:rsid w:val="00BC7773"/>
    <w:rsid w:val="00BD353E"/>
    <w:rsid w:val="00BD7212"/>
    <w:rsid w:val="00BF4131"/>
    <w:rsid w:val="00BF5289"/>
    <w:rsid w:val="00BF6493"/>
    <w:rsid w:val="00C03D38"/>
    <w:rsid w:val="00C067C4"/>
    <w:rsid w:val="00C06A44"/>
    <w:rsid w:val="00C07B80"/>
    <w:rsid w:val="00C13A13"/>
    <w:rsid w:val="00C17253"/>
    <w:rsid w:val="00C23EFB"/>
    <w:rsid w:val="00C310B9"/>
    <w:rsid w:val="00C36663"/>
    <w:rsid w:val="00C452F5"/>
    <w:rsid w:val="00C45F69"/>
    <w:rsid w:val="00C702FA"/>
    <w:rsid w:val="00C73008"/>
    <w:rsid w:val="00C73283"/>
    <w:rsid w:val="00C76FB0"/>
    <w:rsid w:val="00C829E4"/>
    <w:rsid w:val="00C832FF"/>
    <w:rsid w:val="00C91D78"/>
    <w:rsid w:val="00C92039"/>
    <w:rsid w:val="00C974D0"/>
    <w:rsid w:val="00CA7F86"/>
    <w:rsid w:val="00CB58F7"/>
    <w:rsid w:val="00CB65EA"/>
    <w:rsid w:val="00CB7641"/>
    <w:rsid w:val="00CC1589"/>
    <w:rsid w:val="00CD2058"/>
    <w:rsid w:val="00CD2AEC"/>
    <w:rsid w:val="00CD5FC3"/>
    <w:rsid w:val="00CD626B"/>
    <w:rsid w:val="00CD6CEF"/>
    <w:rsid w:val="00CE1DBF"/>
    <w:rsid w:val="00CF1603"/>
    <w:rsid w:val="00CF30C6"/>
    <w:rsid w:val="00CF4D22"/>
    <w:rsid w:val="00CF5819"/>
    <w:rsid w:val="00CF6945"/>
    <w:rsid w:val="00D03A58"/>
    <w:rsid w:val="00D04899"/>
    <w:rsid w:val="00D06232"/>
    <w:rsid w:val="00D136EC"/>
    <w:rsid w:val="00D1473B"/>
    <w:rsid w:val="00D153BB"/>
    <w:rsid w:val="00D16FE4"/>
    <w:rsid w:val="00D23594"/>
    <w:rsid w:val="00D32A6B"/>
    <w:rsid w:val="00D3369F"/>
    <w:rsid w:val="00D340CA"/>
    <w:rsid w:val="00D36675"/>
    <w:rsid w:val="00D40C9E"/>
    <w:rsid w:val="00D52AC1"/>
    <w:rsid w:val="00D54E65"/>
    <w:rsid w:val="00D6122C"/>
    <w:rsid w:val="00D638F2"/>
    <w:rsid w:val="00D736B3"/>
    <w:rsid w:val="00D76E7E"/>
    <w:rsid w:val="00D82C4D"/>
    <w:rsid w:val="00D8731F"/>
    <w:rsid w:val="00DA1ABD"/>
    <w:rsid w:val="00DA6885"/>
    <w:rsid w:val="00DA7DF2"/>
    <w:rsid w:val="00DB1CFA"/>
    <w:rsid w:val="00DC0043"/>
    <w:rsid w:val="00DC0272"/>
    <w:rsid w:val="00DC2AC6"/>
    <w:rsid w:val="00DC3B29"/>
    <w:rsid w:val="00DC45B4"/>
    <w:rsid w:val="00DC7D94"/>
    <w:rsid w:val="00DD419E"/>
    <w:rsid w:val="00DD58DC"/>
    <w:rsid w:val="00DE0492"/>
    <w:rsid w:val="00DE54CF"/>
    <w:rsid w:val="00DF4709"/>
    <w:rsid w:val="00DF4A43"/>
    <w:rsid w:val="00E03567"/>
    <w:rsid w:val="00E06124"/>
    <w:rsid w:val="00E10549"/>
    <w:rsid w:val="00E169A9"/>
    <w:rsid w:val="00E23B53"/>
    <w:rsid w:val="00E26EA1"/>
    <w:rsid w:val="00E2709C"/>
    <w:rsid w:val="00E3297B"/>
    <w:rsid w:val="00E36EB6"/>
    <w:rsid w:val="00E3733E"/>
    <w:rsid w:val="00E4185A"/>
    <w:rsid w:val="00E50307"/>
    <w:rsid w:val="00E60455"/>
    <w:rsid w:val="00E6177C"/>
    <w:rsid w:val="00E71E46"/>
    <w:rsid w:val="00E81B36"/>
    <w:rsid w:val="00E82E6C"/>
    <w:rsid w:val="00E91768"/>
    <w:rsid w:val="00E92586"/>
    <w:rsid w:val="00E93350"/>
    <w:rsid w:val="00E9353E"/>
    <w:rsid w:val="00E95124"/>
    <w:rsid w:val="00E959C7"/>
    <w:rsid w:val="00E97A5A"/>
    <w:rsid w:val="00EA15FB"/>
    <w:rsid w:val="00EA16EF"/>
    <w:rsid w:val="00EA3C8C"/>
    <w:rsid w:val="00EA3E65"/>
    <w:rsid w:val="00EA799F"/>
    <w:rsid w:val="00EB2741"/>
    <w:rsid w:val="00EB4A9E"/>
    <w:rsid w:val="00EC6BDE"/>
    <w:rsid w:val="00ED1B33"/>
    <w:rsid w:val="00ED6134"/>
    <w:rsid w:val="00ED65BF"/>
    <w:rsid w:val="00EE0127"/>
    <w:rsid w:val="00EE2607"/>
    <w:rsid w:val="00EF5ECC"/>
    <w:rsid w:val="00F03172"/>
    <w:rsid w:val="00F0654D"/>
    <w:rsid w:val="00F17A9C"/>
    <w:rsid w:val="00F23D4B"/>
    <w:rsid w:val="00F32637"/>
    <w:rsid w:val="00F344BC"/>
    <w:rsid w:val="00F359A8"/>
    <w:rsid w:val="00F36617"/>
    <w:rsid w:val="00F402FA"/>
    <w:rsid w:val="00F41381"/>
    <w:rsid w:val="00F423A8"/>
    <w:rsid w:val="00F45242"/>
    <w:rsid w:val="00F50E8F"/>
    <w:rsid w:val="00F535C1"/>
    <w:rsid w:val="00F53D3D"/>
    <w:rsid w:val="00F54F66"/>
    <w:rsid w:val="00F6522E"/>
    <w:rsid w:val="00F74EA0"/>
    <w:rsid w:val="00F845B6"/>
    <w:rsid w:val="00F86122"/>
    <w:rsid w:val="00F87821"/>
    <w:rsid w:val="00F87F1A"/>
    <w:rsid w:val="00F900AB"/>
    <w:rsid w:val="00F92235"/>
    <w:rsid w:val="00F94AED"/>
    <w:rsid w:val="00FA020A"/>
    <w:rsid w:val="00FA4919"/>
    <w:rsid w:val="00FB4BD7"/>
    <w:rsid w:val="00FB55D2"/>
    <w:rsid w:val="00FB6273"/>
    <w:rsid w:val="00FC01AC"/>
    <w:rsid w:val="00FC1686"/>
    <w:rsid w:val="00FD0B65"/>
    <w:rsid w:val="00FD0D78"/>
    <w:rsid w:val="00FD765C"/>
    <w:rsid w:val="00FE370C"/>
    <w:rsid w:val="00FF04AF"/>
    <w:rsid w:val="00FF1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6B1C4E"/>
  <w15:chartTrackingRefBased/>
  <w15:docId w15:val="{EF97B123-3349-4D39-AD2D-D8217A13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87C"/>
    <w:pPr>
      <w:tabs>
        <w:tab w:val="left" w:pos="1440"/>
        <w:tab w:val="center" w:pos="4320"/>
        <w:tab w:val="right" w:pos="9072"/>
      </w:tabs>
      <w:snapToGrid w:val="0"/>
    </w:pPr>
    <w:rPr>
      <w:sz w:val="28"/>
    </w:rPr>
  </w:style>
  <w:style w:type="paragraph" w:styleId="Heading1">
    <w:name w:val="heading 1"/>
    <w:basedOn w:val="Normal"/>
    <w:next w:val="Normal"/>
    <w:qFormat/>
    <w:rsid w:val="00AF087C"/>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AF087C"/>
    <w:pPr>
      <w:keepNext/>
      <w:snapToGrid/>
      <w:outlineLvl w:val="1"/>
    </w:pPr>
    <w:rPr>
      <w:b/>
      <w:bCs/>
      <w:sz w:val="20"/>
      <w:szCs w:val="24"/>
    </w:rPr>
  </w:style>
  <w:style w:type="paragraph" w:styleId="Heading3">
    <w:name w:val="heading 3"/>
    <w:basedOn w:val="Normal"/>
    <w:next w:val="Normal"/>
    <w:qFormat/>
    <w:rsid w:val="00AF087C"/>
    <w:pPr>
      <w:keepNext/>
      <w:snapToGrid/>
      <w:jc w:val="center"/>
      <w:outlineLvl w:val="2"/>
    </w:pPr>
    <w:rPr>
      <w:b/>
      <w:bCs/>
      <w:sz w:val="20"/>
      <w:szCs w:val="24"/>
    </w:rPr>
  </w:style>
  <w:style w:type="paragraph" w:styleId="Heading4">
    <w:name w:val="heading 4"/>
    <w:basedOn w:val="Normal"/>
    <w:next w:val="Normal"/>
    <w:qFormat/>
    <w:rsid w:val="00AF087C"/>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AF087C"/>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AF087C"/>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AF087C"/>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AF087C"/>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AF087C"/>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AF087C"/>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AF087C"/>
    <w:pPr>
      <w:tabs>
        <w:tab w:val="center" w:pos="4153"/>
        <w:tab w:val="right" w:pos="8306"/>
      </w:tabs>
      <w:jc w:val="center"/>
    </w:pPr>
    <w:rPr>
      <w:sz w:val="18"/>
    </w:rPr>
  </w:style>
  <w:style w:type="paragraph" w:customStyle="1" w:styleId="altd">
    <w:name w:val="altd"/>
    <w:basedOn w:val="Normal"/>
    <w:rsid w:val="00AF087C"/>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AF087C"/>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AF087C"/>
    <w:rPr>
      <w:b w:val="0"/>
    </w:rPr>
  </w:style>
  <w:style w:type="paragraph" w:customStyle="1" w:styleId="normal3">
    <w:name w:val="normal3"/>
    <w:basedOn w:val="Normal"/>
    <w:rsid w:val="00AF087C"/>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AF087C"/>
    <w:pPr>
      <w:spacing w:line="240" w:lineRule="auto"/>
      <w:jc w:val="right"/>
    </w:pPr>
    <w:rPr>
      <w:b w:val="0"/>
    </w:rPr>
  </w:style>
  <w:style w:type="paragraph" w:styleId="Footer">
    <w:name w:val="footer"/>
    <w:basedOn w:val="Normal"/>
    <w:semiHidden/>
    <w:rsid w:val="00AF087C"/>
    <w:pPr>
      <w:tabs>
        <w:tab w:val="center" w:pos="4153"/>
        <w:tab w:val="right" w:pos="8306"/>
      </w:tabs>
    </w:pPr>
    <w:rPr>
      <w:sz w:val="20"/>
    </w:rPr>
  </w:style>
  <w:style w:type="character" w:styleId="PageNumber">
    <w:name w:val="page number"/>
    <w:basedOn w:val="DefaultParagraphFont"/>
    <w:semiHidden/>
    <w:rsid w:val="00AF087C"/>
  </w:style>
  <w:style w:type="paragraph" w:customStyle="1" w:styleId="Draft">
    <w:name w:val="Draft"/>
    <w:basedOn w:val="Normal"/>
    <w:rsid w:val="00AF087C"/>
    <w:pPr>
      <w:spacing w:line="600" w:lineRule="exact"/>
    </w:pPr>
  </w:style>
  <w:style w:type="paragraph" w:customStyle="1" w:styleId="Final">
    <w:name w:val="Final"/>
    <w:basedOn w:val="Draft"/>
    <w:rsid w:val="00AF087C"/>
    <w:pPr>
      <w:spacing w:line="360" w:lineRule="auto"/>
    </w:pPr>
  </w:style>
  <w:style w:type="paragraph" w:customStyle="1" w:styleId="Quotation">
    <w:name w:val="Quotation"/>
    <w:basedOn w:val="Normal"/>
    <w:rsid w:val="00AF087C"/>
    <w:pPr>
      <w:tabs>
        <w:tab w:val="left" w:pos="1872"/>
        <w:tab w:val="left" w:pos="2304"/>
      </w:tabs>
      <w:spacing w:before="240"/>
      <w:ind w:left="1440" w:right="720"/>
    </w:pPr>
    <w:rPr>
      <w:kern w:val="2"/>
      <w:sz w:val="24"/>
    </w:rPr>
  </w:style>
  <w:style w:type="paragraph" w:customStyle="1" w:styleId="Hanging">
    <w:name w:val="Hanging"/>
    <w:basedOn w:val="Normal"/>
    <w:rsid w:val="00AF087C"/>
    <w:pPr>
      <w:snapToGrid/>
      <w:spacing w:before="120" w:line="440" w:lineRule="exact"/>
      <w:ind w:left="1440" w:hanging="720"/>
    </w:pPr>
    <w:rPr>
      <w:kern w:val="2"/>
    </w:rPr>
  </w:style>
  <w:style w:type="paragraph" w:customStyle="1" w:styleId="hspace">
    <w:name w:val="hspace"/>
    <w:basedOn w:val="Normal"/>
    <w:rsid w:val="00AF087C"/>
    <w:pPr>
      <w:spacing w:line="200" w:lineRule="exact"/>
    </w:pPr>
  </w:style>
  <w:style w:type="paragraph" w:customStyle="1" w:styleId="Heading">
    <w:name w:val="Heading"/>
    <w:basedOn w:val="Normal"/>
    <w:rsid w:val="00AF087C"/>
    <w:pPr>
      <w:spacing w:line="360" w:lineRule="auto"/>
    </w:pPr>
  </w:style>
  <w:style w:type="paragraph" w:customStyle="1" w:styleId="Indent3">
    <w:name w:val="Indent3"/>
    <w:basedOn w:val="Normal"/>
    <w:rsid w:val="00AF087C"/>
    <w:pPr>
      <w:ind w:left="4320"/>
    </w:pPr>
  </w:style>
  <w:style w:type="paragraph" w:styleId="BlockText">
    <w:name w:val="Block Text"/>
    <w:basedOn w:val="Normal"/>
    <w:semiHidden/>
    <w:rsid w:val="00AF087C"/>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AF087C"/>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AF087C"/>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AF087C"/>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AF087C"/>
    <w:pPr>
      <w:spacing w:line="480" w:lineRule="auto"/>
      <w:jc w:val="both"/>
    </w:pPr>
    <w:rPr>
      <w:sz w:val="26"/>
    </w:rPr>
  </w:style>
  <w:style w:type="paragraph" w:styleId="BodyTextIndent3">
    <w:name w:val="Body Text Indent 3"/>
    <w:basedOn w:val="Normal"/>
    <w:semiHidden/>
    <w:rsid w:val="00AF087C"/>
    <w:pPr>
      <w:tabs>
        <w:tab w:val="clear" w:pos="4320"/>
      </w:tabs>
      <w:ind w:left="1120" w:hanging="1120"/>
    </w:pPr>
    <w:rPr>
      <w:sz w:val="26"/>
    </w:rPr>
  </w:style>
  <w:style w:type="paragraph" w:styleId="Title">
    <w:name w:val="Title"/>
    <w:basedOn w:val="Normal"/>
    <w:qFormat/>
    <w:rsid w:val="00AF087C"/>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AF087C"/>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75226"/>
  </w:style>
  <w:style w:type="character" w:customStyle="1" w:styleId="DateChar">
    <w:name w:val="Date Char"/>
    <w:link w:val="Date"/>
    <w:uiPriority w:val="99"/>
    <w:semiHidden/>
    <w:rsid w:val="00575226"/>
    <w:rPr>
      <w:sz w:val="28"/>
    </w:rPr>
  </w:style>
  <w:style w:type="character" w:customStyle="1" w:styleId="BodyTextChar">
    <w:name w:val="Body Text Char"/>
    <w:link w:val="BodyText"/>
    <w:rsid w:val="00FF1357"/>
    <w:rPr>
      <w:sz w:val="28"/>
      <w:lang w:val="en-GB"/>
    </w:rPr>
  </w:style>
  <w:style w:type="paragraph" w:styleId="FootnoteText">
    <w:name w:val="footnote text"/>
    <w:basedOn w:val="Normal"/>
    <w:link w:val="FootnoteTextChar"/>
    <w:uiPriority w:val="99"/>
    <w:semiHidden/>
    <w:unhideWhenUsed/>
    <w:rsid w:val="00192922"/>
    <w:rPr>
      <w:sz w:val="20"/>
    </w:rPr>
  </w:style>
  <w:style w:type="character" w:customStyle="1" w:styleId="FootnoteTextChar">
    <w:name w:val="Footnote Text Char"/>
    <w:basedOn w:val="DefaultParagraphFont"/>
    <w:link w:val="FootnoteText"/>
    <w:uiPriority w:val="99"/>
    <w:semiHidden/>
    <w:rsid w:val="00192922"/>
  </w:style>
  <w:style w:type="character" w:styleId="FootnoteReference">
    <w:name w:val="footnote reference"/>
    <w:uiPriority w:val="99"/>
    <w:semiHidden/>
    <w:unhideWhenUsed/>
    <w:rsid w:val="001929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451B7-F5B3-4CC4-813B-76B11C27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3</TotalTime>
  <Pages>6</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2017-09-26T07:58:00Z</cp:lastPrinted>
  <dcterms:created xsi:type="dcterms:W3CDTF">2017-09-26T08:16:00Z</dcterms:created>
  <dcterms:modified xsi:type="dcterms:W3CDTF">2017-09-26T08:28:00Z</dcterms:modified>
</cp:coreProperties>
</file>