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4A" w:rsidRPr="00947A6A" w:rsidRDefault="00D0454A" w:rsidP="00D0454A">
      <w:pPr>
        <w:pStyle w:val="Heading1"/>
        <w:tabs>
          <w:tab w:val="left" w:pos="1440"/>
        </w:tabs>
        <w:snapToGrid w:val="0"/>
        <w:spacing w:before="0" w:after="0" w:line="360" w:lineRule="auto"/>
        <w:jc w:val="right"/>
        <w:rPr>
          <w:rFonts w:ascii="Times New Roman" w:eastAsia="PMingLiU" w:hAnsi="Times New Roman"/>
          <w:b w:val="0"/>
          <w:kern w:val="0"/>
          <w:szCs w:val="28"/>
          <w:lang w:eastAsia="zh-TW"/>
        </w:rPr>
      </w:pPr>
      <w:r w:rsidRPr="00947A6A">
        <w:rPr>
          <w:rFonts w:ascii="Times New Roman" w:eastAsia="PMingLiU" w:hAnsi="Times New Roman"/>
          <w:b w:val="0"/>
          <w:kern w:val="0"/>
          <w:szCs w:val="28"/>
          <w:lang w:eastAsia="zh-TW"/>
        </w:rPr>
        <w:t xml:space="preserve">DCPI </w:t>
      </w:r>
      <w:r w:rsidR="00FB1980" w:rsidRPr="00947A6A">
        <w:rPr>
          <w:rFonts w:ascii="Times New Roman" w:eastAsia="PMingLiU" w:hAnsi="Times New Roman"/>
          <w:b w:val="0"/>
          <w:kern w:val="0"/>
          <w:szCs w:val="28"/>
          <w:lang w:eastAsia="zh-TW"/>
        </w:rPr>
        <w:t>1219/2020</w:t>
      </w:r>
    </w:p>
    <w:p w:rsidR="00D0454A" w:rsidRPr="00947A6A" w:rsidRDefault="00243DCC" w:rsidP="00D0454A">
      <w:pPr>
        <w:jc w:val="right"/>
        <w:rPr>
          <w:lang w:val="en-GB" w:eastAsia="zh-TW"/>
        </w:rPr>
      </w:pPr>
      <w:sdt>
        <w:sdtPr>
          <w:rPr>
            <w:rStyle w:val="PlaceholderText"/>
            <w:color w:val="auto"/>
          </w:rPr>
          <w:alias w:val="neutral citation number"/>
          <w:tag w:val="neutral citation number"/>
          <w:id w:val="210003420"/>
          <w:placeholder>
            <w:docPart w:val="633AD80039F944C8B6AB8FF1F398BE7B"/>
          </w:placeholder>
          <w:text/>
        </w:sdtPr>
        <w:sdtEndPr>
          <w:rPr>
            <w:rStyle w:val="PlaceholderText"/>
          </w:rPr>
        </w:sdtEndPr>
        <w:sdtContent>
          <w:r w:rsidR="00D3755B" w:rsidRPr="00D3755B">
            <w:rPr>
              <w:rStyle w:val="PlaceholderText"/>
              <w:color w:val="auto"/>
            </w:rPr>
            <w:t>[2021] HKDC 388</w:t>
          </w:r>
        </w:sdtContent>
      </w:sdt>
    </w:p>
    <w:p w:rsidR="00D0454A" w:rsidRPr="00947A6A" w:rsidRDefault="00D0454A" w:rsidP="00D0454A">
      <w:pPr>
        <w:spacing w:line="360" w:lineRule="auto"/>
        <w:rPr>
          <w:rFonts w:eastAsia="PMingLiU"/>
          <w:szCs w:val="28"/>
          <w:lang w:val="en-GB" w:eastAsia="zh-TW"/>
        </w:rPr>
      </w:pPr>
    </w:p>
    <w:p w:rsidR="00D0454A" w:rsidRPr="00947A6A" w:rsidRDefault="00D0454A" w:rsidP="00D0454A">
      <w:pPr>
        <w:pStyle w:val="normal3"/>
        <w:tabs>
          <w:tab w:val="clear" w:pos="4320"/>
          <w:tab w:val="clear" w:pos="4500"/>
          <w:tab w:val="clear" w:pos="9000"/>
          <w:tab w:val="clear" w:pos="9072"/>
        </w:tabs>
        <w:overflowPunct/>
        <w:autoSpaceDE/>
        <w:autoSpaceDN/>
        <w:rPr>
          <w:rFonts w:eastAsia="PMingLiU"/>
          <w:szCs w:val="28"/>
          <w:lang w:val="en-US" w:eastAsia="zh-TW"/>
        </w:rPr>
        <w:sectPr w:rsidR="00D0454A" w:rsidRPr="00947A6A">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D0454A" w:rsidRPr="00947A6A" w:rsidRDefault="00D0454A" w:rsidP="00D0454A">
      <w:pPr>
        <w:keepNext/>
        <w:tabs>
          <w:tab w:val="clear" w:pos="1440"/>
          <w:tab w:val="clear" w:pos="4320"/>
          <w:tab w:val="clear" w:pos="9072"/>
        </w:tabs>
        <w:snapToGrid/>
        <w:spacing w:line="360" w:lineRule="auto"/>
        <w:jc w:val="center"/>
        <w:outlineLvl w:val="2"/>
        <w:rPr>
          <w:b/>
          <w:bCs/>
          <w:szCs w:val="28"/>
          <w:lang w:val="en-GB"/>
        </w:rPr>
      </w:pPr>
      <w:r w:rsidRPr="00947A6A">
        <w:rPr>
          <w:b/>
          <w:bCs/>
          <w:szCs w:val="28"/>
          <w:lang w:val="en-GB"/>
        </w:rPr>
        <w:t>IN THE DISTRICT COURT OF THE</w:t>
      </w:r>
    </w:p>
    <w:p w:rsidR="00D0454A" w:rsidRPr="00947A6A" w:rsidRDefault="00D0454A" w:rsidP="00D0454A">
      <w:pPr>
        <w:keepNext/>
        <w:tabs>
          <w:tab w:val="clear" w:pos="1440"/>
          <w:tab w:val="clear" w:pos="4320"/>
          <w:tab w:val="clear" w:pos="9072"/>
        </w:tabs>
        <w:snapToGrid/>
        <w:spacing w:line="360" w:lineRule="auto"/>
        <w:jc w:val="center"/>
        <w:outlineLvl w:val="2"/>
        <w:rPr>
          <w:b/>
          <w:bCs/>
          <w:szCs w:val="28"/>
          <w:lang w:val="en-GB" w:eastAsia="en-US"/>
        </w:rPr>
      </w:pPr>
      <w:r w:rsidRPr="00947A6A">
        <w:rPr>
          <w:b/>
          <w:bCs/>
          <w:szCs w:val="28"/>
          <w:lang w:val="en-GB" w:eastAsia="en-US"/>
        </w:rPr>
        <w:t>HONG KONG SPECIAL ADMINISTRATIVE REGION</w:t>
      </w:r>
    </w:p>
    <w:p w:rsidR="00D0454A" w:rsidRPr="00947A6A" w:rsidRDefault="00D0454A" w:rsidP="00D0454A">
      <w:pPr>
        <w:pStyle w:val="Heading1"/>
        <w:tabs>
          <w:tab w:val="left" w:pos="1440"/>
        </w:tabs>
        <w:snapToGrid w:val="0"/>
        <w:spacing w:before="0" w:after="0" w:line="360" w:lineRule="auto"/>
        <w:jc w:val="center"/>
        <w:rPr>
          <w:rFonts w:ascii="Times New Roman" w:eastAsia="PMingLiU" w:hAnsi="Times New Roman"/>
          <w:b w:val="0"/>
          <w:kern w:val="0"/>
          <w:szCs w:val="28"/>
          <w:lang w:eastAsia="zh-TW"/>
        </w:rPr>
      </w:pPr>
      <w:r w:rsidRPr="00947A6A">
        <w:rPr>
          <w:rFonts w:ascii="Times New Roman" w:hAnsi="Times New Roman"/>
          <w:b w:val="0"/>
          <w:kern w:val="0"/>
          <w:szCs w:val="28"/>
          <w:lang w:val="en-US"/>
        </w:rPr>
        <w:t>PERSONAL INJURIES ACTION NO</w:t>
      </w:r>
      <w:r w:rsidR="00821EEB" w:rsidRPr="00947A6A">
        <w:rPr>
          <w:rFonts w:ascii="Times New Roman" w:hAnsi="Times New Roman"/>
          <w:b w:val="0"/>
          <w:kern w:val="0"/>
          <w:szCs w:val="28"/>
          <w:lang w:val="en-US"/>
        </w:rPr>
        <w:t>.</w:t>
      </w:r>
      <w:r w:rsidRPr="00947A6A">
        <w:rPr>
          <w:rFonts w:ascii="Times New Roman" w:hAnsi="Times New Roman"/>
          <w:b w:val="0"/>
          <w:kern w:val="0"/>
          <w:szCs w:val="28"/>
          <w:lang w:val="en-US"/>
        </w:rPr>
        <w:t xml:space="preserve"> </w:t>
      </w:r>
      <w:r w:rsidR="00FB1980" w:rsidRPr="00947A6A">
        <w:rPr>
          <w:rFonts w:ascii="Times New Roman" w:hAnsi="Times New Roman"/>
          <w:b w:val="0"/>
          <w:kern w:val="0"/>
          <w:szCs w:val="28"/>
          <w:lang w:val="en-US"/>
        </w:rPr>
        <w:t>1219 OF 2020</w:t>
      </w:r>
    </w:p>
    <w:p w:rsidR="00D0454A" w:rsidRPr="00947A6A" w:rsidRDefault="00D0454A" w:rsidP="00D0454A">
      <w:pPr>
        <w:spacing w:line="360" w:lineRule="auto"/>
        <w:rPr>
          <w:szCs w:val="28"/>
          <w:lang w:val="en-GB" w:eastAsia="zh-TW"/>
        </w:rPr>
      </w:pPr>
    </w:p>
    <w:p w:rsidR="00D0454A" w:rsidRPr="00947A6A" w:rsidRDefault="00D0454A" w:rsidP="00D0454A">
      <w:pPr>
        <w:tabs>
          <w:tab w:val="clear" w:pos="1440"/>
          <w:tab w:val="clear" w:pos="4320"/>
          <w:tab w:val="clear" w:pos="9072"/>
          <w:tab w:val="left" w:pos="2100"/>
        </w:tabs>
        <w:spacing w:line="360" w:lineRule="auto"/>
        <w:jc w:val="center"/>
        <w:rPr>
          <w:rFonts w:eastAsia="PMingLiU"/>
          <w:caps/>
          <w:szCs w:val="28"/>
          <w:lang w:eastAsia="zh-TW"/>
        </w:rPr>
      </w:pPr>
      <w:r w:rsidRPr="00947A6A">
        <w:rPr>
          <w:rFonts w:eastAsia="PMingLiU"/>
          <w:caps/>
          <w:szCs w:val="28"/>
          <w:lang w:eastAsia="zh-TW"/>
        </w:rPr>
        <w:t>---------------------------</w:t>
      </w:r>
    </w:p>
    <w:p w:rsidR="00D0454A" w:rsidRPr="00947A6A" w:rsidRDefault="00D0454A" w:rsidP="00D0454A">
      <w:pPr>
        <w:tabs>
          <w:tab w:val="clear" w:pos="1440"/>
          <w:tab w:val="clear" w:pos="4320"/>
          <w:tab w:val="clear" w:pos="9072"/>
        </w:tabs>
        <w:snapToGrid/>
        <w:spacing w:line="360" w:lineRule="auto"/>
        <w:jc w:val="both"/>
        <w:rPr>
          <w:bCs/>
          <w:szCs w:val="28"/>
          <w:lang w:val="en-GB"/>
        </w:rPr>
      </w:pPr>
      <w:r w:rsidRPr="00947A6A">
        <w:rPr>
          <w:bCs/>
          <w:szCs w:val="28"/>
          <w:lang w:val="en-GB"/>
        </w:rPr>
        <w:t>BETWEEN</w:t>
      </w:r>
    </w:p>
    <w:p w:rsidR="00D0454A" w:rsidRPr="00947A6A" w:rsidRDefault="00D0454A" w:rsidP="0035131F">
      <w:pPr>
        <w:tabs>
          <w:tab w:val="clear" w:pos="1440"/>
          <w:tab w:val="clear" w:pos="4320"/>
          <w:tab w:val="clear" w:pos="9072"/>
          <w:tab w:val="center" w:pos="4140"/>
          <w:tab w:val="right" w:pos="8280"/>
        </w:tabs>
        <w:snapToGrid/>
        <w:spacing w:line="360" w:lineRule="auto"/>
        <w:rPr>
          <w:bCs/>
          <w:szCs w:val="28"/>
          <w:lang w:val="en-GB"/>
        </w:rPr>
      </w:pPr>
      <w:r w:rsidRPr="00947A6A">
        <w:rPr>
          <w:bCs/>
          <w:szCs w:val="28"/>
          <w:lang w:val="en-GB"/>
        </w:rPr>
        <w:tab/>
      </w:r>
      <w:r w:rsidR="00FE364E" w:rsidRPr="00947A6A">
        <w:rPr>
          <w:bCs/>
          <w:szCs w:val="28"/>
        </w:rPr>
        <w:t>WU</w:t>
      </w:r>
      <w:r w:rsidR="00FB1980" w:rsidRPr="00947A6A">
        <w:rPr>
          <w:bCs/>
          <w:szCs w:val="28"/>
        </w:rPr>
        <w:t xml:space="preserve"> CHUNG KEI</w:t>
      </w:r>
      <w:r w:rsidR="00FB1980" w:rsidRPr="00947A6A">
        <w:rPr>
          <w:bCs/>
          <w:szCs w:val="28"/>
          <w:lang w:val="en-GB"/>
        </w:rPr>
        <w:tab/>
      </w:r>
      <w:r w:rsidRPr="00947A6A">
        <w:rPr>
          <w:bCs/>
          <w:szCs w:val="28"/>
          <w:lang w:val="en-GB"/>
        </w:rPr>
        <w:t>Plaintiff</w:t>
      </w:r>
    </w:p>
    <w:p w:rsidR="00D0454A" w:rsidRPr="00947A6A" w:rsidRDefault="00D0454A" w:rsidP="0035131F">
      <w:pPr>
        <w:tabs>
          <w:tab w:val="clear" w:pos="1440"/>
          <w:tab w:val="clear" w:pos="4320"/>
          <w:tab w:val="clear" w:pos="9072"/>
          <w:tab w:val="center" w:pos="4140"/>
        </w:tabs>
        <w:snapToGrid/>
        <w:spacing w:line="360" w:lineRule="auto"/>
        <w:jc w:val="center"/>
        <w:rPr>
          <w:bCs/>
          <w:szCs w:val="28"/>
          <w:lang w:val="en-GB"/>
        </w:rPr>
      </w:pPr>
      <w:r w:rsidRPr="00947A6A">
        <w:rPr>
          <w:bCs/>
          <w:szCs w:val="28"/>
          <w:lang w:val="en-GB"/>
        </w:rPr>
        <w:t>and</w:t>
      </w:r>
    </w:p>
    <w:p w:rsidR="00B0165B" w:rsidRPr="00947A6A" w:rsidRDefault="00052E23" w:rsidP="0035131F">
      <w:pPr>
        <w:tabs>
          <w:tab w:val="clear" w:pos="1440"/>
          <w:tab w:val="clear" w:pos="4320"/>
          <w:tab w:val="clear" w:pos="9072"/>
          <w:tab w:val="center" w:pos="4140"/>
          <w:tab w:val="right" w:pos="8280"/>
        </w:tabs>
        <w:snapToGrid/>
        <w:spacing w:line="360" w:lineRule="auto"/>
        <w:rPr>
          <w:bCs/>
          <w:szCs w:val="28"/>
          <w:lang w:val="en-GB"/>
        </w:rPr>
      </w:pPr>
      <w:r w:rsidRPr="00947A6A">
        <w:rPr>
          <w:bCs/>
          <w:szCs w:val="28"/>
        </w:rPr>
        <w:tab/>
      </w:r>
      <w:r w:rsidR="00FB1980" w:rsidRPr="00947A6A">
        <w:rPr>
          <w:bCs/>
          <w:szCs w:val="28"/>
        </w:rPr>
        <w:t>CHEUNG CHUNG TIM</w:t>
      </w:r>
      <w:r w:rsidR="00D0454A" w:rsidRPr="00947A6A">
        <w:rPr>
          <w:bCs/>
          <w:szCs w:val="28"/>
        </w:rPr>
        <w:t xml:space="preserve">  </w:t>
      </w:r>
      <w:r w:rsidRPr="00947A6A">
        <w:rPr>
          <w:bCs/>
          <w:szCs w:val="28"/>
        </w:rPr>
        <w:t xml:space="preserve">  </w:t>
      </w:r>
      <w:r w:rsidR="00D0454A" w:rsidRPr="00947A6A">
        <w:rPr>
          <w:bCs/>
          <w:szCs w:val="28"/>
          <w:lang w:val="en-GB"/>
        </w:rPr>
        <w:tab/>
        <w:t>Defendant</w:t>
      </w:r>
    </w:p>
    <w:p w:rsidR="00D0454A" w:rsidRPr="00947A6A" w:rsidRDefault="00D0454A" w:rsidP="0035131F">
      <w:pPr>
        <w:tabs>
          <w:tab w:val="clear" w:pos="1440"/>
          <w:tab w:val="clear" w:pos="4320"/>
          <w:tab w:val="clear" w:pos="9072"/>
          <w:tab w:val="left" w:pos="2100"/>
        </w:tabs>
        <w:spacing w:line="360" w:lineRule="auto"/>
        <w:jc w:val="center"/>
        <w:rPr>
          <w:rFonts w:eastAsia="PMingLiU"/>
          <w:caps/>
          <w:szCs w:val="28"/>
          <w:lang w:eastAsia="zh-TW"/>
        </w:rPr>
      </w:pPr>
      <w:r w:rsidRPr="00947A6A">
        <w:rPr>
          <w:rFonts w:eastAsia="PMingLiU"/>
          <w:caps/>
          <w:szCs w:val="28"/>
          <w:lang w:eastAsia="zh-TW"/>
        </w:rPr>
        <w:t>---------------------------</w:t>
      </w:r>
    </w:p>
    <w:p w:rsidR="00DA0EE0" w:rsidRPr="00947A6A" w:rsidRDefault="00DA0EE0" w:rsidP="0035131F">
      <w:pPr>
        <w:pStyle w:val="normal3"/>
        <w:tabs>
          <w:tab w:val="clear" w:pos="4320"/>
          <w:tab w:val="clear" w:pos="4500"/>
          <w:tab w:val="clear" w:pos="9000"/>
          <w:tab w:val="clear" w:pos="9072"/>
        </w:tabs>
        <w:overflowPunct/>
        <w:autoSpaceDE/>
        <w:autoSpaceDN/>
        <w:adjustRightInd w:val="0"/>
        <w:jc w:val="both"/>
        <w:rPr>
          <w:rFonts w:eastAsia="宋体"/>
          <w:lang w:val="en-US" w:eastAsia="zh-TW"/>
        </w:rPr>
      </w:pPr>
    </w:p>
    <w:p w:rsidR="008A1C7A" w:rsidRPr="00947A6A" w:rsidRDefault="008A1C7A" w:rsidP="00BA757B">
      <w:pPr>
        <w:pStyle w:val="Heading5"/>
        <w:tabs>
          <w:tab w:val="left" w:pos="1440"/>
        </w:tabs>
        <w:spacing w:line="360" w:lineRule="auto"/>
        <w:jc w:val="both"/>
        <w:rPr>
          <w:rFonts w:ascii="Times New Roman" w:hAnsi="Times New Roman"/>
          <w:b w:val="0"/>
          <w:sz w:val="28"/>
          <w:szCs w:val="28"/>
        </w:rPr>
      </w:pPr>
      <w:r w:rsidRPr="00947A6A">
        <w:rPr>
          <w:rFonts w:ascii="Times New Roman" w:hAnsi="Times New Roman"/>
          <w:b w:val="0"/>
          <w:sz w:val="28"/>
          <w:szCs w:val="28"/>
        </w:rPr>
        <w:t>Before:  His Honour Judge Andrew Li in Chambers (Open to public)</w:t>
      </w:r>
    </w:p>
    <w:p w:rsidR="008A1C7A" w:rsidRPr="00947A6A" w:rsidRDefault="008D24AD" w:rsidP="00BA757B">
      <w:pPr>
        <w:spacing w:line="360" w:lineRule="auto"/>
        <w:rPr>
          <w:bCs/>
          <w:szCs w:val="28"/>
          <w:lang w:val="en-GB"/>
        </w:rPr>
      </w:pPr>
      <w:r w:rsidRPr="00947A6A">
        <w:rPr>
          <w:bCs/>
          <w:szCs w:val="28"/>
          <w:lang w:val="en-GB"/>
        </w:rPr>
        <w:t xml:space="preserve">Date of Hearing:  </w:t>
      </w:r>
      <w:r w:rsidR="007E20D8" w:rsidRPr="00947A6A">
        <w:rPr>
          <w:bCs/>
          <w:szCs w:val="28"/>
          <w:lang w:val="en-GB"/>
        </w:rPr>
        <w:t>8 - 9 December</w:t>
      </w:r>
      <w:r w:rsidR="009464D0" w:rsidRPr="00947A6A">
        <w:rPr>
          <w:bCs/>
          <w:szCs w:val="28"/>
          <w:lang w:val="en-GB"/>
        </w:rPr>
        <w:t xml:space="preserve"> 2020</w:t>
      </w:r>
    </w:p>
    <w:p w:rsidR="008A1C7A" w:rsidRPr="00947A6A" w:rsidRDefault="00435CF0" w:rsidP="00BA757B">
      <w:pPr>
        <w:spacing w:line="360" w:lineRule="auto"/>
        <w:rPr>
          <w:bCs/>
          <w:szCs w:val="28"/>
          <w:lang w:val="en-GB"/>
        </w:rPr>
      </w:pPr>
      <w:r w:rsidRPr="00947A6A">
        <w:rPr>
          <w:bCs/>
          <w:szCs w:val="28"/>
          <w:lang w:val="en-GB"/>
        </w:rPr>
        <w:t xml:space="preserve">Date of Decision:  </w:t>
      </w:r>
      <w:r w:rsidR="00D73E4E" w:rsidRPr="00947A6A">
        <w:rPr>
          <w:bCs/>
          <w:szCs w:val="28"/>
          <w:lang w:val="en-GB"/>
        </w:rPr>
        <w:t>9 December</w:t>
      </w:r>
      <w:r w:rsidR="009464D0" w:rsidRPr="00947A6A">
        <w:rPr>
          <w:bCs/>
          <w:szCs w:val="28"/>
          <w:lang w:val="en-GB"/>
        </w:rPr>
        <w:t xml:space="preserve"> 2020</w:t>
      </w:r>
    </w:p>
    <w:p w:rsidR="00B0165B" w:rsidRPr="00947A6A" w:rsidRDefault="00B0165B" w:rsidP="00BA757B">
      <w:pPr>
        <w:spacing w:line="360" w:lineRule="auto"/>
        <w:rPr>
          <w:bCs/>
          <w:szCs w:val="28"/>
          <w:lang w:val="en-GB"/>
        </w:rPr>
      </w:pPr>
      <w:r w:rsidRPr="00947A6A">
        <w:rPr>
          <w:bCs/>
          <w:szCs w:val="28"/>
          <w:lang w:val="en-GB"/>
        </w:rPr>
        <w:t>Date of hand</w:t>
      </w:r>
      <w:r w:rsidR="00990124">
        <w:rPr>
          <w:bCs/>
          <w:szCs w:val="28"/>
          <w:lang w:val="en-GB"/>
        </w:rPr>
        <w:t xml:space="preserve">ing down Reasons for Decision: 31 </w:t>
      </w:r>
      <w:r w:rsidR="003B0D07">
        <w:rPr>
          <w:bCs/>
          <w:szCs w:val="28"/>
          <w:lang w:val="en-GB"/>
        </w:rPr>
        <w:t xml:space="preserve">March </w:t>
      </w:r>
      <w:r w:rsidRPr="002D6D1C">
        <w:rPr>
          <w:bCs/>
          <w:szCs w:val="28"/>
          <w:lang w:val="en-GB"/>
        </w:rPr>
        <w:t>2021</w:t>
      </w:r>
    </w:p>
    <w:p w:rsidR="00657E0F" w:rsidRPr="00947A6A" w:rsidRDefault="00657E0F" w:rsidP="00BA757B">
      <w:pPr>
        <w:tabs>
          <w:tab w:val="clear" w:pos="4320"/>
          <w:tab w:val="clear" w:pos="9072"/>
        </w:tabs>
        <w:adjustRightInd w:val="0"/>
        <w:spacing w:line="360" w:lineRule="auto"/>
        <w:rPr>
          <w:szCs w:val="28"/>
          <w:lang w:val="en-GB"/>
        </w:rPr>
      </w:pPr>
    </w:p>
    <w:p w:rsidR="00657E0F" w:rsidRPr="00947A6A" w:rsidRDefault="00657E0F" w:rsidP="00BA757B">
      <w:pPr>
        <w:tabs>
          <w:tab w:val="clear" w:pos="4320"/>
          <w:tab w:val="clear" w:pos="9072"/>
          <w:tab w:val="left" w:pos="1620"/>
          <w:tab w:val="right" w:pos="8280"/>
        </w:tabs>
        <w:adjustRightInd w:val="0"/>
        <w:spacing w:line="360" w:lineRule="auto"/>
        <w:jc w:val="center"/>
        <w:rPr>
          <w:szCs w:val="28"/>
        </w:rPr>
      </w:pPr>
      <w:r w:rsidRPr="00947A6A">
        <w:rPr>
          <w:szCs w:val="28"/>
        </w:rPr>
        <w:t>--------------</w:t>
      </w:r>
      <w:r w:rsidR="0073482B" w:rsidRPr="00947A6A">
        <w:rPr>
          <w:szCs w:val="28"/>
        </w:rPr>
        <w:t>---</w:t>
      </w:r>
      <w:r w:rsidRPr="00947A6A">
        <w:rPr>
          <w:szCs w:val="28"/>
        </w:rPr>
        <w:t>------</w:t>
      </w:r>
      <w:r w:rsidR="008A1C7A" w:rsidRPr="00947A6A">
        <w:rPr>
          <w:szCs w:val="28"/>
        </w:rPr>
        <w:t>----------------</w:t>
      </w:r>
    </w:p>
    <w:p w:rsidR="00657E0F" w:rsidRPr="00947A6A" w:rsidRDefault="00BA757B" w:rsidP="00BA757B">
      <w:pPr>
        <w:tabs>
          <w:tab w:val="clear" w:pos="4320"/>
          <w:tab w:val="clear" w:pos="9072"/>
          <w:tab w:val="left" w:pos="1620"/>
          <w:tab w:val="right" w:pos="8280"/>
        </w:tabs>
        <w:adjustRightInd w:val="0"/>
        <w:spacing w:line="360" w:lineRule="auto"/>
        <w:jc w:val="center"/>
        <w:rPr>
          <w:rFonts w:eastAsia="PMingLiU"/>
          <w:szCs w:val="28"/>
          <w:lang w:eastAsia="zh-TW"/>
        </w:rPr>
      </w:pPr>
      <w:r w:rsidRPr="00947A6A">
        <w:rPr>
          <w:szCs w:val="28"/>
        </w:rPr>
        <w:t xml:space="preserve">REASONS FOR </w:t>
      </w:r>
      <w:r w:rsidR="00B9096E" w:rsidRPr="00947A6A">
        <w:rPr>
          <w:szCs w:val="28"/>
        </w:rPr>
        <w:t>DECISION</w:t>
      </w:r>
    </w:p>
    <w:p w:rsidR="00657E0F" w:rsidRPr="00947A6A" w:rsidRDefault="00657E0F" w:rsidP="00BA757B">
      <w:pPr>
        <w:tabs>
          <w:tab w:val="clear" w:pos="4320"/>
          <w:tab w:val="clear" w:pos="9072"/>
          <w:tab w:val="left" w:pos="1620"/>
          <w:tab w:val="right" w:pos="8280"/>
        </w:tabs>
        <w:adjustRightInd w:val="0"/>
        <w:spacing w:line="360" w:lineRule="auto"/>
        <w:jc w:val="center"/>
        <w:rPr>
          <w:szCs w:val="28"/>
        </w:rPr>
      </w:pPr>
      <w:r w:rsidRPr="00947A6A">
        <w:rPr>
          <w:szCs w:val="28"/>
        </w:rPr>
        <w:t>----------</w:t>
      </w:r>
      <w:r w:rsidR="0073482B" w:rsidRPr="00947A6A">
        <w:rPr>
          <w:szCs w:val="28"/>
        </w:rPr>
        <w:t>------------</w:t>
      </w:r>
      <w:r w:rsidR="00B9096E" w:rsidRPr="00947A6A">
        <w:rPr>
          <w:szCs w:val="28"/>
        </w:rPr>
        <w:t>-</w:t>
      </w:r>
      <w:r w:rsidR="008A1C7A" w:rsidRPr="00947A6A">
        <w:rPr>
          <w:szCs w:val="28"/>
        </w:rPr>
        <w:t>----------------</w:t>
      </w:r>
    </w:p>
    <w:p w:rsidR="00657E0F" w:rsidRPr="00947A6A" w:rsidRDefault="00657E0F" w:rsidP="00BA757B">
      <w:pPr>
        <w:tabs>
          <w:tab w:val="clear" w:pos="4320"/>
          <w:tab w:val="clear" w:pos="9072"/>
        </w:tabs>
        <w:spacing w:line="360" w:lineRule="auto"/>
        <w:jc w:val="both"/>
        <w:rPr>
          <w:szCs w:val="28"/>
        </w:rPr>
      </w:pPr>
    </w:p>
    <w:p w:rsidR="00B666CB" w:rsidRPr="00947A6A" w:rsidRDefault="00AF738D" w:rsidP="00BA757B">
      <w:pPr>
        <w:tabs>
          <w:tab w:val="clear" w:pos="4320"/>
          <w:tab w:val="clear" w:pos="9072"/>
        </w:tabs>
        <w:spacing w:line="360" w:lineRule="auto"/>
        <w:jc w:val="both"/>
        <w:rPr>
          <w:bCs/>
          <w:i/>
          <w:szCs w:val="28"/>
        </w:rPr>
      </w:pPr>
      <w:r w:rsidRPr="00947A6A">
        <w:rPr>
          <w:bCs/>
          <w:i/>
          <w:szCs w:val="28"/>
        </w:rPr>
        <w:t>INTRODUCTION</w:t>
      </w:r>
    </w:p>
    <w:p w:rsidR="00150644" w:rsidRPr="00947A6A" w:rsidRDefault="00150644" w:rsidP="00BE71B1">
      <w:pPr>
        <w:tabs>
          <w:tab w:val="clear" w:pos="4320"/>
          <w:tab w:val="clear" w:pos="9072"/>
        </w:tabs>
        <w:spacing w:line="360" w:lineRule="auto"/>
        <w:ind w:right="-720"/>
        <w:jc w:val="both"/>
        <w:rPr>
          <w:bCs/>
          <w:szCs w:val="28"/>
        </w:rPr>
      </w:pPr>
    </w:p>
    <w:p w:rsidR="00904D58" w:rsidRPr="00947A6A" w:rsidRDefault="008B3FA7" w:rsidP="001D48BB">
      <w:pPr>
        <w:pStyle w:val="ListParagraph"/>
        <w:numPr>
          <w:ilvl w:val="0"/>
          <w:numId w:val="17"/>
        </w:numPr>
        <w:spacing w:line="360" w:lineRule="auto"/>
        <w:ind w:left="0" w:firstLine="0"/>
        <w:jc w:val="both"/>
        <w:rPr>
          <w:szCs w:val="28"/>
        </w:rPr>
      </w:pPr>
      <w:r w:rsidRPr="00947A6A">
        <w:rPr>
          <w:szCs w:val="28"/>
        </w:rPr>
        <w:t xml:space="preserve">This is the plaintiff’s application by </w:t>
      </w:r>
      <w:r w:rsidR="00990124">
        <w:rPr>
          <w:szCs w:val="28"/>
        </w:rPr>
        <w:t>s</w:t>
      </w:r>
      <w:r w:rsidR="00F020E0">
        <w:rPr>
          <w:szCs w:val="28"/>
        </w:rPr>
        <w:t>ummons dated 19 October 2020</w:t>
      </w:r>
      <w:r w:rsidRPr="00947A6A">
        <w:rPr>
          <w:szCs w:val="28"/>
        </w:rPr>
        <w:t xml:space="preserve"> </w:t>
      </w:r>
      <w:r w:rsidR="00F020E0">
        <w:rPr>
          <w:szCs w:val="28"/>
        </w:rPr>
        <w:t>(“</w:t>
      </w:r>
      <w:r w:rsidR="00F020E0" w:rsidRPr="00947A6A">
        <w:rPr>
          <w:szCs w:val="28"/>
        </w:rPr>
        <w:t>the Summons”)</w:t>
      </w:r>
      <w:r w:rsidR="00F020E0">
        <w:rPr>
          <w:szCs w:val="28"/>
        </w:rPr>
        <w:t xml:space="preserve"> </w:t>
      </w:r>
      <w:r w:rsidRPr="00947A6A">
        <w:rPr>
          <w:szCs w:val="28"/>
        </w:rPr>
        <w:t xml:space="preserve">for a </w:t>
      </w:r>
      <w:proofErr w:type="spellStart"/>
      <w:r w:rsidRPr="00947A6A">
        <w:rPr>
          <w:rFonts w:eastAsia="Times New Roman"/>
          <w:i/>
          <w:szCs w:val="28"/>
        </w:rPr>
        <w:t>Mareva</w:t>
      </w:r>
      <w:proofErr w:type="spellEnd"/>
      <w:r w:rsidRPr="00947A6A">
        <w:rPr>
          <w:rFonts w:eastAsia="Times New Roman"/>
          <w:i/>
          <w:szCs w:val="28"/>
        </w:rPr>
        <w:t xml:space="preserve"> </w:t>
      </w:r>
      <w:r w:rsidRPr="00947A6A">
        <w:rPr>
          <w:szCs w:val="28"/>
        </w:rPr>
        <w:t xml:space="preserve">injunction restraining the </w:t>
      </w:r>
      <w:r w:rsidRPr="00947A6A">
        <w:rPr>
          <w:szCs w:val="28"/>
        </w:rPr>
        <w:lastRenderedPageBreak/>
        <w:t xml:space="preserve">disposal of property against the </w:t>
      </w:r>
      <w:r w:rsidR="0046333F">
        <w:rPr>
          <w:szCs w:val="28"/>
        </w:rPr>
        <w:t>defendant</w:t>
      </w:r>
      <w:r w:rsidR="0063196F">
        <w:rPr>
          <w:szCs w:val="28"/>
        </w:rPr>
        <w:t xml:space="preserve"> pursuant to Order 29, r</w:t>
      </w:r>
      <w:r w:rsidRPr="00947A6A">
        <w:rPr>
          <w:szCs w:val="28"/>
        </w:rPr>
        <w:t>ule 1 of the R</w:t>
      </w:r>
      <w:r w:rsidR="003B0D07">
        <w:rPr>
          <w:szCs w:val="28"/>
        </w:rPr>
        <w:t xml:space="preserve">ules of the District Court, </w:t>
      </w:r>
      <w:r w:rsidR="0063196F">
        <w:rPr>
          <w:szCs w:val="28"/>
        </w:rPr>
        <w:t>Cap 336H</w:t>
      </w:r>
      <w:r w:rsidRPr="00947A6A">
        <w:rPr>
          <w:szCs w:val="28"/>
        </w:rPr>
        <w:t xml:space="preserve"> (“</w:t>
      </w:r>
      <w:r w:rsidRPr="00947A6A">
        <w:rPr>
          <w:rFonts w:eastAsia="Times New Roman"/>
          <w:szCs w:val="28"/>
        </w:rPr>
        <w:t>RDC</w:t>
      </w:r>
      <w:r w:rsidRPr="00947A6A">
        <w:rPr>
          <w:szCs w:val="28"/>
        </w:rPr>
        <w:t>”).</w:t>
      </w:r>
    </w:p>
    <w:p w:rsidR="001D48BB" w:rsidRPr="00947A6A" w:rsidRDefault="001D48BB" w:rsidP="001D48BB">
      <w:pPr>
        <w:pStyle w:val="ListParagraph"/>
        <w:spacing w:line="360" w:lineRule="auto"/>
        <w:ind w:left="0"/>
        <w:jc w:val="both"/>
        <w:rPr>
          <w:szCs w:val="28"/>
        </w:rPr>
      </w:pPr>
    </w:p>
    <w:p w:rsidR="00F77E73" w:rsidRPr="0040773B" w:rsidRDefault="008B3FA7" w:rsidP="00F77E73">
      <w:pPr>
        <w:pStyle w:val="ListParagraph"/>
        <w:numPr>
          <w:ilvl w:val="0"/>
          <w:numId w:val="17"/>
        </w:numPr>
        <w:spacing w:line="360" w:lineRule="auto"/>
        <w:ind w:left="0" w:firstLine="0"/>
        <w:jc w:val="both"/>
        <w:rPr>
          <w:szCs w:val="28"/>
        </w:rPr>
      </w:pPr>
      <w:r w:rsidRPr="00947A6A">
        <w:rPr>
          <w:szCs w:val="28"/>
        </w:rPr>
        <w:t>At the hearing on 9 December 2020, I dismissed the Summons with co</w:t>
      </w:r>
      <w:r w:rsidR="00F77E73">
        <w:rPr>
          <w:szCs w:val="28"/>
        </w:rPr>
        <w:t xml:space="preserve">sts in </w:t>
      </w:r>
      <w:proofErr w:type="spellStart"/>
      <w:r w:rsidR="00F77E73">
        <w:rPr>
          <w:szCs w:val="28"/>
        </w:rPr>
        <w:t>favour</w:t>
      </w:r>
      <w:proofErr w:type="spellEnd"/>
      <w:r w:rsidR="00F77E73">
        <w:rPr>
          <w:szCs w:val="28"/>
        </w:rPr>
        <w:t xml:space="preserve"> of the defendant and gave the following order:</w:t>
      </w:r>
    </w:p>
    <w:p w:rsidR="0040773B" w:rsidRPr="0040773B" w:rsidRDefault="0040773B" w:rsidP="0040773B">
      <w:pPr>
        <w:pStyle w:val="ListParagraph"/>
        <w:rPr>
          <w:b/>
          <w:szCs w:val="28"/>
        </w:rPr>
      </w:pPr>
    </w:p>
    <w:p w:rsidR="0040773B" w:rsidRDefault="0040773B" w:rsidP="0040773B">
      <w:pPr>
        <w:pStyle w:val="ListParagraph"/>
        <w:tabs>
          <w:tab w:val="clear" w:pos="1440"/>
          <w:tab w:val="left" w:pos="2160"/>
        </w:tabs>
        <w:ind w:left="2160" w:right="746" w:hanging="720"/>
        <w:jc w:val="both"/>
        <w:rPr>
          <w:sz w:val="24"/>
          <w:szCs w:val="24"/>
        </w:rPr>
      </w:pPr>
      <w:r>
        <w:rPr>
          <w:sz w:val="24"/>
          <w:szCs w:val="24"/>
        </w:rPr>
        <w:t>“</w:t>
      </w:r>
      <w:r w:rsidR="00990124">
        <w:rPr>
          <w:sz w:val="24"/>
          <w:szCs w:val="24"/>
        </w:rPr>
        <w:t>1.</w:t>
      </w:r>
      <w:r w:rsidR="00990124">
        <w:rPr>
          <w:sz w:val="24"/>
          <w:szCs w:val="24"/>
        </w:rPr>
        <w:tab/>
        <w:t>The S</w:t>
      </w:r>
      <w:r w:rsidRPr="0040773B">
        <w:rPr>
          <w:sz w:val="24"/>
          <w:szCs w:val="24"/>
        </w:rPr>
        <w:t>ummons is hereby dismissed;</w:t>
      </w:r>
    </w:p>
    <w:p w:rsidR="0040773B" w:rsidRPr="0040773B" w:rsidRDefault="0040773B" w:rsidP="0040773B">
      <w:pPr>
        <w:pStyle w:val="ListParagraph"/>
        <w:tabs>
          <w:tab w:val="clear" w:pos="1440"/>
          <w:tab w:val="left" w:pos="2160"/>
        </w:tabs>
        <w:ind w:left="2160" w:right="746" w:hanging="720"/>
        <w:jc w:val="both"/>
        <w:rPr>
          <w:sz w:val="24"/>
          <w:szCs w:val="24"/>
        </w:rPr>
      </w:pPr>
    </w:p>
    <w:p w:rsidR="0040773B" w:rsidRDefault="0040773B" w:rsidP="0040773B">
      <w:pPr>
        <w:pStyle w:val="ListParagraph"/>
        <w:tabs>
          <w:tab w:val="clear" w:pos="1440"/>
          <w:tab w:val="left" w:pos="2160"/>
        </w:tabs>
        <w:ind w:left="2160" w:right="746" w:hanging="720"/>
        <w:jc w:val="both"/>
        <w:rPr>
          <w:sz w:val="24"/>
          <w:szCs w:val="24"/>
        </w:rPr>
      </w:pPr>
      <w:r w:rsidRPr="0040773B">
        <w:rPr>
          <w:sz w:val="24"/>
          <w:szCs w:val="24"/>
        </w:rPr>
        <w:t>2.</w:t>
      </w:r>
      <w:r w:rsidRPr="0040773B">
        <w:rPr>
          <w:sz w:val="24"/>
          <w:szCs w:val="24"/>
        </w:rPr>
        <w:tab/>
        <w:t>The costs of and occasioned by t</w:t>
      </w:r>
      <w:r w:rsidR="00990124">
        <w:rPr>
          <w:sz w:val="24"/>
          <w:szCs w:val="24"/>
        </w:rPr>
        <w:t>his application be paid by the Plaintiff to the Defendant with certificate for C</w:t>
      </w:r>
      <w:r w:rsidRPr="0040773B">
        <w:rPr>
          <w:sz w:val="24"/>
          <w:szCs w:val="24"/>
        </w:rPr>
        <w:t>ounsel,</w:t>
      </w:r>
      <w:r w:rsidR="00990124">
        <w:rPr>
          <w:sz w:val="24"/>
          <w:szCs w:val="24"/>
        </w:rPr>
        <w:t xml:space="preserve"> and</w:t>
      </w:r>
      <w:r w:rsidRPr="0040773B">
        <w:rPr>
          <w:sz w:val="24"/>
          <w:szCs w:val="24"/>
        </w:rPr>
        <w:t xml:space="preserve"> such </w:t>
      </w:r>
      <w:r w:rsidR="00A703E0">
        <w:rPr>
          <w:sz w:val="24"/>
          <w:szCs w:val="24"/>
        </w:rPr>
        <w:t xml:space="preserve">costs </w:t>
      </w:r>
      <w:r w:rsidR="00990124">
        <w:rPr>
          <w:sz w:val="24"/>
          <w:szCs w:val="24"/>
        </w:rPr>
        <w:t>to</w:t>
      </w:r>
      <w:r w:rsidRPr="0040773B">
        <w:rPr>
          <w:sz w:val="24"/>
          <w:szCs w:val="24"/>
        </w:rPr>
        <w:t xml:space="preserve"> be summarily assessed by the Court by way of paper disposal;</w:t>
      </w:r>
    </w:p>
    <w:p w:rsidR="0040773B" w:rsidRPr="0040773B" w:rsidRDefault="0040773B" w:rsidP="0040773B">
      <w:pPr>
        <w:pStyle w:val="ListParagraph"/>
        <w:tabs>
          <w:tab w:val="clear" w:pos="1440"/>
          <w:tab w:val="left" w:pos="2160"/>
        </w:tabs>
        <w:ind w:left="2160" w:right="746" w:hanging="720"/>
        <w:jc w:val="both"/>
        <w:rPr>
          <w:sz w:val="24"/>
          <w:szCs w:val="24"/>
        </w:rPr>
      </w:pPr>
    </w:p>
    <w:p w:rsidR="0040773B" w:rsidRDefault="00990124" w:rsidP="0040773B">
      <w:pPr>
        <w:pStyle w:val="ListParagraph"/>
        <w:tabs>
          <w:tab w:val="clear" w:pos="1440"/>
          <w:tab w:val="left" w:pos="2160"/>
        </w:tabs>
        <w:ind w:left="2160" w:right="746" w:hanging="720"/>
        <w:jc w:val="both"/>
        <w:rPr>
          <w:sz w:val="24"/>
          <w:szCs w:val="24"/>
        </w:rPr>
      </w:pPr>
      <w:r>
        <w:rPr>
          <w:sz w:val="24"/>
          <w:szCs w:val="24"/>
        </w:rPr>
        <w:t>3.</w:t>
      </w:r>
      <w:r>
        <w:rPr>
          <w:sz w:val="24"/>
          <w:szCs w:val="24"/>
        </w:rPr>
        <w:tab/>
        <w:t>The D</w:t>
      </w:r>
      <w:r w:rsidR="0040773B" w:rsidRPr="0040773B">
        <w:rPr>
          <w:sz w:val="24"/>
          <w:szCs w:val="24"/>
        </w:rPr>
        <w:t>efendant do lodge wi</w:t>
      </w:r>
      <w:r>
        <w:rPr>
          <w:sz w:val="24"/>
          <w:szCs w:val="24"/>
        </w:rPr>
        <w:t>th the clerk of thi</w:t>
      </w:r>
      <w:r w:rsidR="002D6D1C">
        <w:rPr>
          <w:sz w:val="24"/>
          <w:szCs w:val="24"/>
        </w:rPr>
        <w:t>s Court his statement of c</w:t>
      </w:r>
      <w:r w:rsidR="0040773B" w:rsidRPr="0040773B">
        <w:rPr>
          <w:sz w:val="24"/>
          <w:szCs w:val="24"/>
        </w:rPr>
        <w:t>osts for summary asse</w:t>
      </w:r>
      <w:r>
        <w:rPr>
          <w:sz w:val="24"/>
          <w:szCs w:val="24"/>
        </w:rPr>
        <w:t>ssment and serve a copy on the P</w:t>
      </w:r>
      <w:r w:rsidR="0040773B" w:rsidRPr="0040773B">
        <w:rPr>
          <w:sz w:val="24"/>
          <w:szCs w:val="24"/>
        </w:rPr>
        <w:t>laintiff within 7 days;</w:t>
      </w:r>
    </w:p>
    <w:p w:rsidR="0040773B" w:rsidRPr="0040773B" w:rsidRDefault="0040773B" w:rsidP="0040773B">
      <w:pPr>
        <w:pStyle w:val="ListParagraph"/>
        <w:tabs>
          <w:tab w:val="clear" w:pos="1440"/>
          <w:tab w:val="left" w:pos="2160"/>
        </w:tabs>
        <w:ind w:left="2160" w:right="746" w:hanging="720"/>
        <w:jc w:val="both"/>
        <w:rPr>
          <w:sz w:val="24"/>
          <w:szCs w:val="24"/>
        </w:rPr>
      </w:pPr>
    </w:p>
    <w:p w:rsidR="0040773B" w:rsidRDefault="0040773B" w:rsidP="0040773B">
      <w:pPr>
        <w:pStyle w:val="ListParagraph"/>
        <w:tabs>
          <w:tab w:val="clear" w:pos="1440"/>
          <w:tab w:val="left" w:pos="2160"/>
        </w:tabs>
        <w:ind w:left="2160" w:right="746" w:hanging="720"/>
        <w:jc w:val="both"/>
        <w:rPr>
          <w:sz w:val="24"/>
          <w:szCs w:val="24"/>
        </w:rPr>
      </w:pPr>
      <w:r w:rsidRPr="0040773B">
        <w:rPr>
          <w:sz w:val="24"/>
          <w:szCs w:val="24"/>
        </w:rPr>
        <w:t>4.</w:t>
      </w:r>
      <w:r w:rsidRPr="0040773B">
        <w:rPr>
          <w:sz w:val="24"/>
          <w:szCs w:val="24"/>
        </w:rPr>
        <w:tab/>
        <w:t xml:space="preserve">The </w:t>
      </w:r>
      <w:r w:rsidR="00990124">
        <w:rPr>
          <w:sz w:val="24"/>
          <w:szCs w:val="24"/>
        </w:rPr>
        <w:t>P</w:t>
      </w:r>
      <w:r w:rsidRPr="0040773B">
        <w:rPr>
          <w:sz w:val="24"/>
          <w:szCs w:val="24"/>
        </w:rPr>
        <w:t xml:space="preserve">laintiff do lodge with the clerk of this Court his list of objections, if any, and serve a copy </w:t>
      </w:r>
      <w:r w:rsidR="00990124">
        <w:rPr>
          <w:sz w:val="24"/>
          <w:szCs w:val="24"/>
        </w:rPr>
        <w:t>on the D</w:t>
      </w:r>
      <w:r w:rsidRPr="0040773B">
        <w:rPr>
          <w:sz w:val="24"/>
          <w:szCs w:val="24"/>
        </w:rPr>
        <w:t>efendant within 7 days thereafter;</w:t>
      </w:r>
    </w:p>
    <w:p w:rsidR="0040773B" w:rsidRPr="0040773B" w:rsidRDefault="0040773B" w:rsidP="0040773B">
      <w:pPr>
        <w:pStyle w:val="ListParagraph"/>
        <w:tabs>
          <w:tab w:val="clear" w:pos="1440"/>
          <w:tab w:val="left" w:pos="2160"/>
        </w:tabs>
        <w:ind w:left="2160" w:right="746" w:hanging="720"/>
        <w:jc w:val="both"/>
        <w:rPr>
          <w:sz w:val="24"/>
          <w:szCs w:val="24"/>
        </w:rPr>
      </w:pPr>
    </w:p>
    <w:p w:rsidR="0040773B" w:rsidRDefault="0040773B" w:rsidP="0040773B">
      <w:pPr>
        <w:pStyle w:val="ListParagraph"/>
        <w:tabs>
          <w:tab w:val="clear" w:pos="1440"/>
          <w:tab w:val="left" w:pos="2160"/>
        </w:tabs>
        <w:ind w:left="2160" w:right="746" w:hanging="720"/>
        <w:jc w:val="both"/>
        <w:rPr>
          <w:sz w:val="24"/>
          <w:szCs w:val="24"/>
        </w:rPr>
      </w:pPr>
      <w:r w:rsidRPr="0040773B">
        <w:rPr>
          <w:sz w:val="24"/>
          <w:szCs w:val="24"/>
        </w:rPr>
        <w:t>5.</w:t>
      </w:r>
      <w:r w:rsidRPr="0040773B">
        <w:rPr>
          <w:sz w:val="24"/>
          <w:szCs w:val="24"/>
        </w:rPr>
        <w:tab/>
        <w:t>For the avoidance of doubt, the time for complying any direction or order for the payment of the summar</w:t>
      </w:r>
      <w:r w:rsidR="00990124">
        <w:rPr>
          <w:sz w:val="24"/>
          <w:szCs w:val="24"/>
        </w:rPr>
        <w:t xml:space="preserve">y assessed costs under Order 62, rule </w:t>
      </w:r>
      <w:r w:rsidRPr="0040773B">
        <w:rPr>
          <w:sz w:val="24"/>
          <w:szCs w:val="24"/>
        </w:rPr>
        <w:t xml:space="preserve">9B (1)(a) </w:t>
      </w:r>
      <w:r w:rsidR="00990124">
        <w:rPr>
          <w:sz w:val="24"/>
          <w:szCs w:val="24"/>
        </w:rPr>
        <w:t xml:space="preserve">of the Rules of the District Court </w:t>
      </w:r>
      <w:r w:rsidRPr="0040773B">
        <w:rPr>
          <w:sz w:val="24"/>
          <w:szCs w:val="24"/>
        </w:rPr>
        <w:t>does not apply pursuant to sub-para</w:t>
      </w:r>
      <w:r w:rsidR="00990124">
        <w:rPr>
          <w:sz w:val="24"/>
          <w:szCs w:val="24"/>
        </w:rPr>
        <w:t>graph</w:t>
      </w:r>
      <w:r w:rsidRPr="0040773B">
        <w:rPr>
          <w:sz w:val="24"/>
          <w:szCs w:val="24"/>
        </w:rPr>
        <w:t xml:space="preserve"> (2) of that Order; and</w:t>
      </w:r>
    </w:p>
    <w:p w:rsidR="0040773B" w:rsidRPr="0040773B" w:rsidRDefault="0040773B" w:rsidP="0040773B">
      <w:pPr>
        <w:tabs>
          <w:tab w:val="clear" w:pos="1440"/>
          <w:tab w:val="left" w:pos="2160"/>
        </w:tabs>
        <w:ind w:right="746"/>
        <w:jc w:val="both"/>
        <w:rPr>
          <w:sz w:val="24"/>
          <w:szCs w:val="24"/>
        </w:rPr>
      </w:pPr>
    </w:p>
    <w:p w:rsidR="00F77E73" w:rsidRPr="0040773B" w:rsidRDefault="00990124" w:rsidP="0040773B">
      <w:pPr>
        <w:pStyle w:val="ListParagraph"/>
        <w:tabs>
          <w:tab w:val="clear" w:pos="1440"/>
          <w:tab w:val="left" w:pos="2160"/>
        </w:tabs>
        <w:ind w:left="2160" w:right="746" w:hanging="720"/>
        <w:jc w:val="both"/>
        <w:rPr>
          <w:sz w:val="24"/>
          <w:szCs w:val="24"/>
        </w:rPr>
      </w:pPr>
      <w:r>
        <w:rPr>
          <w:sz w:val="24"/>
          <w:szCs w:val="24"/>
        </w:rPr>
        <w:t>6.</w:t>
      </w:r>
      <w:r>
        <w:rPr>
          <w:sz w:val="24"/>
          <w:szCs w:val="24"/>
        </w:rPr>
        <w:tab/>
        <w:t>The P</w:t>
      </w:r>
      <w:r w:rsidR="0040773B" w:rsidRPr="0040773B">
        <w:rPr>
          <w:sz w:val="24"/>
          <w:szCs w:val="24"/>
        </w:rPr>
        <w:t>laintiff’s own costs to be taxed in accordance with the Legal Aid Regulations.</w:t>
      </w:r>
      <w:r w:rsidR="0040773B">
        <w:rPr>
          <w:sz w:val="24"/>
          <w:szCs w:val="24"/>
        </w:rPr>
        <w:t>”</w:t>
      </w:r>
    </w:p>
    <w:p w:rsidR="00F77E73" w:rsidRPr="00F77E73" w:rsidRDefault="00F77E73" w:rsidP="002D6D1C">
      <w:pPr>
        <w:pStyle w:val="ListParagraph"/>
        <w:spacing w:line="360" w:lineRule="auto"/>
        <w:rPr>
          <w:szCs w:val="28"/>
        </w:rPr>
      </w:pPr>
    </w:p>
    <w:p w:rsidR="004B138C" w:rsidRPr="003B0D07" w:rsidRDefault="008B3FA7" w:rsidP="003B0D07">
      <w:pPr>
        <w:pStyle w:val="ListParagraph"/>
        <w:numPr>
          <w:ilvl w:val="0"/>
          <w:numId w:val="17"/>
        </w:numPr>
        <w:spacing w:line="360" w:lineRule="auto"/>
        <w:ind w:left="0" w:firstLine="0"/>
        <w:jc w:val="both"/>
        <w:rPr>
          <w:szCs w:val="28"/>
        </w:rPr>
      </w:pPr>
      <w:r w:rsidRPr="00947A6A">
        <w:rPr>
          <w:szCs w:val="28"/>
        </w:rPr>
        <w:t>I said I would give the reasons for my decision in due course. Here are the reasons.</w:t>
      </w:r>
    </w:p>
    <w:p w:rsidR="000D5265" w:rsidRPr="00947A6A" w:rsidRDefault="000D5265" w:rsidP="001D48BB">
      <w:pPr>
        <w:spacing w:line="360" w:lineRule="auto"/>
      </w:pPr>
    </w:p>
    <w:p w:rsidR="000D5265" w:rsidRPr="00947A6A" w:rsidRDefault="000D5265" w:rsidP="001D48BB">
      <w:pPr>
        <w:spacing w:line="360" w:lineRule="auto"/>
        <w:rPr>
          <w:i/>
        </w:rPr>
      </w:pPr>
      <w:r w:rsidRPr="00947A6A">
        <w:rPr>
          <w:i/>
        </w:rPr>
        <w:t>BACKGROUND</w:t>
      </w:r>
    </w:p>
    <w:p w:rsidR="001E2E00" w:rsidRPr="00947A6A" w:rsidRDefault="000D5265" w:rsidP="001D48BB">
      <w:pPr>
        <w:pStyle w:val="ListParagraph"/>
        <w:spacing w:line="360" w:lineRule="auto"/>
        <w:ind w:left="0"/>
        <w:jc w:val="both"/>
      </w:pPr>
      <w:r w:rsidRPr="00947A6A">
        <w:t xml:space="preserve"> </w:t>
      </w:r>
      <w:r w:rsidR="001E2E00" w:rsidRPr="00947A6A">
        <w:t xml:space="preserve">      </w:t>
      </w:r>
    </w:p>
    <w:p w:rsidR="003B0D07" w:rsidRPr="003B0D07" w:rsidRDefault="007E1238" w:rsidP="001D48BB">
      <w:pPr>
        <w:pStyle w:val="ListParagraph"/>
        <w:numPr>
          <w:ilvl w:val="0"/>
          <w:numId w:val="17"/>
        </w:numPr>
        <w:spacing w:line="360" w:lineRule="auto"/>
        <w:ind w:left="0" w:firstLine="0"/>
        <w:jc w:val="both"/>
      </w:pPr>
      <w:r w:rsidRPr="006E4F43">
        <w:rPr>
          <w:szCs w:val="28"/>
        </w:rPr>
        <w:t xml:space="preserve">The </w:t>
      </w:r>
      <w:r w:rsidR="0046333F">
        <w:rPr>
          <w:szCs w:val="28"/>
        </w:rPr>
        <w:t>plaintiff</w:t>
      </w:r>
      <w:r w:rsidRPr="006E4F43">
        <w:rPr>
          <w:szCs w:val="28"/>
        </w:rPr>
        <w:t xml:space="preserve"> claims damages aga</w:t>
      </w:r>
      <w:r>
        <w:rPr>
          <w:szCs w:val="28"/>
        </w:rPr>
        <w:t xml:space="preserve">inst the </w:t>
      </w:r>
      <w:r w:rsidR="0046333F">
        <w:rPr>
          <w:szCs w:val="28"/>
        </w:rPr>
        <w:t>defendant</w:t>
      </w:r>
      <w:r>
        <w:rPr>
          <w:szCs w:val="28"/>
        </w:rPr>
        <w:t xml:space="preserve"> for personal </w:t>
      </w:r>
      <w:r w:rsidRPr="006E4F43">
        <w:rPr>
          <w:szCs w:val="28"/>
        </w:rPr>
        <w:t xml:space="preserve">injuries </w:t>
      </w:r>
      <w:r w:rsidR="00244A97">
        <w:rPr>
          <w:szCs w:val="28"/>
        </w:rPr>
        <w:t xml:space="preserve">he had </w:t>
      </w:r>
      <w:r w:rsidRPr="006E4F43">
        <w:rPr>
          <w:szCs w:val="28"/>
        </w:rPr>
        <w:t>suffered as the result of an acc</w:t>
      </w:r>
      <w:r>
        <w:rPr>
          <w:szCs w:val="28"/>
        </w:rPr>
        <w:t xml:space="preserve">ident </w:t>
      </w:r>
      <w:r w:rsidR="00A60ADE">
        <w:rPr>
          <w:szCs w:val="28"/>
        </w:rPr>
        <w:t xml:space="preserve">happened </w:t>
      </w:r>
      <w:r>
        <w:rPr>
          <w:szCs w:val="28"/>
        </w:rPr>
        <w:t xml:space="preserve">on 17 May 2017, where the </w:t>
      </w:r>
      <w:r w:rsidR="0046333F">
        <w:rPr>
          <w:szCs w:val="28"/>
        </w:rPr>
        <w:t>plaintiff</w:t>
      </w:r>
      <w:r w:rsidRPr="006E4F43">
        <w:rPr>
          <w:szCs w:val="28"/>
        </w:rPr>
        <w:t xml:space="preserve"> allegedly fell off </w:t>
      </w:r>
      <w:r w:rsidR="00A60ADE">
        <w:rPr>
          <w:szCs w:val="28"/>
        </w:rPr>
        <w:t xml:space="preserve">from </w:t>
      </w:r>
      <w:r w:rsidRPr="006E4F43">
        <w:rPr>
          <w:szCs w:val="28"/>
        </w:rPr>
        <w:t xml:space="preserve">a ladder that </w:t>
      </w:r>
      <w:r w:rsidR="00244A97">
        <w:rPr>
          <w:szCs w:val="28"/>
        </w:rPr>
        <w:t>he</w:t>
      </w:r>
      <w:r>
        <w:rPr>
          <w:szCs w:val="28"/>
        </w:rPr>
        <w:t xml:space="preserve"> was working on (</w:t>
      </w:r>
      <w:r w:rsidR="003B0D07">
        <w:rPr>
          <w:szCs w:val="28"/>
        </w:rPr>
        <w:t>“</w:t>
      </w:r>
      <w:r>
        <w:rPr>
          <w:szCs w:val="28"/>
        </w:rPr>
        <w:t xml:space="preserve">the </w:t>
      </w:r>
      <w:r w:rsidRPr="006E4F43">
        <w:rPr>
          <w:rFonts w:eastAsia="Times New Roman"/>
          <w:szCs w:val="28"/>
        </w:rPr>
        <w:t>Accident</w:t>
      </w:r>
      <w:r>
        <w:rPr>
          <w:szCs w:val="28"/>
        </w:rPr>
        <w:t>”)</w:t>
      </w:r>
      <w:r w:rsidR="00A60ADE">
        <w:rPr>
          <w:szCs w:val="28"/>
        </w:rPr>
        <w:t>.</w:t>
      </w:r>
      <w:r w:rsidRPr="006E4F43">
        <w:rPr>
          <w:szCs w:val="28"/>
        </w:rPr>
        <w:t xml:space="preserve"> </w:t>
      </w:r>
    </w:p>
    <w:p w:rsidR="003B0D07" w:rsidRPr="003B0D07" w:rsidRDefault="003B0D07" w:rsidP="003B0D07">
      <w:pPr>
        <w:pStyle w:val="ListParagraph"/>
        <w:spacing w:line="360" w:lineRule="auto"/>
        <w:ind w:left="0"/>
        <w:jc w:val="both"/>
      </w:pPr>
    </w:p>
    <w:p w:rsidR="00435CF0" w:rsidRPr="00947A6A" w:rsidRDefault="007E1238" w:rsidP="001D48BB">
      <w:pPr>
        <w:pStyle w:val="ListParagraph"/>
        <w:numPr>
          <w:ilvl w:val="0"/>
          <w:numId w:val="17"/>
        </w:numPr>
        <w:spacing w:line="360" w:lineRule="auto"/>
        <w:ind w:left="0" w:firstLine="0"/>
        <w:jc w:val="both"/>
      </w:pPr>
      <w:r w:rsidRPr="006E4F43">
        <w:rPr>
          <w:szCs w:val="28"/>
        </w:rPr>
        <w:t xml:space="preserve">The </w:t>
      </w:r>
      <w:r w:rsidR="0046333F">
        <w:rPr>
          <w:szCs w:val="28"/>
        </w:rPr>
        <w:t>plaintiff</w:t>
      </w:r>
      <w:r w:rsidRPr="006E4F43">
        <w:rPr>
          <w:szCs w:val="28"/>
        </w:rPr>
        <w:t xml:space="preserve"> w</w:t>
      </w:r>
      <w:r w:rsidR="00A734B4">
        <w:rPr>
          <w:szCs w:val="28"/>
        </w:rPr>
        <w:t>as instructed</w:t>
      </w:r>
      <w:r>
        <w:rPr>
          <w:szCs w:val="28"/>
        </w:rPr>
        <w:t xml:space="preserve"> by the </w:t>
      </w:r>
      <w:r w:rsidR="0046333F">
        <w:rPr>
          <w:szCs w:val="28"/>
        </w:rPr>
        <w:t>defendant</w:t>
      </w:r>
      <w:r>
        <w:rPr>
          <w:szCs w:val="28"/>
        </w:rPr>
        <w:t xml:space="preserve"> to </w:t>
      </w:r>
      <w:r w:rsidRPr="006E4F43">
        <w:rPr>
          <w:szCs w:val="28"/>
        </w:rPr>
        <w:t>carry out painting works for the interior wal</w:t>
      </w:r>
      <w:r>
        <w:rPr>
          <w:szCs w:val="28"/>
        </w:rPr>
        <w:t xml:space="preserve">ls of a house </w:t>
      </w:r>
      <w:r w:rsidR="00BE2F45">
        <w:rPr>
          <w:szCs w:val="28"/>
        </w:rPr>
        <w:t xml:space="preserve">located </w:t>
      </w:r>
      <w:r>
        <w:rPr>
          <w:szCs w:val="28"/>
        </w:rPr>
        <w:t>in Yuen Long (</w:t>
      </w:r>
      <w:r w:rsidR="003B0D07">
        <w:rPr>
          <w:szCs w:val="28"/>
        </w:rPr>
        <w:t>“</w:t>
      </w:r>
      <w:r>
        <w:rPr>
          <w:szCs w:val="28"/>
        </w:rPr>
        <w:t xml:space="preserve">the </w:t>
      </w:r>
      <w:r w:rsidRPr="006E4F43">
        <w:rPr>
          <w:rFonts w:eastAsia="Times New Roman"/>
          <w:szCs w:val="28"/>
        </w:rPr>
        <w:t>House</w:t>
      </w:r>
      <w:r w:rsidR="00A60ADE">
        <w:rPr>
          <w:szCs w:val="28"/>
        </w:rPr>
        <w:t>”).</w:t>
      </w:r>
    </w:p>
    <w:p w:rsidR="00435CF0" w:rsidRPr="00947A6A" w:rsidRDefault="00435CF0" w:rsidP="001D48BB">
      <w:pPr>
        <w:pStyle w:val="ListParagraph"/>
        <w:spacing w:line="360" w:lineRule="auto"/>
        <w:ind w:left="0"/>
        <w:jc w:val="both"/>
      </w:pPr>
    </w:p>
    <w:p w:rsidR="00435CF0" w:rsidRPr="00947A6A" w:rsidRDefault="007E1238" w:rsidP="001D48BB">
      <w:pPr>
        <w:pStyle w:val="ListParagraph"/>
        <w:numPr>
          <w:ilvl w:val="0"/>
          <w:numId w:val="17"/>
        </w:numPr>
        <w:spacing w:line="360" w:lineRule="auto"/>
        <w:ind w:left="0" w:firstLine="0"/>
        <w:jc w:val="both"/>
      </w:pPr>
      <w:r w:rsidRPr="006E4F43">
        <w:rPr>
          <w:szCs w:val="28"/>
        </w:rPr>
        <w:t xml:space="preserve">The </w:t>
      </w:r>
      <w:r w:rsidR="0046333F">
        <w:rPr>
          <w:szCs w:val="28"/>
        </w:rPr>
        <w:t>plaintiff</w:t>
      </w:r>
      <w:r w:rsidRPr="006E4F43">
        <w:rPr>
          <w:szCs w:val="28"/>
        </w:rPr>
        <w:t xml:space="preserve"> had, amongst other things, the control to determine the location within the House to carry out his duties as well as the control to determine the procedure, method, and equipment used to carry out his duties. In particular, the selection and use of the wooden A-shaped ladder </w:t>
      </w:r>
      <w:r w:rsidR="00A734B4">
        <w:rPr>
          <w:szCs w:val="28"/>
        </w:rPr>
        <w:t xml:space="preserve">(“the </w:t>
      </w:r>
      <w:r w:rsidR="00A734B4" w:rsidRPr="006E4F43">
        <w:rPr>
          <w:rFonts w:eastAsia="Times New Roman"/>
          <w:szCs w:val="28"/>
        </w:rPr>
        <w:t>Ladder</w:t>
      </w:r>
      <w:r w:rsidR="00A734B4">
        <w:rPr>
          <w:szCs w:val="28"/>
        </w:rPr>
        <w:t xml:space="preserve">”) </w:t>
      </w:r>
      <w:r w:rsidRPr="006E4F43">
        <w:rPr>
          <w:szCs w:val="28"/>
        </w:rPr>
        <w:t xml:space="preserve">that the </w:t>
      </w:r>
      <w:r w:rsidR="0046333F">
        <w:rPr>
          <w:szCs w:val="28"/>
        </w:rPr>
        <w:t>plaintiff</w:t>
      </w:r>
      <w:r w:rsidR="002D6D1C">
        <w:rPr>
          <w:szCs w:val="28"/>
        </w:rPr>
        <w:t xml:space="preserve"> allegedly fell off from</w:t>
      </w:r>
      <w:r w:rsidR="000E2127">
        <w:rPr>
          <w:szCs w:val="28"/>
        </w:rPr>
        <w:t>.</w:t>
      </w:r>
    </w:p>
    <w:p w:rsidR="009464D0" w:rsidRPr="00947A6A" w:rsidRDefault="009464D0" w:rsidP="001D48BB">
      <w:pPr>
        <w:pStyle w:val="ListParagraph"/>
        <w:spacing w:line="360" w:lineRule="auto"/>
        <w:ind w:left="0"/>
        <w:jc w:val="both"/>
      </w:pPr>
    </w:p>
    <w:p w:rsidR="009464D0" w:rsidRPr="00947A6A" w:rsidRDefault="007E1238" w:rsidP="001D1DE3">
      <w:pPr>
        <w:pStyle w:val="ListParagraph"/>
        <w:numPr>
          <w:ilvl w:val="0"/>
          <w:numId w:val="17"/>
        </w:numPr>
        <w:spacing w:line="360" w:lineRule="auto"/>
        <w:ind w:left="0" w:firstLine="0"/>
        <w:jc w:val="both"/>
      </w:pPr>
      <w:r w:rsidRPr="006E4F43">
        <w:rPr>
          <w:szCs w:val="28"/>
        </w:rPr>
        <w:t xml:space="preserve">At the time of the Accident, the </w:t>
      </w:r>
      <w:r w:rsidR="0046333F">
        <w:rPr>
          <w:szCs w:val="28"/>
        </w:rPr>
        <w:t>plaintiff</w:t>
      </w:r>
      <w:r w:rsidRPr="006E4F43">
        <w:rPr>
          <w:szCs w:val="28"/>
        </w:rPr>
        <w:t xml:space="preserve"> was an experienced decoration worker with over 30 years of experience in the decoration industry as well as the holder of </w:t>
      </w:r>
      <w:r w:rsidR="002D6D1C">
        <w:rPr>
          <w:szCs w:val="28"/>
        </w:rPr>
        <w:t xml:space="preserve">a </w:t>
      </w:r>
      <w:r w:rsidRPr="006E4F43">
        <w:rPr>
          <w:szCs w:val="28"/>
        </w:rPr>
        <w:t xml:space="preserve">valid </w:t>
      </w:r>
      <w:r w:rsidR="002D6D1C">
        <w:rPr>
          <w:szCs w:val="28"/>
        </w:rPr>
        <w:t>safety c</w:t>
      </w:r>
      <w:r>
        <w:rPr>
          <w:szCs w:val="28"/>
        </w:rPr>
        <w:t>ard</w:t>
      </w:r>
      <w:r w:rsidRPr="006E4F43">
        <w:rPr>
          <w:szCs w:val="28"/>
        </w:rPr>
        <w:t>.</w:t>
      </w:r>
    </w:p>
    <w:p w:rsidR="0012382C" w:rsidRPr="00947A6A" w:rsidRDefault="0012382C" w:rsidP="001D48BB">
      <w:pPr>
        <w:spacing w:line="360" w:lineRule="auto"/>
        <w:jc w:val="both"/>
      </w:pPr>
    </w:p>
    <w:p w:rsidR="00C54931" w:rsidRPr="00DD6B6B" w:rsidRDefault="007E1238" w:rsidP="001E5C01">
      <w:pPr>
        <w:pStyle w:val="ListParagraph"/>
        <w:numPr>
          <w:ilvl w:val="0"/>
          <w:numId w:val="17"/>
        </w:numPr>
        <w:spacing w:line="360" w:lineRule="auto"/>
        <w:ind w:left="0" w:firstLine="0"/>
        <w:jc w:val="both"/>
      </w:pPr>
      <w:r w:rsidRPr="006E4F43">
        <w:rPr>
          <w:szCs w:val="28"/>
        </w:rPr>
        <w:t>The Accident was not witnessed by any other person nor was there</w:t>
      </w:r>
      <w:r w:rsidR="00244A97">
        <w:rPr>
          <w:szCs w:val="28"/>
        </w:rPr>
        <w:t xml:space="preserve"> any video footage capturing</w:t>
      </w:r>
      <w:r w:rsidRPr="006E4F43">
        <w:rPr>
          <w:szCs w:val="28"/>
        </w:rPr>
        <w:t xml:space="preserve"> how </w:t>
      </w:r>
      <w:r w:rsidR="00244A97">
        <w:rPr>
          <w:szCs w:val="28"/>
        </w:rPr>
        <w:t xml:space="preserve">the </w:t>
      </w:r>
      <w:r w:rsidRPr="006E4F43">
        <w:rPr>
          <w:szCs w:val="28"/>
        </w:rPr>
        <w:t>Accident unfolded.</w:t>
      </w:r>
    </w:p>
    <w:p w:rsidR="00DD6B6B" w:rsidRDefault="00DD6B6B" w:rsidP="00DD6B6B">
      <w:pPr>
        <w:pStyle w:val="ListParagraph"/>
      </w:pPr>
    </w:p>
    <w:p w:rsidR="00DD6B6B" w:rsidRDefault="00DD6B6B" w:rsidP="001E5C01">
      <w:pPr>
        <w:pStyle w:val="ListParagraph"/>
        <w:numPr>
          <w:ilvl w:val="0"/>
          <w:numId w:val="17"/>
        </w:numPr>
        <w:spacing w:line="360" w:lineRule="auto"/>
        <w:ind w:left="0" w:firstLine="0"/>
        <w:jc w:val="both"/>
      </w:pPr>
      <w:r>
        <w:t>In the related employees’</w:t>
      </w:r>
      <w:r w:rsidR="00EB1927">
        <w:t xml:space="preserve"> compensation </w:t>
      </w:r>
      <w:r w:rsidR="00EC0893">
        <w:t>(“EC”) proceedings</w:t>
      </w:r>
      <w:r>
        <w:t xml:space="preserve">, after a trial before His </w:t>
      </w:r>
      <w:proofErr w:type="spellStart"/>
      <w:r>
        <w:t>Honour</w:t>
      </w:r>
      <w:proofErr w:type="spellEnd"/>
      <w:r>
        <w:t xml:space="preserve"> Judge Harold Leong, the plaintiff was awarded </w:t>
      </w:r>
      <w:r w:rsidR="00710560">
        <w:t xml:space="preserve">a sum of HK$176,402.43 with </w:t>
      </w:r>
      <w:r w:rsidR="004C6D2B">
        <w:t xml:space="preserve">interest and </w:t>
      </w:r>
      <w:r w:rsidR="00710560">
        <w:t>costs against the defendant</w:t>
      </w:r>
      <w:r w:rsidR="00244A97">
        <w:t xml:space="preserve"> </w:t>
      </w:r>
      <w:r w:rsidR="00EC0893">
        <w:t>(“the EC Case”)</w:t>
      </w:r>
      <w:r w:rsidR="004C6D2B">
        <w:rPr>
          <w:rStyle w:val="FootnoteReference"/>
        </w:rPr>
        <w:footnoteReference w:id="1"/>
      </w:r>
      <w:r w:rsidR="00710560">
        <w:t xml:space="preserve">.  </w:t>
      </w:r>
      <w:r>
        <w:t xml:space="preserve"> </w:t>
      </w:r>
    </w:p>
    <w:p w:rsidR="00302764" w:rsidRDefault="00302764" w:rsidP="00302764">
      <w:pPr>
        <w:pStyle w:val="ListParagraph"/>
      </w:pPr>
    </w:p>
    <w:p w:rsidR="00C64C28" w:rsidRDefault="00266F96" w:rsidP="001E5C01">
      <w:pPr>
        <w:pStyle w:val="ListParagraph"/>
        <w:numPr>
          <w:ilvl w:val="0"/>
          <w:numId w:val="17"/>
        </w:numPr>
        <w:spacing w:line="360" w:lineRule="auto"/>
        <w:ind w:left="0" w:firstLine="0"/>
        <w:jc w:val="both"/>
      </w:pPr>
      <w:r>
        <w:t>It is to be noted that the defendant was not in</w:t>
      </w:r>
      <w:r w:rsidR="00EC0893">
        <w:t>sured</w:t>
      </w:r>
      <w:r>
        <w:t xml:space="preserve">.  He was unrepresented and acted in person during the </w:t>
      </w:r>
      <w:r w:rsidR="00EC0893">
        <w:t xml:space="preserve">trial of the </w:t>
      </w:r>
      <w:r>
        <w:t xml:space="preserve">EC </w:t>
      </w:r>
      <w:r w:rsidR="00EC0893">
        <w:t>Case</w:t>
      </w:r>
      <w:r>
        <w:t>.  A</w:t>
      </w:r>
      <w:r w:rsidR="00AA3841">
        <w:t>fter judgment was entered against him and the sealed order was served on him</w:t>
      </w:r>
      <w:r w:rsidR="009D7D93">
        <w:t xml:space="preserve"> </w:t>
      </w:r>
      <w:r w:rsidR="00244A97">
        <w:t>on 13</w:t>
      </w:r>
      <w:r w:rsidR="00AA3841">
        <w:t xml:space="preserve"> July 2020</w:t>
      </w:r>
      <w:r w:rsidR="009D7D93">
        <w:t xml:space="preserve"> in the EC Case</w:t>
      </w:r>
      <w:r w:rsidR="00AA3841">
        <w:t xml:space="preserve">, the defendant </w:t>
      </w:r>
      <w:r w:rsidR="009D7D93">
        <w:t xml:space="preserve">paid the judgment sum </w:t>
      </w:r>
      <w:r w:rsidR="009D7D93">
        <w:lastRenderedPageBreak/>
        <w:t xml:space="preserve">together with interest in a total sum </w:t>
      </w:r>
      <w:r w:rsidR="00EC0893">
        <w:t xml:space="preserve">of </w:t>
      </w:r>
      <w:r w:rsidR="00813C1C">
        <w:t>HK</w:t>
      </w:r>
      <w:r w:rsidR="00EC0893">
        <w:t xml:space="preserve">$200,146.50 on 31 July 2020, leaving only the plaintiff’s costs and disbursements </w:t>
      </w:r>
      <w:r w:rsidR="00813C1C">
        <w:t>as the only outstanding sum</w:t>
      </w:r>
      <w:r w:rsidR="00EC0893">
        <w:t xml:space="preserve"> remained unpaid </w:t>
      </w:r>
      <w:r w:rsidR="00813C1C">
        <w:t xml:space="preserve">in the EC Case </w:t>
      </w:r>
      <w:r w:rsidR="00EC0893">
        <w:t>as of the date of issuing of the Summons.</w:t>
      </w:r>
    </w:p>
    <w:p w:rsidR="002D6D1C" w:rsidRDefault="002D6D1C" w:rsidP="002D6D1C">
      <w:pPr>
        <w:pStyle w:val="ListParagraph"/>
      </w:pPr>
    </w:p>
    <w:p w:rsidR="002D6D1C" w:rsidRDefault="002D6D1C" w:rsidP="001E5C01">
      <w:pPr>
        <w:pStyle w:val="ListParagraph"/>
        <w:numPr>
          <w:ilvl w:val="0"/>
          <w:numId w:val="17"/>
        </w:numPr>
        <w:spacing w:line="360" w:lineRule="auto"/>
        <w:ind w:left="0" w:firstLine="0"/>
        <w:jc w:val="both"/>
      </w:pPr>
      <w:r>
        <w:t>The defendant then instructed his present solicitors to represent him in the EC Case to deal with the costs issue.</w:t>
      </w:r>
    </w:p>
    <w:p w:rsidR="00C64C28" w:rsidRDefault="00C64C28" w:rsidP="00C64C28">
      <w:pPr>
        <w:pStyle w:val="ListParagraph"/>
      </w:pPr>
    </w:p>
    <w:p w:rsidR="00014B3F" w:rsidRDefault="00014B3F" w:rsidP="001E5C01">
      <w:pPr>
        <w:pStyle w:val="ListParagraph"/>
        <w:numPr>
          <w:ilvl w:val="0"/>
          <w:numId w:val="17"/>
        </w:numPr>
        <w:spacing w:line="360" w:lineRule="auto"/>
        <w:ind w:left="0" w:firstLine="0"/>
        <w:jc w:val="both"/>
      </w:pPr>
      <w:r>
        <w:t xml:space="preserve">On 5 August 2020, the defendant’s solicitors wrote to the plaintiff’s solicitors asking for the breakdown of the </w:t>
      </w:r>
      <w:r w:rsidR="00813C1C">
        <w:t xml:space="preserve">plaintiff’s </w:t>
      </w:r>
      <w:r>
        <w:t>costs on a without prejudice basis.</w:t>
      </w:r>
    </w:p>
    <w:p w:rsidR="00014B3F" w:rsidRDefault="00014B3F" w:rsidP="00014B3F">
      <w:pPr>
        <w:pStyle w:val="ListParagraph"/>
      </w:pPr>
    </w:p>
    <w:p w:rsidR="00F952EA" w:rsidRDefault="00014B3F" w:rsidP="001E5C01">
      <w:pPr>
        <w:pStyle w:val="ListParagraph"/>
        <w:numPr>
          <w:ilvl w:val="0"/>
          <w:numId w:val="17"/>
        </w:numPr>
        <w:spacing w:line="360" w:lineRule="auto"/>
        <w:ind w:left="0" w:firstLine="0"/>
        <w:jc w:val="both"/>
      </w:pPr>
      <w:r>
        <w:t xml:space="preserve">On 31 August 2020, the plaintiff’s solicitors </w:t>
      </w:r>
      <w:r w:rsidR="00F952EA">
        <w:t>wrote to the defendant’s solicitors and provided the breakdown.</w:t>
      </w:r>
    </w:p>
    <w:p w:rsidR="00F952EA" w:rsidRDefault="00F952EA" w:rsidP="00F952EA">
      <w:pPr>
        <w:pStyle w:val="ListParagraph"/>
      </w:pPr>
    </w:p>
    <w:p w:rsidR="007C1375" w:rsidRDefault="00014B3F" w:rsidP="001E5C01">
      <w:pPr>
        <w:pStyle w:val="ListParagraph"/>
        <w:numPr>
          <w:ilvl w:val="0"/>
          <w:numId w:val="17"/>
        </w:numPr>
        <w:spacing w:line="360" w:lineRule="auto"/>
        <w:ind w:left="0" w:firstLine="0"/>
        <w:jc w:val="both"/>
      </w:pPr>
      <w:r>
        <w:t xml:space="preserve"> </w:t>
      </w:r>
      <w:r w:rsidR="007C1375">
        <w:t>On 30 September 2020, the plaintiff’s solicitors wrote again</w:t>
      </w:r>
      <w:r w:rsidR="00267F73">
        <w:t xml:space="preserve"> to the defendant’s solicitors</w:t>
      </w:r>
      <w:r w:rsidR="007C1375">
        <w:t xml:space="preserve"> demand</w:t>
      </w:r>
      <w:r w:rsidR="00267F73">
        <w:t>ing</w:t>
      </w:r>
      <w:r w:rsidR="007C1375">
        <w:t xml:space="preserve"> for a reply.</w:t>
      </w:r>
    </w:p>
    <w:p w:rsidR="007C1375" w:rsidRDefault="007C1375" w:rsidP="007C1375">
      <w:pPr>
        <w:pStyle w:val="ListParagraph"/>
      </w:pPr>
    </w:p>
    <w:p w:rsidR="00EE54E4" w:rsidRDefault="007C1375" w:rsidP="001E5C01">
      <w:pPr>
        <w:pStyle w:val="ListParagraph"/>
        <w:numPr>
          <w:ilvl w:val="0"/>
          <w:numId w:val="17"/>
        </w:numPr>
        <w:spacing w:line="360" w:lineRule="auto"/>
        <w:ind w:left="0" w:firstLine="0"/>
        <w:jc w:val="both"/>
      </w:pPr>
      <w:r>
        <w:t xml:space="preserve">On 5 October 2020, </w:t>
      </w:r>
      <w:r w:rsidR="00EE54E4">
        <w:t xml:space="preserve">the defendant’s solicitors wrote to the plaintiff’s solicitors on a without prejudice basis asking for more time for them to advise the defendant on the costs issue. </w:t>
      </w:r>
    </w:p>
    <w:p w:rsidR="00EE54E4" w:rsidRDefault="00EE54E4" w:rsidP="00EE54E4">
      <w:pPr>
        <w:pStyle w:val="ListParagraph"/>
      </w:pPr>
    </w:p>
    <w:p w:rsidR="00543197" w:rsidRDefault="00E00AFE" w:rsidP="00CE61A6">
      <w:pPr>
        <w:pStyle w:val="ListParagraph"/>
        <w:numPr>
          <w:ilvl w:val="0"/>
          <w:numId w:val="17"/>
        </w:numPr>
        <w:spacing w:line="360" w:lineRule="auto"/>
        <w:ind w:left="0" w:firstLine="0"/>
        <w:jc w:val="both"/>
      </w:pPr>
      <w:r>
        <w:t>It should also be noted that the writ in the personal injury</w:t>
      </w:r>
      <w:r w:rsidR="0054627F">
        <w:t xml:space="preserve"> </w:t>
      </w:r>
      <w:r w:rsidR="00CE61A6">
        <w:t>action</w:t>
      </w:r>
      <w:r>
        <w:t xml:space="preserve"> (“PI</w:t>
      </w:r>
      <w:r w:rsidR="0054627F">
        <w:t xml:space="preserve"> Case</w:t>
      </w:r>
      <w:r>
        <w:t>”) herein was issued on 14 May 2020</w:t>
      </w:r>
      <w:r w:rsidR="008121FB">
        <w:t xml:space="preserve"> while the statement of claim (“</w:t>
      </w:r>
      <w:proofErr w:type="spellStart"/>
      <w:r w:rsidR="008121FB">
        <w:t>So</w:t>
      </w:r>
      <w:r w:rsidR="00CE61A6">
        <w:t>C</w:t>
      </w:r>
      <w:proofErr w:type="spellEnd"/>
      <w:r w:rsidR="008121FB">
        <w:t>”) and the statement of damages (“</w:t>
      </w:r>
      <w:proofErr w:type="spellStart"/>
      <w:r w:rsidR="008121FB">
        <w:t>SoD</w:t>
      </w:r>
      <w:proofErr w:type="spellEnd"/>
      <w:r w:rsidR="008121FB">
        <w:t>”</w:t>
      </w:r>
      <w:r w:rsidR="0054627F">
        <w:t>)</w:t>
      </w:r>
      <w:r w:rsidR="008121FB">
        <w:t xml:space="preserve"> w</w:t>
      </w:r>
      <w:r w:rsidR="00CE61A6">
        <w:t>ere</w:t>
      </w:r>
      <w:r w:rsidR="008121FB">
        <w:t xml:space="preserve"> filed on 15 July 2020.</w:t>
      </w:r>
      <w:r w:rsidR="00320B4B">
        <w:t xml:space="preserve">  </w:t>
      </w:r>
    </w:p>
    <w:p w:rsidR="00431712" w:rsidRDefault="00431712" w:rsidP="00CE61A6">
      <w:pPr>
        <w:pStyle w:val="ListParagraph"/>
        <w:spacing w:line="360" w:lineRule="auto"/>
      </w:pPr>
    </w:p>
    <w:p w:rsidR="00431712" w:rsidRPr="003B0D07" w:rsidRDefault="00431712" w:rsidP="00431712">
      <w:pPr>
        <w:pStyle w:val="ListParagraph"/>
        <w:spacing w:line="360" w:lineRule="auto"/>
        <w:ind w:left="0"/>
        <w:jc w:val="both"/>
        <w:rPr>
          <w:i/>
        </w:rPr>
      </w:pPr>
      <w:r w:rsidRPr="003B0D07">
        <w:rPr>
          <w:i/>
        </w:rPr>
        <w:t>The Summons</w:t>
      </w:r>
    </w:p>
    <w:p w:rsidR="00431712" w:rsidRDefault="00431712" w:rsidP="00431712">
      <w:pPr>
        <w:pStyle w:val="ListParagraph"/>
        <w:spacing w:line="360" w:lineRule="auto"/>
        <w:ind w:left="0"/>
        <w:jc w:val="both"/>
      </w:pPr>
      <w:r>
        <w:t xml:space="preserve"> </w:t>
      </w:r>
    </w:p>
    <w:p w:rsidR="00431712" w:rsidRPr="00947A6A" w:rsidRDefault="00431712" w:rsidP="00431712">
      <w:pPr>
        <w:pStyle w:val="ListParagraph"/>
        <w:numPr>
          <w:ilvl w:val="0"/>
          <w:numId w:val="17"/>
        </w:numPr>
        <w:spacing w:line="360" w:lineRule="auto"/>
        <w:ind w:left="0" w:firstLine="0"/>
        <w:jc w:val="both"/>
        <w:rPr>
          <w:szCs w:val="28"/>
        </w:rPr>
      </w:pPr>
      <w:r w:rsidRPr="00947A6A">
        <w:rPr>
          <w:szCs w:val="28"/>
        </w:rPr>
        <w:t>Th</w:t>
      </w:r>
      <w:r w:rsidR="00C64C28">
        <w:rPr>
          <w:szCs w:val="28"/>
        </w:rPr>
        <w:t>e Summons</w:t>
      </w:r>
      <w:r w:rsidR="00CE61A6">
        <w:rPr>
          <w:szCs w:val="28"/>
        </w:rPr>
        <w:t xml:space="preserve"> for </w:t>
      </w:r>
      <w:proofErr w:type="spellStart"/>
      <w:r w:rsidR="00CE61A6" w:rsidRPr="00CE61A6">
        <w:rPr>
          <w:i/>
          <w:szCs w:val="28"/>
        </w:rPr>
        <w:t>Mareva</w:t>
      </w:r>
      <w:proofErr w:type="spellEnd"/>
      <w:r w:rsidR="00CE61A6">
        <w:rPr>
          <w:szCs w:val="28"/>
        </w:rPr>
        <w:t xml:space="preserve"> injunction</w:t>
      </w:r>
      <w:r w:rsidR="00C64C28">
        <w:rPr>
          <w:szCs w:val="28"/>
        </w:rPr>
        <w:t xml:space="preserve"> </w:t>
      </w:r>
      <w:r w:rsidRPr="00947A6A">
        <w:rPr>
          <w:szCs w:val="28"/>
        </w:rPr>
        <w:t xml:space="preserve">was </w:t>
      </w:r>
      <w:r w:rsidR="00F779A2">
        <w:rPr>
          <w:szCs w:val="28"/>
        </w:rPr>
        <w:t>filed on 19 October 2020 and was</w:t>
      </w:r>
      <w:r w:rsidRPr="00947A6A">
        <w:rPr>
          <w:szCs w:val="28"/>
        </w:rPr>
        <w:t xml:space="preserve"> brought to the attention of the defendant</w:t>
      </w:r>
      <w:r w:rsidR="00C64C28">
        <w:rPr>
          <w:szCs w:val="28"/>
        </w:rPr>
        <w:t xml:space="preserve"> when the same</w:t>
      </w:r>
      <w:r w:rsidRPr="00947A6A">
        <w:rPr>
          <w:szCs w:val="28"/>
        </w:rPr>
        <w:t xml:space="preserve"> was </w:t>
      </w:r>
      <w:r w:rsidRPr="00947A6A">
        <w:rPr>
          <w:szCs w:val="28"/>
        </w:rPr>
        <w:lastRenderedPageBreak/>
        <w:t xml:space="preserve">served on the defendant’s solicitors at </w:t>
      </w:r>
      <w:r w:rsidR="00F779A2">
        <w:rPr>
          <w:szCs w:val="28"/>
        </w:rPr>
        <w:t>around</w:t>
      </w:r>
      <w:r w:rsidRPr="00947A6A">
        <w:rPr>
          <w:szCs w:val="28"/>
        </w:rPr>
        <w:t xml:space="preserve"> 4:00 pm</w:t>
      </w:r>
      <w:r w:rsidR="009D4525">
        <w:rPr>
          <w:szCs w:val="28"/>
        </w:rPr>
        <w:t xml:space="preserve"> on that day</w:t>
      </w:r>
      <w:r w:rsidRPr="00947A6A">
        <w:rPr>
          <w:szCs w:val="28"/>
        </w:rPr>
        <w:t xml:space="preserve">. </w:t>
      </w:r>
      <w:r w:rsidR="009D4525">
        <w:rPr>
          <w:szCs w:val="28"/>
        </w:rPr>
        <w:t xml:space="preserve"> </w:t>
      </w:r>
      <w:r w:rsidR="00F779A2">
        <w:rPr>
          <w:szCs w:val="28"/>
        </w:rPr>
        <w:t>However</w:t>
      </w:r>
      <w:r w:rsidRPr="00947A6A">
        <w:rPr>
          <w:szCs w:val="28"/>
        </w:rPr>
        <w:t>, no return date was marked on</w:t>
      </w:r>
      <w:r w:rsidR="00666612">
        <w:rPr>
          <w:szCs w:val="28"/>
        </w:rPr>
        <w:t xml:space="preserve"> the copy of the Summons served, which was stated to be an “</w:t>
      </w:r>
      <w:r w:rsidR="00CE61A6">
        <w:rPr>
          <w:i/>
          <w:szCs w:val="28"/>
        </w:rPr>
        <w:t>Inter-P</w:t>
      </w:r>
      <w:r w:rsidR="00666612" w:rsidRPr="00666612">
        <w:rPr>
          <w:i/>
          <w:szCs w:val="28"/>
        </w:rPr>
        <w:t>arte</w:t>
      </w:r>
      <w:r w:rsidR="00CE61A6">
        <w:rPr>
          <w:szCs w:val="28"/>
        </w:rPr>
        <w:t xml:space="preserve"> S</w:t>
      </w:r>
      <w:r w:rsidR="00666612">
        <w:rPr>
          <w:szCs w:val="28"/>
        </w:rPr>
        <w:t xml:space="preserve">ummons”. </w:t>
      </w:r>
      <w:r w:rsidRPr="00947A6A">
        <w:rPr>
          <w:szCs w:val="28"/>
        </w:rPr>
        <w:t xml:space="preserve"> Th</w:t>
      </w:r>
      <w:r w:rsidR="00CE61A6">
        <w:rPr>
          <w:szCs w:val="28"/>
        </w:rPr>
        <w:t>ere was also no mention of any pending application</w:t>
      </w:r>
      <w:r w:rsidRPr="00947A6A">
        <w:rPr>
          <w:szCs w:val="28"/>
        </w:rPr>
        <w:t xml:space="preserve"> for </w:t>
      </w:r>
      <w:r w:rsidRPr="003A0590">
        <w:rPr>
          <w:i/>
          <w:szCs w:val="28"/>
        </w:rPr>
        <w:t>interim</w:t>
      </w:r>
      <w:r w:rsidRPr="00947A6A">
        <w:rPr>
          <w:szCs w:val="28"/>
        </w:rPr>
        <w:t xml:space="preserve"> interlocutory injunction </w:t>
      </w:r>
      <w:r w:rsidR="00CE61A6">
        <w:rPr>
          <w:szCs w:val="28"/>
        </w:rPr>
        <w:t>at the hearing</w:t>
      </w:r>
      <w:r w:rsidRPr="00947A6A">
        <w:rPr>
          <w:szCs w:val="28"/>
        </w:rPr>
        <w:t xml:space="preserve"> on 23 October 2020 as subsequently stated in the </w:t>
      </w:r>
      <w:r>
        <w:rPr>
          <w:szCs w:val="28"/>
        </w:rPr>
        <w:t>plaintiff’s skeleton s</w:t>
      </w:r>
      <w:r w:rsidRPr="00947A6A">
        <w:rPr>
          <w:szCs w:val="28"/>
        </w:rPr>
        <w:t xml:space="preserve">ubmissions served </w:t>
      </w:r>
      <w:r w:rsidR="00CE61A6">
        <w:rPr>
          <w:szCs w:val="28"/>
        </w:rPr>
        <w:t xml:space="preserve">on the defendant </w:t>
      </w:r>
      <w:r w:rsidRPr="00947A6A">
        <w:rPr>
          <w:szCs w:val="28"/>
        </w:rPr>
        <w:t>on 22</w:t>
      </w:r>
      <w:r w:rsidRPr="00947A6A">
        <w:rPr>
          <w:szCs w:val="28"/>
          <w:vertAlign w:val="superscript"/>
        </w:rPr>
        <w:t xml:space="preserve"> </w:t>
      </w:r>
      <w:r w:rsidRPr="00947A6A">
        <w:rPr>
          <w:szCs w:val="28"/>
        </w:rPr>
        <w:t xml:space="preserve">October 2020, which </w:t>
      </w:r>
      <w:r w:rsidR="00666612">
        <w:rPr>
          <w:szCs w:val="28"/>
        </w:rPr>
        <w:t xml:space="preserve">was filed </w:t>
      </w:r>
      <w:r w:rsidR="00F779A2">
        <w:rPr>
          <w:szCs w:val="28"/>
        </w:rPr>
        <w:t xml:space="preserve">just </w:t>
      </w:r>
      <w:r w:rsidR="00666612">
        <w:rPr>
          <w:szCs w:val="28"/>
        </w:rPr>
        <w:t xml:space="preserve">one day prior to that </w:t>
      </w:r>
      <w:r w:rsidRPr="00947A6A">
        <w:rPr>
          <w:szCs w:val="28"/>
        </w:rPr>
        <w:t>hearing.</w:t>
      </w:r>
    </w:p>
    <w:p w:rsidR="00431712" w:rsidRPr="00947A6A" w:rsidRDefault="00431712" w:rsidP="00431712">
      <w:pPr>
        <w:spacing w:line="360" w:lineRule="auto"/>
        <w:jc w:val="both"/>
        <w:rPr>
          <w:szCs w:val="28"/>
        </w:rPr>
      </w:pPr>
    </w:p>
    <w:p w:rsidR="00431712" w:rsidRPr="00947A6A" w:rsidRDefault="00431712" w:rsidP="00431712">
      <w:pPr>
        <w:pStyle w:val="ListParagraph"/>
        <w:numPr>
          <w:ilvl w:val="0"/>
          <w:numId w:val="17"/>
        </w:numPr>
        <w:spacing w:line="360" w:lineRule="auto"/>
        <w:ind w:left="0" w:firstLine="0"/>
        <w:jc w:val="both"/>
        <w:rPr>
          <w:szCs w:val="28"/>
        </w:rPr>
      </w:pPr>
      <w:r w:rsidRPr="00947A6A">
        <w:rPr>
          <w:szCs w:val="28"/>
        </w:rPr>
        <w:t xml:space="preserve">Neither the </w:t>
      </w:r>
      <w:r>
        <w:rPr>
          <w:szCs w:val="28"/>
        </w:rPr>
        <w:t>defendant</w:t>
      </w:r>
      <w:r w:rsidRPr="00947A6A">
        <w:rPr>
          <w:szCs w:val="28"/>
        </w:rPr>
        <w:t xml:space="preserve"> nor the </w:t>
      </w:r>
      <w:r>
        <w:rPr>
          <w:szCs w:val="28"/>
        </w:rPr>
        <w:t>defendant</w:t>
      </w:r>
      <w:r w:rsidRPr="00947A6A">
        <w:rPr>
          <w:szCs w:val="28"/>
        </w:rPr>
        <w:t xml:space="preserve">’s legal representatives were served any prior notice or warning by the </w:t>
      </w:r>
      <w:r>
        <w:rPr>
          <w:szCs w:val="28"/>
        </w:rPr>
        <w:t>plaintiff</w:t>
      </w:r>
      <w:r w:rsidRPr="00947A6A">
        <w:rPr>
          <w:szCs w:val="28"/>
        </w:rPr>
        <w:t xml:space="preserve"> </w:t>
      </w:r>
      <w:r w:rsidR="002D6D1C">
        <w:rPr>
          <w:szCs w:val="28"/>
        </w:rPr>
        <w:t>regarding his</w:t>
      </w:r>
      <w:r w:rsidR="003A0590">
        <w:rPr>
          <w:szCs w:val="28"/>
        </w:rPr>
        <w:t xml:space="preserve"> intention</w:t>
      </w:r>
      <w:r w:rsidRPr="00947A6A">
        <w:rPr>
          <w:szCs w:val="28"/>
        </w:rPr>
        <w:t xml:space="preserve"> for seeking an interim interl</w:t>
      </w:r>
      <w:r w:rsidR="00F779A2">
        <w:rPr>
          <w:szCs w:val="28"/>
        </w:rPr>
        <w:t>ocutory injunction</w:t>
      </w:r>
      <w:r w:rsidR="00666612">
        <w:rPr>
          <w:szCs w:val="28"/>
        </w:rPr>
        <w:t>.</w:t>
      </w:r>
    </w:p>
    <w:p w:rsidR="00431712" w:rsidRPr="00947A6A" w:rsidRDefault="00431712" w:rsidP="00431712">
      <w:pPr>
        <w:pStyle w:val="ListParagraph"/>
        <w:spacing w:line="360" w:lineRule="auto"/>
        <w:ind w:left="0"/>
        <w:jc w:val="both"/>
        <w:rPr>
          <w:szCs w:val="28"/>
        </w:rPr>
      </w:pPr>
    </w:p>
    <w:p w:rsidR="00431712" w:rsidRDefault="00666612" w:rsidP="00431712">
      <w:pPr>
        <w:pStyle w:val="ListParagraph"/>
        <w:numPr>
          <w:ilvl w:val="0"/>
          <w:numId w:val="17"/>
        </w:numPr>
        <w:spacing w:line="360" w:lineRule="auto"/>
        <w:ind w:left="0" w:firstLine="0"/>
        <w:jc w:val="both"/>
        <w:rPr>
          <w:szCs w:val="28"/>
        </w:rPr>
      </w:pPr>
      <w:r>
        <w:rPr>
          <w:szCs w:val="28"/>
        </w:rPr>
        <w:t>I</w:t>
      </w:r>
      <w:r w:rsidR="00431712" w:rsidRPr="00947A6A">
        <w:rPr>
          <w:szCs w:val="28"/>
        </w:rPr>
        <w:t xml:space="preserve"> </w:t>
      </w:r>
      <w:r w:rsidR="003A0590">
        <w:rPr>
          <w:szCs w:val="28"/>
        </w:rPr>
        <w:t>disallowed</w:t>
      </w:r>
      <w:r w:rsidR="00431712" w:rsidRPr="00947A6A">
        <w:rPr>
          <w:szCs w:val="28"/>
        </w:rPr>
        <w:t xml:space="preserve"> the </w:t>
      </w:r>
      <w:r w:rsidR="00431712">
        <w:rPr>
          <w:szCs w:val="28"/>
        </w:rPr>
        <w:t>plaintiff</w:t>
      </w:r>
      <w:r w:rsidR="00431712" w:rsidRPr="00947A6A">
        <w:rPr>
          <w:szCs w:val="28"/>
        </w:rPr>
        <w:t>’s application for interim interlocutory injunction on 23 October 2020</w:t>
      </w:r>
      <w:r>
        <w:rPr>
          <w:szCs w:val="28"/>
        </w:rPr>
        <w:t xml:space="preserve"> </w:t>
      </w:r>
      <w:r w:rsidR="003A0590">
        <w:rPr>
          <w:szCs w:val="28"/>
        </w:rPr>
        <w:t xml:space="preserve">and </w:t>
      </w:r>
      <w:r w:rsidR="002D6D1C">
        <w:rPr>
          <w:szCs w:val="28"/>
        </w:rPr>
        <w:t xml:space="preserve">instead </w:t>
      </w:r>
      <w:r w:rsidR="003A0590">
        <w:rPr>
          <w:szCs w:val="28"/>
        </w:rPr>
        <w:t xml:space="preserve">adjourned the </w:t>
      </w:r>
      <w:r w:rsidR="00F779A2">
        <w:rPr>
          <w:szCs w:val="28"/>
        </w:rPr>
        <w:t>Summons</w:t>
      </w:r>
      <w:r w:rsidR="003A0590">
        <w:rPr>
          <w:szCs w:val="28"/>
        </w:rPr>
        <w:t xml:space="preserve"> for arguments before me on 7 December 2020</w:t>
      </w:r>
      <w:r w:rsidR="00CE61A6">
        <w:rPr>
          <w:szCs w:val="28"/>
        </w:rPr>
        <w:t>.</w:t>
      </w:r>
      <w:r w:rsidR="00F779A2">
        <w:rPr>
          <w:szCs w:val="28"/>
        </w:rPr>
        <w:t xml:space="preserve"> </w:t>
      </w:r>
      <w:r w:rsidR="002D6D1C">
        <w:rPr>
          <w:szCs w:val="28"/>
        </w:rPr>
        <w:t xml:space="preserve">At the end of the hearing, </w:t>
      </w:r>
      <w:r w:rsidR="00CE61A6">
        <w:rPr>
          <w:szCs w:val="28"/>
        </w:rPr>
        <w:t>I gave</w:t>
      </w:r>
      <w:r w:rsidR="00F779A2">
        <w:rPr>
          <w:szCs w:val="28"/>
        </w:rPr>
        <w:t xml:space="preserve"> directions for the parties to file evidence</w:t>
      </w:r>
      <w:r w:rsidR="00EA5995">
        <w:rPr>
          <w:szCs w:val="28"/>
        </w:rPr>
        <w:t xml:space="preserve"> </w:t>
      </w:r>
      <w:r w:rsidR="002D6D1C">
        <w:rPr>
          <w:szCs w:val="28"/>
        </w:rPr>
        <w:t>for the substantive hearing</w:t>
      </w:r>
      <w:r w:rsidR="003A0590">
        <w:rPr>
          <w:szCs w:val="28"/>
        </w:rPr>
        <w:t>.</w:t>
      </w:r>
    </w:p>
    <w:p w:rsidR="00255562" w:rsidRPr="00255562" w:rsidRDefault="00255562" w:rsidP="00255562">
      <w:pPr>
        <w:pStyle w:val="ListParagraph"/>
        <w:rPr>
          <w:szCs w:val="28"/>
        </w:rPr>
      </w:pPr>
    </w:p>
    <w:p w:rsidR="00255562" w:rsidRPr="00255562" w:rsidRDefault="00255562" w:rsidP="00255562">
      <w:pPr>
        <w:pStyle w:val="ListParagraph"/>
        <w:spacing w:line="360" w:lineRule="auto"/>
        <w:ind w:left="0"/>
        <w:jc w:val="both"/>
        <w:rPr>
          <w:i/>
          <w:szCs w:val="28"/>
        </w:rPr>
      </w:pPr>
      <w:r w:rsidRPr="00255562">
        <w:rPr>
          <w:i/>
          <w:szCs w:val="28"/>
        </w:rPr>
        <w:t>DISCUSSION</w:t>
      </w:r>
    </w:p>
    <w:p w:rsidR="00431712" w:rsidRPr="00947A6A" w:rsidRDefault="00431712" w:rsidP="00431712">
      <w:pPr>
        <w:pStyle w:val="ListParagraph"/>
        <w:spacing w:line="360" w:lineRule="auto"/>
        <w:ind w:left="0"/>
        <w:jc w:val="both"/>
        <w:rPr>
          <w:szCs w:val="28"/>
        </w:rPr>
      </w:pPr>
    </w:p>
    <w:p w:rsidR="00C46CBB" w:rsidRPr="00C46CBB" w:rsidRDefault="00C46CBB" w:rsidP="00C46CBB">
      <w:pPr>
        <w:pStyle w:val="ListParagraph"/>
        <w:spacing w:line="360" w:lineRule="auto"/>
        <w:ind w:left="0"/>
        <w:jc w:val="both"/>
        <w:rPr>
          <w:i/>
        </w:rPr>
      </w:pPr>
      <w:r w:rsidRPr="00C46CBB">
        <w:rPr>
          <w:i/>
          <w:szCs w:val="28"/>
        </w:rPr>
        <w:t>The defendant’s landed properties</w:t>
      </w:r>
    </w:p>
    <w:p w:rsidR="00C54931" w:rsidRPr="00947A6A" w:rsidRDefault="00C54931" w:rsidP="00C54931">
      <w:pPr>
        <w:spacing w:line="360" w:lineRule="auto"/>
        <w:jc w:val="both"/>
      </w:pPr>
    </w:p>
    <w:p w:rsidR="00C54931" w:rsidRPr="00C46CBB" w:rsidRDefault="00C46CBB" w:rsidP="001E5C01">
      <w:pPr>
        <w:pStyle w:val="ListParagraph"/>
        <w:numPr>
          <w:ilvl w:val="0"/>
          <w:numId w:val="17"/>
        </w:numPr>
        <w:spacing w:line="360" w:lineRule="auto"/>
        <w:ind w:left="0" w:firstLine="0"/>
        <w:jc w:val="both"/>
      </w:pPr>
      <w:r w:rsidRPr="00C8515C">
        <w:rPr>
          <w:szCs w:val="28"/>
        </w:rPr>
        <w:t xml:space="preserve">The </w:t>
      </w:r>
      <w:r w:rsidR="0046333F">
        <w:rPr>
          <w:szCs w:val="28"/>
        </w:rPr>
        <w:t>defendant</w:t>
      </w:r>
      <w:r w:rsidRPr="00C8515C">
        <w:rPr>
          <w:szCs w:val="28"/>
        </w:rPr>
        <w:t xml:space="preserve"> owns two landed properties</w:t>
      </w:r>
      <w:r>
        <w:rPr>
          <w:szCs w:val="28"/>
        </w:rPr>
        <w:t>:</w:t>
      </w:r>
    </w:p>
    <w:p w:rsidR="00C46CBB" w:rsidRPr="00C46CBB" w:rsidRDefault="00C46CBB" w:rsidP="00C46CBB">
      <w:pPr>
        <w:pStyle w:val="ListParagraph"/>
        <w:spacing w:line="360" w:lineRule="auto"/>
        <w:ind w:left="0"/>
        <w:jc w:val="both"/>
      </w:pPr>
    </w:p>
    <w:p w:rsidR="00C46CBB" w:rsidRDefault="00C46CBB" w:rsidP="00C46CBB">
      <w:pPr>
        <w:pStyle w:val="ListParagraph"/>
        <w:numPr>
          <w:ilvl w:val="0"/>
          <w:numId w:val="22"/>
        </w:numPr>
        <w:spacing w:line="360" w:lineRule="auto"/>
        <w:ind w:hanging="720"/>
        <w:jc w:val="both"/>
      </w:pPr>
      <w:r w:rsidRPr="00C8515C">
        <w:rPr>
          <w:szCs w:val="28"/>
        </w:rPr>
        <w:t>A property known as Flat 10 on the 24</w:t>
      </w:r>
      <w:r w:rsidRPr="00C8515C">
        <w:rPr>
          <w:szCs w:val="28"/>
          <w:vertAlign w:val="superscript"/>
        </w:rPr>
        <w:t>th</w:t>
      </w:r>
      <w:r>
        <w:rPr>
          <w:szCs w:val="28"/>
        </w:rPr>
        <w:t xml:space="preserve"> Floor of Block B, </w:t>
      </w:r>
      <w:proofErr w:type="spellStart"/>
      <w:r>
        <w:rPr>
          <w:szCs w:val="28"/>
        </w:rPr>
        <w:t>Yat</w:t>
      </w:r>
      <w:proofErr w:type="spellEnd"/>
      <w:r>
        <w:rPr>
          <w:szCs w:val="28"/>
        </w:rPr>
        <w:t xml:space="preserve"> </w:t>
      </w:r>
      <w:proofErr w:type="spellStart"/>
      <w:r>
        <w:rPr>
          <w:szCs w:val="28"/>
        </w:rPr>
        <w:t>Nga</w:t>
      </w:r>
      <w:proofErr w:type="spellEnd"/>
      <w:r>
        <w:rPr>
          <w:szCs w:val="28"/>
        </w:rPr>
        <w:t xml:space="preserve"> </w:t>
      </w:r>
      <w:r w:rsidRPr="00C8515C">
        <w:rPr>
          <w:szCs w:val="28"/>
        </w:rPr>
        <w:t xml:space="preserve">Court, No.3 Tat </w:t>
      </w:r>
      <w:proofErr w:type="spellStart"/>
      <w:r w:rsidRPr="00C8515C">
        <w:rPr>
          <w:szCs w:val="28"/>
        </w:rPr>
        <w:t>Nga</w:t>
      </w:r>
      <w:proofErr w:type="spellEnd"/>
      <w:r w:rsidRPr="00C8515C">
        <w:rPr>
          <w:szCs w:val="28"/>
        </w:rPr>
        <w:t xml:space="preserve"> Lane, Tai Po, New Territories, Hong Kong (</w:t>
      </w:r>
      <w:r w:rsidR="00BE2F45">
        <w:rPr>
          <w:szCs w:val="28"/>
        </w:rPr>
        <w:t>“</w:t>
      </w:r>
      <w:r w:rsidRPr="00C8515C">
        <w:rPr>
          <w:szCs w:val="28"/>
        </w:rPr>
        <w:t>the</w:t>
      </w:r>
      <w:r>
        <w:rPr>
          <w:szCs w:val="28"/>
        </w:rPr>
        <w:t xml:space="preserve"> </w:t>
      </w:r>
      <w:r w:rsidRPr="00C8515C">
        <w:rPr>
          <w:rFonts w:eastAsia="Times New Roman"/>
          <w:szCs w:val="28"/>
        </w:rPr>
        <w:t>1</w:t>
      </w:r>
      <w:r w:rsidRPr="00C8515C">
        <w:rPr>
          <w:rFonts w:eastAsia="Times New Roman"/>
          <w:szCs w:val="28"/>
          <w:vertAlign w:val="superscript"/>
        </w:rPr>
        <w:t>st</w:t>
      </w:r>
      <w:r w:rsidRPr="00C8515C">
        <w:rPr>
          <w:rFonts w:eastAsia="Times New Roman"/>
          <w:szCs w:val="28"/>
        </w:rPr>
        <w:t xml:space="preserve"> Property</w:t>
      </w:r>
      <w:r w:rsidR="00CE61A6">
        <w:rPr>
          <w:szCs w:val="28"/>
        </w:rPr>
        <w:t>”). The</w:t>
      </w:r>
      <w:r w:rsidRPr="00C8515C">
        <w:rPr>
          <w:szCs w:val="28"/>
        </w:rPr>
        <w:t xml:space="preserve"> </w:t>
      </w:r>
      <w:r w:rsidR="00CE61A6">
        <w:rPr>
          <w:szCs w:val="28"/>
        </w:rPr>
        <w:t>1</w:t>
      </w:r>
      <w:r w:rsidR="00CE61A6" w:rsidRPr="00CE61A6">
        <w:rPr>
          <w:szCs w:val="28"/>
          <w:vertAlign w:val="superscript"/>
        </w:rPr>
        <w:t>st</w:t>
      </w:r>
      <w:r w:rsidR="00CE61A6">
        <w:rPr>
          <w:szCs w:val="28"/>
        </w:rPr>
        <w:t xml:space="preserve"> P</w:t>
      </w:r>
      <w:r w:rsidRPr="00C8515C">
        <w:rPr>
          <w:szCs w:val="28"/>
        </w:rPr>
        <w:t xml:space="preserve">roperty is jointly owned by the </w:t>
      </w:r>
      <w:r w:rsidR="0046333F">
        <w:rPr>
          <w:szCs w:val="28"/>
        </w:rPr>
        <w:t>defendant</w:t>
      </w:r>
      <w:r w:rsidR="006E49EB">
        <w:rPr>
          <w:szCs w:val="28"/>
        </w:rPr>
        <w:t xml:space="preserve"> and his wife, Li Kwan Yung</w:t>
      </w:r>
      <w:r>
        <w:rPr>
          <w:szCs w:val="28"/>
        </w:rPr>
        <w:t>; and</w:t>
      </w:r>
    </w:p>
    <w:p w:rsidR="00C46CBB" w:rsidRDefault="00C46CBB" w:rsidP="00C46CBB">
      <w:pPr>
        <w:pStyle w:val="ListParagraph"/>
        <w:spacing w:line="360" w:lineRule="auto"/>
        <w:ind w:left="2160"/>
        <w:jc w:val="both"/>
      </w:pPr>
    </w:p>
    <w:p w:rsidR="00C46CBB" w:rsidRPr="00947A6A" w:rsidRDefault="00C46CBB" w:rsidP="00C46CBB">
      <w:pPr>
        <w:pStyle w:val="ListParagraph"/>
        <w:numPr>
          <w:ilvl w:val="0"/>
          <w:numId w:val="22"/>
        </w:numPr>
        <w:spacing w:line="360" w:lineRule="auto"/>
        <w:ind w:hanging="720"/>
        <w:jc w:val="both"/>
      </w:pPr>
      <w:r w:rsidRPr="00C8515C">
        <w:rPr>
          <w:szCs w:val="28"/>
        </w:rPr>
        <w:t>A property known as Ground F</w:t>
      </w:r>
      <w:r w:rsidR="00CE61A6">
        <w:rPr>
          <w:szCs w:val="28"/>
        </w:rPr>
        <w:t xml:space="preserve">loor and the Garden thereto, </w:t>
      </w:r>
      <w:proofErr w:type="gramStart"/>
      <w:r w:rsidR="00CE61A6">
        <w:rPr>
          <w:szCs w:val="28"/>
        </w:rPr>
        <w:t>No</w:t>
      </w:r>
      <w:proofErr w:type="gramEnd"/>
      <w:r w:rsidR="00CE61A6">
        <w:rPr>
          <w:szCs w:val="28"/>
        </w:rPr>
        <w:t xml:space="preserve"> </w:t>
      </w:r>
      <w:r w:rsidRPr="00C8515C">
        <w:rPr>
          <w:szCs w:val="28"/>
        </w:rPr>
        <w:t xml:space="preserve">5E Ta Tit Yan, Tai Po, New Territories, Hong Kong, which is held in the </w:t>
      </w:r>
      <w:r w:rsidR="0046333F">
        <w:rPr>
          <w:szCs w:val="28"/>
        </w:rPr>
        <w:t>defendant</w:t>
      </w:r>
      <w:r w:rsidRPr="00C8515C">
        <w:rPr>
          <w:szCs w:val="28"/>
        </w:rPr>
        <w:t>’s sole name (</w:t>
      </w:r>
      <w:r w:rsidR="00856E3C">
        <w:rPr>
          <w:szCs w:val="28"/>
        </w:rPr>
        <w:t xml:space="preserve">“the </w:t>
      </w:r>
      <w:r w:rsidRPr="00C8515C">
        <w:rPr>
          <w:rFonts w:eastAsia="Times New Roman"/>
          <w:szCs w:val="28"/>
        </w:rPr>
        <w:t>2</w:t>
      </w:r>
      <w:r w:rsidRPr="00C8515C">
        <w:rPr>
          <w:rFonts w:eastAsia="Times New Roman"/>
          <w:szCs w:val="28"/>
          <w:vertAlign w:val="superscript"/>
        </w:rPr>
        <w:t>nd</w:t>
      </w:r>
      <w:r w:rsidRPr="00C8515C">
        <w:rPr>
          <w:rFonts w:eastAsia="Times New Roman"/>
          <w:szCs w:val="28"/>
        </w:rPr>
        <w:t xml:space="preserve"> Property</w:t>
      </w:r>
      <w:r w:rsidRPr="00C8515C">
        <w:rPr>
          <w:szCs w:val="28"/>
        </w:rPr>
        <w:t>”)</w:t>
      </w:r>
      <w:r>
        <w:rPr>
          <w:szCs w:val="28"/>
        </w:rPr>
        <w:t>.</w:t>
      </w:r>
    </w:p>
    <w:p w:rsidR="001E5C01" w:rsidRPr="00947A6A" w:rsidRDefault="001E5C01" w:rsidP="001E5C01">
      <w:pPr>
        <w:spacing w:line="360" w:lineRule="auto"/>
        <w:jc w:val="both"/>
      </w:pPr>
    </w:p>
    <w:p w:rsidR="001E5C01" w:rsidRPr="00543197" w:rsidRDefault="00CF2B8D" w:rsidP="001E5C01">
      <w:pPr>
        <w:pStyle w:val="ListParagraph"/>
        <w:numPr>
          <w:ilvl w:val="0"/>
          <w:numId w:val="17"/>
        </w:numPr>
        <w:spacing w:line="360" w:lineRule="auto"/>
        <w:ind w:left="0" w:firstLine="0"/>
        <w:jc w:val="both"/>
      </w:pPr>
      <w:r w:rsidRPr="00C8515C">
        <w:rPr>
          <w:szCs w:val="28"/>
        </w:rPr>
        <w:t>The 2</w:t>
      </w:r>
      <w:r w:rsidRPr="00C8515C">
        <w:rPr>
          <w:szCs w:val="28"/>
          <w:vertAlign w:val="superscript"/>
        </w:rPr>
        <w:t>nd</w:t>
      </w:r>
      <w:r w:rsidRPr="00C8515C">
        <w:rPr>
          <w:szCs w:val="28"/>
        </w:rPr>
        <w:t xml:space="preserve"> Property is part of a village hous</w:t>
      </w:r>
      <w:r w:rsidR="00CE61A6">
        <w:rPr>
          <w:szCs w:val="28"/>
        </w:rPr>
        <w:t>e, on No</w:t>
      </w:r>
      <w:r w:rsidR="006E49EB">
        <w:rPr>
          <w:szCs w:val="28"/>
        </w:rPr>
        <w:t xml:space="preserve"> </w:t>
      </w:r>
      <w:r>
        <w:rPr>
          <w:szCs w:val="28"/>
        </w:rPr>
        <w:t xml:space="preserve">5E Ta Tit Yan, Tai Po, </w:t>
      </w:r>
      <w:r w:rsidRPr="00C8515C">
        <w:rPr>
          <w:szCs w:val="28"/>
        </w:rPr>
        <w:t xml:space="preserve">New Territories, Hong Kong, that </w:t>
      </w:r>
      <w:r w:rsidR="00BE2F45">
        <w:rPr>
          <w:szCs w:val="28"/>
        </w:rPr>
        <w:t xml:space="preserve">consists of </w:t>
      </w:r>
      <w:r w:rsidR="00CE61A6">
        <w:rPr>
          <w:szCs w:val="28"/>
        </w:rPr>
        <w:t xml:space="preserve">3 </w:t>
      </w:r>
      <w:proofErr w:type="spellStart"/>
      <w:r w:rsidR="00BE2F45">
        <w:rPr>
          <w:szCs w:val="28"/>
        </w:rPr>
        <w:t>storeys</w:t>
      </w:r>
      <w:proofErr w:type="spellEnd"/>
      <w:r w:rsidR="00BE2F45">
        <w:rPr>
          <w:szCs w:val="28"/>
        </w:rPr>
        <w:t xml:space="preserve"> (“the </w:t>
      </w:r>
      <w:r>
        <w:rPr>
          <w:szCs w:val="28"/>
        </w:rPr>
        <w:t xml:space="preserve">Village </w:t>
      </w:r>
      <w:r w:rsidRPr="00C8515C">
        <w:rPr>
          <w:rFonts w:eastAsia="Times New Roman"/>
          <w:szCs w:val="28"/>
        </w:rPr>
        <w:t>House</w:t>
      </w:r>
      <w:r w:rsidRPr="00C8515C">
        <w:rPr>
          <w:szCs w:val="28"/>
        </w:rPr>
        <w:t xml:space="preserve">”). The ground floor and the garden </w:t>
      </w:r>
      <w:r w:rsidR="004C4162">
        <w:rPr>
          <w:szCs w:val="28"/>
        </w:rPr>
        <w:t>of</w:t>
      </w:r>
      <w:r w:rsidR="00F0657D">
        <w:rPr>
          <w:szCs w:val="28"/>
        </w:rPr>
        <w:t xml:space="preserve"> </w:t>
      </w:r>
      <w:r w:rsidRPr="00C8515C">
        <w:rPr>
          <w:szCs w:val="28"/>
        </w:rPr>
        <w:t>the 2</w:t>
      </w:r>
      <w:r w:rsidRPr="00C8515C">
        <w:rPr>
          <w:szCs w:val="28"/>
          <w:vertAlign w:val="superscript"/>
        </w:rPr>
        <w:t>nd</w:t>
      </w:r>
      <w:r>
        <w:rPr>
          <w:szCs w:val="28"/>
        </w:rPr>
        <w:t xml:space="preserve"> Property is owned by </w:t>
      </w:r>
      <w:r w:rsidR="0046333F">
        <w:rPr>
          <w:szCs w:val="28"/>
        </w:rPr>
        <w:t>the d</w:t>
      </w:r>
      <w:r w:rsidRPr="00C8515C">
        <w:rPr>
          <w:szCs w:val="28"/>
        </w:rPr>
        <w:t>efendant; the 1</w:t>
      </w:r>
      <w:r w:rsidRPr="00C8515C">
        <w:rPr>
          <w:szCs w:val="28"/>
          <w:vertAlign w:val="superscript"/>
        </w:rPr>
        <w:t>st</w:t>
      </w:r>
      <w:r w:rsidRPr="00C8515C">
        <w:rPr>
          <w:szCs w:val="28"/>
        </w:rPr>
        <w:t xml:space="preserve"> floor is owned </w:t>
      </w:r>
      <w:r>
        <w:rPr>
          <w:szCs w:val="28"/>
        </w:rPr>
        <w:t xml:space="preserve">by the </w:t>
      </w:r>
      <w:r w:rsidR="0046333F">
        <w:rPr>
          <w:szCs w:val="28"/>
        </w:rPr>
        <w:t>defendant</w:t>
      </w:r>
      <w:r>
        <w:rPr>
          <w:szCs w:val="28"/>
        </w:rPr>
        <w:t xml:space="preserve">’s younger son, </w:t>
      </w:r>
      <w:r w:rsidRPr="00C8515C">
        <w:rPr>
          <w:szCs w:val="28"/>
        </w:rPr>
        <w:t xml:space="preserve">Cheung </w:t>
      </w:r>
      <w:proofErr w:type="spellStart"/>
      <w:r w:rsidRPr="00C8515C">
        <w:rPr>
          <w:szCs w:val="28"/>
        </w:rPr>
        <w:t>Wai</w:t>
      </w:r>
      <w:proofErr w:type="spellEnd"/>
      <w:r w:rsidRPr="00C8515C">
        <w:rPr>
          <w:szCs w:val="28"/>
        </w:rPr>
        <w:t xml:space="preserve"> Chun; and the 2</w:t>
      </w:r>
      <w:r w:rsidRPr="00C8515C">
        <w:rPr>
          <w:szCs w:val="28"/>
          <w:vertAlign w:val="superscript"/>
        </w:rPr>
        <w:t>nd</w:t>
      </w:r>
      <w:r w:rsidRPr="00C8515C">
        <w:rPr>
          <w:szCs w:val="28"/>
        </w:rPr>
        <w:t xml:space="preserve"> floor includ</w:t>
      </w:r>
      <w:r>
        <w:rPr>
          <w:szCs w:val="28"/>
        </w:rPr>
        <w:t xml:space="preserve">ing the rooftop is owned by the </w:t>
      </w:r>
      <w:r w:rsidR="0046333F">
        <w:rPr>
          <w:szCs w:val="28"/>
        </w:rPr>
        <w:t>defendant</w:t>
      </w:r>
      <w:r w:rsidRPr="00C8515C">
        <w:rPr>
          <w:szCs w:val="28"/>
        </w:rPr>
        <w:t xml:space="preserve">’s </w:t>
      </w:r>
      <w:r w:rsidR="006E49EB">
        <w:rPr>
          <w:szCs w:val="28"/>
        </w:rPr>
        <w:t xml:space="preserve">elder son, Cheung </w:t>
      </w:r>
      <w:proofErr w:type="spellStart"/>
      <w:r w:rsidR="006E49EB">
        <w:rPr>
          <w:szCs w:val="28"/>
        </w:rPr>
        <w:t>Wai</w:t>
      </w:r>
      <w:proofErr w:type="spellEnd"/>
      <w:r w:rsidR="006E49EB">
        <w:rPr>
          <w:szCs w:val="28"/>
        </w:rPr>
        <w:t xml:space="preserve"> Man (</w:t>
      </w:r>
      <w:r w:rsidR="0054627F">
        <w:rPr>
          <w:szCs w:val="28"/>
        </w:rPr>
        <w:t>“</w:t>
      </w:r>
      <w:r w:rsidR="006E49EB">
        <w:rPr>
          <w:szCs w:val="28"/>
        </w:rPr>
        <w:t>the Elder Son”)</w:t>
      </w:r>
      <w:r>
        <w:rPr>
          <w:szCs w:val="28"/>
        </w:rPr>
        <w:t>.</w:t>
      </w:r>
    </w:p>
    <w:p w:rsidR="00543197" w:rsidRPr="00F0657D" w:rsidRDefault="00543197" w:rsidP="00543197">
      <w:pPr>
        <w:spacing w:line="360" w:lineRule="auto"/>
        <w:jc w:val="both"/>
      </w:pPr>
    </w:p>
    <w:p w:rsidR="00543197" w:rsidRDefault="00543197" w:rsidP="00543197">
      <w:pPr>
        <w:pStyle w:val="ListParagraph"/>
        <w:numPr>
          <w:ilvl w:val="0"/>
          <w:numId w:val="17"/>
        </w:numPr>
        <w:spacing w:line="360" w:lineRule="auto"/>
        <w:ind w:left="0" w:firstLine="0"/>
        <w:jc w:val="both"/>
      </w:pPr>
      <w:r>
        <w:t>On 4 August 2020, the defendant entered into a sale and purchase agreement (“</w:t>
      </w:r>
      <w:r w:rsidR="00CE61A6">
        <w:t xml:space="preserve">the </w:t>
      </w:r>
      <w:r>
        <w:t>S&amp;P Agreement”) of the 2</w:t>
      </w:r>
      <w:r w:rsidRPr="004C4162">
        <w:rPr>
          <w:vertAlign w:val="superscript"/>
        </w:rPr>
        <w:t>nd</w:t>
      </w:r>
      <w:r>
        <w:t xml:space="preserve"> Property with the Elder Son in the consideration of $3.88 million where the Elder Son would purchase the 2</w:t>
      </w:r>
      <w:r w:rsidRPr="00966477">
        <w:rPr>
          <w:vertAlign w:val="superscript"/>
        </w:rPr>
        <w:t>nd</w:t>
      </w:r>
      <w:r>
        <w:t xml:space="preserve"> Property from the defendant.  The scheduled completion date for the sale and purchase was on 28 December 2020.</w:t>
      </w:r>
    </w:p>
    <w:p w:rsidR="00543197" w:rsidRDefault="00543197" w:rsidP="00543197">
      <w:pPr>
        <w:pStyle w:val="ListParagraph"/>
      </w:pPr>
    </w:p>
    <w:p w:rsidR="00543197" w:rsidRDefault="00543197" w:rsidP="008125C5">
      <w:pPr>
        <w:pStyle w:val="ListParagraph"/>
        <w:numPr>
          <w:ilvl w:val="0"/>
          <w:numId w:val="17"/>
        </w:numPr>
        <w:spacing w:line="360" w:lineRule="auto"/>
        <w:ind w:left="0" w:firstLine="0"/>
        <w:jc w:val="both"/>
      </w:pPr>
      <w:r>
        <w:t xml:space="preserve">Based on the suspicion that the sale was an attempt to dissipate his assets in order to defeat the judgment </w:t>
      </w:r>
      <w:r w:rsidR="00923EB7">
        <w:t xml:space="preserve">hoping </w:t>
      </w:r>
      <w:r>
        <w:t>to be obtained by the plaintiff in the PI Case, the plaintiff applied for an extension of his legal aid certificate which was duly granted on 7 October 2020 to cover</w:t>
      </w:r>
      <w:r w:rsidR="00923EB7">
        <w:t xml:space="preserve"> the injunction application.</w:t>
      </w:r>
      <w:r>
        <w:t xml:space="preserve">  </w:t>
      </w:r>
      <w:r w:rsidR="00EA5995">
        <w:t xml:space="preserve">As said, the Summons for the </w:t>
      </w:r>
      <w:proofErr w:type="spellStart"/>
      <w:r w:rsidR="00EA5995" w:rsidRPr="00640362">
        <w:rPr>
          <w:i/>
        </w:rPr>
        <w:t>Marev</w:t>
      </w:r>
      <w:r w:rsidR="00640362" w:rsidRPr="00640362">
        <w:rPr>
          <w:i/>
        </w:rPr>
        <w:t>a</w:t>
      </w:r>
      <w:proofErr w:type="spellEnd"/>
      <w:r w:rsidR="00EA5995">
        <w:t xml:space="preserve"> </w:t>
      </w:r>
      <w:r w:rsidR="00640362">
        <w:t>injunction was filed on 19 October 2020.</w:t>
      </w:r>
      <w:r>
        <w:t xml:space="preserve">     </w:t>
      </w:r>
    </w:p>
    <w:p w:rsidR="00F0657D" w:rsidRPr="00F0657D" w:rsidRDefault="00F0657D" w:rsidP="00F0657D">
      <w:pPr>
        <w:pStyle w:val="ListParagraph"/>
        <w:spacing w:line="360" w:lineRule="auto"/>
        <w:ind w:left="0"/>
        <w:jc w:val="both"/>
      </w:pPr>
    </w:p>
    <w:p w:rsidR="00F0657D" w:rsidRPr="00AE48E2" w:rsidRDefault="00AE48E2" w:rsidP="00F0657D">
      <w:pPr>
        <w:spacing w:line="360" w:lineRule="auto"/>
        <w:jc w:val="both"/>
        <w:rPr>
          <w:i/>
        </w:rPr>
      </w:pPr>
      <w:r w:rsidRPr="00AE48E2">
        <w:rPr>
          <w:i/>
        </w:rPr>
        <w:t>The plaintiff’s case</w:t>
      </w:r>
    </w:p>
    <w:p w:rsidR="00AE48E2" w:rsidRDefault="00AE48E2" w:rsidP="00F0657D">
      <w:pPr>
        <w:spacing w:line="360" w:lineRule="auto"/>
        <w:jc w:val="both"/>
      </w:pPr>
    </w:p>
    <w:p w:rsidR="00BB131D" w:rsidRDefault="00C366CE" w:rsidP="00966477">
      <w:pPr>
        <w:pStyle w:val="ListParagraph"/>
        <w:numPr>
          <w:ilvl w:val="0"/>
          <w:numId w:val="17"/>
        </w:numPr>
        <w:spacing w:line="360" w:lineRule="auto"/>
        <w:ind w:left="0" w:firstLine="0"/>
        <w:jc w:val="both"/>
        <w:rPr>
          <w:szCs w:val="28"/>
        </w:rPr>
      </w:pPr>
      <w:r>
        <w:rPr>
          <w:szCs w:val="28"/>
        </w:rPr>
        <w:lastRenderedPageBreak/>
        <w:t>M</w:t>
      </w:r>
      <w:r w:rsidR="00CE61A6">
        <w:rPr>
          <w:szCs w:val="28"/>
        </w:rPr>
        <w:t>is</w:t>
      </w:r>
      <w:r>
        <w:rPr>
          <w:szCs w:val="28"/>
        </w:rPr>
        <w:t xml:space="preserve">s Alison Choy for the plaintiff in her written submission </w:t>
      </w:r>
      <w:r w:rsidR="00AE48E2">
        <w:rPr>
          <w:szCs w:val="28"/>
        </w:rPr>
        <w:t xml:space="preserve">submits </w:t>
      </w:r>
      <w:proofErr w:type="gramStart"/>
      <w:r w:rsidR="00AE48E2">
        <w:rPr>
          <w:szCs w:val="28"/>
        </w:rPr>
        <w:t>that</w:t>
      </w:r>
      <w:r w:rsidR="00BB131D">
        <w:rPr>
          <w:szCs w:val="28"/>
        </w:rPr>
        <w:t>:-</w:t>
      </w:r>
      <w:proofErr w:type="gramEnd"/>
    </w:p>
    <w:p w:rsidR="00BB131D" w:rsidRDefault="00BB131D" w:rsidP="00BB131D">
      <w:pPr>
        <w:pStyle w:val="ListParagraph"/>
        <w:spacing w:line="360" w:lineRule="auto"/>
        <w:ind w:left="0"/>
        <w:jc w:val="both"/>
        <w:rPr>
          <w:szCs w:val="28"/>
        </w:rPr>
      </w:pPr>
    </w:p>
    <w:p w:rsidR="00BB131D" w:rsidRDefault="00BB131D" w:rsidP="00856E3C">
      <w:pPr>
        <w:pStyle w:val="ListParagraph"/>
        <w:numPr>
          <w:ilvl w:val="0"/>
          <w:numId w:val="26"/>
        </w:numPr>
        <w:tabs>
          <w:tab w:val="left" w:pos="2160"/>
        </w:tabs>
        <w:spacing w:line="360" w:lineRule="auto"/>
        <w:ind w:left="2160" w:hanging="720"/>
        <w:jc w:val="both"/>
        <w:rPr>
          <w:szCs w:val="28"/>
        </w:rPr>
      </w:pPr>
      <w:r>
        <w:rPr>
          <w:szCs w:val="28"/>
        </w:rPr>
        <w:t xml:space="preserve">There is a serious question to be tried in that the plaintiff has a good arguable case in the PI </w:t>
      </w:r>
      <w:r w:rsidR="00923EB7">
        <w:rPr>
          <w:szCs w:val="28"/>
        </w:rPr>
        <w:t>Case</w:t>
      </w:r>
      <w:r>
        <w:rPr>
          <w:szCs w:val="28"/>
        </w:rPr>
        <w:t>;</w:t>
      </w:r>
    </w:p>
    <w:p w:rsidR="00BB131D" w:rsidRDefault="00BB131D" w:rsidP="00CE61A6">
      <w:pPr>
        <w:pStyle w:val="ListParagraph"/>
        <w:tabs>
          <w:tab w:val="left" w:pos="2880"/>
        </w:tabs>
        <w:spacing w:line="360" w:lineRule="auto"/>
        <w:ind w:left="2880" w:hanging="720"/>
        <w:jc w:val="both"/>
        <w:rPr>
          <w:szCs w:val="28"/>
        </w:rPr>
      </w:pPr>
    </w:p>
    <w:p w:rsidR="00BB131D" w:rsidRDefault="00BB131D" w:rsidP="00856E3C">
      <w:pPr>
        <w:pStyle w:val="ListParagraph"/>
        <w:numPr>
          <w:ilvl w:val="0"/>
          <w:numId w:val="26"/>
        </w:numPr>
        <w:tabs>
          <w:tab w:val="left" w:pos="2160"/>
        </w:tabs>
        <w:spacing w:line="360" w:lineRule="auto"/>
        <w:ind w:left="2160" w:hanging="720"/>
        <w:jc w:val="both"/>
        <w:rPr>
          <w:szCs w:val="28"/>
        </w:rPr>
      </w:pPr>
      <w:r>
        <w:rPr>
          <w:szCs w:val="28"/>
        </w:rPr>
        <w:t>There are assets within the jurisdiction;</w:t>
      </w:r>
    </w:p>
    <w:p w:rsidR="00BB131D" w:rsidRPr="00BB131D" w:rsidRDefault="00BB131D" w:rsidP="00856E3C">
      <w:pPr>
        <w:pStyle w:val="ListParagraph"/>
        <w:tabs>
          <w:tab w:val="left" w:pos="2160"/>
        </w:tabs>
        <w:ind w:left="2160" w:hanging="720"/>
        <w:jc w:val="both"/>
        <w:rPr>
          <w:szCs w:val="28"/>
        </w:rPr>
      </w:pPr>
    </w:p>
    <w:p w:rsidR="00BB131D" w:rsidRDefault="00BB131D" w:rsidP="00856E3C">
      <w:pPr>
        <w:pStyle w:val="ListParagraph"/>
        <w:numPr>
          <w:ilvl w:val="0"/>
          <w:numId w:val="26"/>
        </w:numPr>
        <w:tabs>
          <w:tab w:val="left" w:pos="2160"/>
        </w:tabs>
        <w:spacing w:line="360" w:lineRule="auto"/>
        <w:ind w:left="2160" w:hanging="720"/>
        <w:jc w:val="both"/>
        <w:rPr>
          <w:szCs w:val="28"/>
        </w:rPr>
      </w:pPr>
      <w:r>
        <w:rPr>
          <w:szCs w:val="28"/>
        </w:rPr>
        <w:t xml:space="preserve">The balance of convenience is in </w:t>
      </w:r>
      <w:proofErr w:type="spellStart"/>
      <w:r>
        <w:rPr>
          <w:szCs w:val="28"/>
        </w:rPr>
        <w:t>favour</w:t>
      </w:r>
      <w:proofErr w:type="spellEnd"/>
      <w:r>
        <w:rPr>
          <w:szCs w:val="28"/>
        </w:rPr>
        <w:t xml:space="preserve"> of the granting the injunction;</w:t>
      </w:r>
    </w:p>
    <w:p w:rsidR="00BB131D" w:rsidRPr="00BB131D" w:rsidRDefault="00BB131D" w:rsidP="00856E3C">
      <w:pPr>
        <w:pStyle w:val="ListParagraph"/>
        <w:tabs>
          <w:tab w:val="left" w:pos="2160"/>
        </w:tabs>
        <w:ind w:left="2160" w:hanging="720"/>
        <w:jc w:val="both"/>
        <w:rPr>
          <w:szCs w:val="28"/>
        </w:rPr>
      </w:pPr>
    </w:p>
    <w:p w:rsidR="00BB131D" w:rsidRDefault="00BB131D" w:rsidP="00856E3C">
      <w:pPr>
        <w:pStyle w:val="ListParagraph"/>
        <w:numPr>
          <w:ilvl w:val="0"/>
          <w:numId w:val="26"/>
        </w:numPr>
        <w:tabs>
          <w:tab w:val="left" w:pos="2160"/>
        </w:tabs>
        <w:spacing w:line="360" w:lineRule="auto"/>
        <w:ind w:left="2160" w:hanging="720"/>
        <w:jc w:val="both"/>
        <w:rPr>
          <w:szCs w:val="28"/>
        </w:rPr>
      </w:pPr>
      <w:r>
        <w:rPr>
          <w:szCs w:val="28"/>
        </w:rPr>
        <w:t>There is a real risk of dissipation of assets; and</w:t>
      </w:r>
    </w:p>
    <w:p w:rsidR="00BB131D" w:rsidRPr="00BB131D" w:rsidRDefault="00BB131D" w:rsidP="00856E3C">
      <w:pPr>
        <w:pStyle w:val="ListParagraph"/>
        <w:tabs>
          <w:tab w:val="left" w:pos="2160"/>
        </w:tabs>
        <w:ind w:left="2160" w:hanging="720"/>
        <w:jc w:val="both"/>
        <w:rPr>
          <w:szCs w:val="28"/>
        </w:rPr>
      </w:pPr>
    </w:p>
    <w:p w:rsidR="00BB131D" w:rsidRDefault="00BB131D" w:rsidP="00856E3C">
      <w:pPr>
        <w:pStyle w:val="ListParagraph"/>
        <w:numPr>
          <w:ilvl w:val="0"/>
          <w:numId w:val="26"/>
        </w:numPr>
        <w:tabs>
          <w:tab w:val="left" w:pos="2160"/>
        </w:tabs>
        <w:spacing w:line="360" w:lineRule="auto"/>
        <w:ind w:left="2160" w:hanging="720"/>
        <w:jc w:val="both"/>
        <w:rPr>
          <w:szCs w:val="28"/>
        </w:rPr>
      </w:pPr>
      <w:r>
        <w:rPr>
          <w:szCs w:val="28"/>
        </w:rPr>
        <w:t xml:space="preserve"> </w:t>
      </w:r>
      <w:r w:rsidRPr="00BB131D">
        <w:rPr>
          <w:szCs w:val="28"/>
        </w:rPr>
        <w:t>T</w:t>
      </w:r>
      <w:r>
        <w:rPr>
          <w:szCs w:val="28"/>
        </w:rPr>
        <w:t>h</w:t>
      </w:r>
      <w:r w:rsidRPr="00BB131D">
        <w:rPr>
          <w:szCs w:val="28"/>
        </w:rPr>
        <w:t>ere</w:t>
      </w:r>
      <w:r>
        <w:rPr>
          <w:szCs w:val="28"/>
        </w:rPr>
        <w:t xml:space="preserve"> has been full and frank disclosure.</w:t>
      </w:r>
    </w:p>
    <w:p w:rsidR="00AE48E2" w:rsidRDefault="00AE48E2" w:rsidP="00AE48E2">
      <w:pPr>
        <w:spacing w:line="360" w:lineRule="auto"/>
        <w:jc w:val="both"/>
        <w:rPr>
          <w:szCs w:val="28"/>
        </w:rPr>
      </w:pPr>
    </w:p>
    <w:p w:rsidR="00AE48E2" w:rsidRPr="00BB131D" w:rsidRDefault="00AE48E2" w:rsidP="00AE48E2">
      <w:pPr>
        <w:spacing w:line="360" w:lineRule="auto"/>
        <w:jc w:val="both"/>
        <w:rPr>
          <w:i/>
          <w:szCs w:val="28"/>
        </w:rPr>
      </w:pPr>
      <w:r w:rsidRPr="00BB131D">
        <w:rPr>
          <w:i/>
          <w:szCs w:val="28"/>
        </w:rPr>
        <w:t>The defendant’s case</w:t>
      </w:r>
    </w:p>
    <w:p w:rsidR="00AE48E2" w:rsidRPr="00AE48E2" w:rsidRDefault="00AE48E2" w:rsidP="00AE48E2">
      <w:pPr>
        <w:spacing w:line="360" w:lineRule="auto"/>
        <w:jc w:val="both"/>
        <w:rPr>
          <w:szCs w:val="28"/>
        </w:rPr>
      </w:pPr>
    </w:p>
    <w:p w:rsidR="00966477" w:rsidRDefault="00966477" w:rsidP="00966477">
      <w:pPr>
        <w:pStyle w:val="ListParagraph"/>
        <w:numPr>
          <w:ilvl w:val="0"/>
          <w:numId w:val="17"/>
        </w:numPr>
        <w:spacing w:line="360" w:lineRule="auto"/>
        <w:ind w:left="0" w:firstLine="0"/>
        <w:jc w:val="both"/>
        <w:rPr>
          <w:szCs w:val="28"/>
        </w:rPr>
      </w:pPr>
      <w:r w:rsidRPr="00947A6A">
        <w:rPr>
          <w:szCs w:val="28"/>
        </w:rPr>
        <w:t xml:space="preserve">The </w:t>
      </w:r>
      <w:r>
        <w:rPr>
          <w:szCs w:val="28"/>
        </w:rPr>
        <w:t>defendant</w:t>
      </w:r>
      <w:r w:rsidRPr="00947A6A">
        <w:rPr>
          <w:szCs w:val="28"/>
        </w:rPr>
        <w:t xml:space="preserve"> opposes the </w:t>
      </w:r>
      <w:r>
        <w:rPr>
          <w:szCs w:val="28"/>
        </w:rPr>
        <w:t>plaintiff</w:t>
      </w:r>
      <w:r w:rsidRPr="00947A6A">
        <w:rPr>
          <w:szCs w:val="28"/>
        </w:rPr>
        <w:t>’s application on the following grounds:</w:t>
      </w:r>
    </w:p>
    <w:p w:rsidR="00966477" w:rsidRPr="00947A6A" w:rsidRDefault="00966477" w:rsidP="00966477">
      <w:pPr>
        <w:pStyle w:val="ListParagraph"/>
        <w:spacing w:line="360" w:lineRule="auto"/>
        <w:ind w:left="0"/>
        <w:jc w:val="both"/>
        <w:rPr>
          <w:szCs w:val="28"/>
        </w:rPr>
      </w:pPr>
    </w:p>
    <w:p w:rsidR="00966477" w:rsidRDefault="00966477" w:rsidP="00966477">
      <w:pPr>
        <w:pStyle w:val="ListParagraph"/>
        <w:numPr>
          <w:ilvl w:val="0"/>
          <w:numId w:val="21"/>
        </w:numPr>
        <w:spacing w:line="360" w:lineRule="auto"/>
        <w:ind w:hanging="720"/>
        <w:jc w:val="both"/>
        <w:rPr>
          <w:szCs w:val="28"/>
        </w:rPr>
      </w:pPr>
      <w:r w:rsidRPr="00947A6A">
        <w:rPr>
          <w:szCs w:val="28"/>
        </w:rPr>
        <w:t xml:space="preserve">The </w:t>
      </w:r>
      <w:r>
        <w:rPr>
          <w:szCs w:val="28"/>
        </w:rPr>
        <w:t>defendant</w:t>
      </w:r>
      <w:r w:rsidRPr="00947A6A">
        <w:rPr>
          <w:szCs w:val="28"/>
        </w:rPr>
        <w:t xml:space="preserve"> has a good arguable case in the underlying </w:t>
      </w:r>
      <w:r w:rsidRPr="007E1238">
        <w:rPr>
          <w:rFonts w:eastAsia="Times New Roman"/>
          <w:szCs w:val="28"/>
        </w:rPr>
        <w:t xml:space="preserve">PI </w:t>
      </w:r>
      <w:r w:rsidR="00E53ED5">
        <w:rPr>
          <w:rFonts w:eastAsia="Times New Roman"/>
          <w:szCs w:val="28"/>
        </w:rPr>
        <w:t>Case</w:t>
      </w:r>
      <w:r w:rsidRPr="00947A6A">
        <w:rPr>
          <w:szCs w:val="28"/>
        </w:rPr>
        <w:t xml:space="preserve"> to contest liability against the </w:t>
      </w:r>
      <w:r>
        <w:rPr>
          <w:szCs w:val="28"/>
        </w:rPr>
        <w:t>plaintiff</w:t>
      </w:r>
      <w:r w:rsidRPr="00947A6A">
        <w:rPr>
          <w:szCs w:val="28"/>
        </w:rPr>
        <w:t>;</w:t>
      </w:r>
    </w:p>
    <w:p w:rsidR="00966477" w:rsidRPr="00947A6A" w:rsidRDefault="00966477" w:rsidP="00966477">
      <w:pPr>
        <w:pStyle w:val="ListParagraph"/>
        <w:spacing w:line="360" w:lineRule="auto"/>
        <w:ind w:left="2160"/>
        <w:jc w:val="both"/>
        <w:rPr>
          <w:szCs w:val="28"/>
        </w:rPr>
      </w:pPr>
    </w:p>
    <w:p w:rsidR="00966477" w:rsidRDefault="00966477" w:rsidP="00966477">
      <w:pPr>
        <w:pStyle w:val="ListParagraph"/>
        <w:numPr>
          <w:ilvl w:val="0"/>
          <w:numId w:val="21"/>
        </w:numPr>
        <w:spacing w:line="360" w:lineRule="auto"/>
        <w:ind w:hanging="720"/>
        <w:jc w:val="both"/>
        <w:rPr>
          <w:szCs w:val="28"/>
        </w:rPr>
      </w:pPr>
      <w:r w:rsidRPr="00947A6A">
        <w:rPr>
          <w:szCs w:val="28"/>
        </w:rPr>
        <w:t>There is no real risk of dissipation of assets; and</w:t>
      </w:r>
    </w:p>
    <w:p w:rsidR="00966477" w:rsidRPr="00947A6A" w:rsidRDefault="00966477" w:rsidP="00966477">
      <w:pPr>
        <w:pStyle w:val="ListParagraph"/>
        <w:spacing w:line="360" w:lineRule="auto"/>
        <w:ind w:left="2160"/>
        <w:jc w:val="both"/>
        <w:rPr>
          <w:szCs w:val="28"/>
        </w:rPr>
      </w:pPr>
    </w:p>
    <w:p w:rsidR="00966477" w:rsidRPr="00947A6A" w:rsidRDefault="00966477" w:rsidP="00966477">
      <w:pPr>
        <w:pStyle w:val="ListParagraph"/>
        <w:numPr>
          <w:ilvl w:val="0"/>
          <w:numId w:val="21"/>
        </w:numPr>
        <w:spacing w:line="360" w:lineRule="auto"/>
        <w:ind w:hanging="720"/>
        <w:jc w:val="both"/>
        <w:rPr>
          <w:szCs w:val="28"/>
        </w:rPr>
      </w:pPr>
      <w:r w:rsidRPr="00947A6A">
        <w:rPr>
          <w:szCs w:val="28"/>
        </w:rPr>
        <w:t xml:space="preserve">The balance of convenience is not in </w:t>
      </w:r>
      <w:proofErr w:type="spellStart"/>
      <w:r w:rsidRPr="00947A6A">
        <w:rPr>
          <w:szCs w:val="28"/>
        </w:rPr>
        <w:t>favour</w:t>
      </w:r>
      <w:proofErr w:type="spellEnd"/>
      <w:r w:rsidRPr="00947A6A">
        <w:rPr>
          <w:szCs w:val="28"/>
        </w:rPr>
        <w:t xml:space="preserve"> of </w:t>
      </w:r>
      <w:r w:rsidR="00B17331">
        <w:rPr>
          <w:szCs w:val="28"/>
        </w:rPr>
        <w:t xml:space="preserve">the </w:t>
      </w:r>
      <w:r w:rsidRPr="00947A6A">
        <w:rPr>
          <w:szCs w:val="28"/>
        </w:rPr>
        <w:t>grant</w:t>
      </w:r>
      <w:r w:rsidR="00E53ED5">
        <w:rPr>
          <w:szCs w:val="28"/>
        </w:rPr>
        <w:t>ing the injunction</w:t>
      </w:r>
      <w:r w:rsidRPr="00947A6A">
        <w:rPr>
          <w:szCs w:val="28"/>
        </w:rPr>
        <w:t>.</w:t>
      </w:r>
    </w:p>
    <w:p w:rsidR="001E5C01" w:rsidRDefault="001E5C01" w:rsidP="001E5C01">
      <w:pPr>
        <w:spacing w:line="360" w:lineRule="auto"/>
        <w:jc w:val="both"/>
      </w:pPr>
    </w:p>
    <w:p w:rsidR="00BB131D" w:rsidRPr="00BB131D" w:rsidRDefault="00BB131D" w:rsidP="001E5C01">
      <w:pPr>
        <w:spacing w:line="360" w:lineRule="auto"/>
        <w:jc w:val="both"/>
        <w:rPr>
          <w:i/>
        </w:rPr>
      </w:pPr>
      <w:r w:rsidRPr="00BB131D">
        <w:rPr>
          <w:i/>
        </w:rPr>
        <w:t xml:space="preserve">The Court’s </w:t>
      </w:r>
      <w:r>
        <w:rPr>
          <w:i/>
        </w:rPr>
        <w:t>factual f</w:t>
      </w:r>
      <w:r w:rsidRPr="00BB131D">
        <w:rPr>
          <w:i/>
        </w:rPr>
        <w:t>inding</w:t>
      </w:r>
      <w:r>
        <w:rPr>
          <w:i/>
        </w:rPr>
        <w:t>s</w:t>
      </w:r>
      <w:r w:rsidRPr="00BB131D">
        <w:rPr>
          <w:i/>
        </w:rPr>
        <w:t xml:space="preserve"> </w:t>
      </w:r>
    </w:p>
    <w:p w:rsidR="00BB131D" w:rsidRPr="00947A6A" w:rsidRDefault="00BB131D" w:rsidP="001E5C01">
      <w:pPr>
        <w:spacing w:line="360" w:lineRule="auto"/>
        <w:jc w:val="both"/>
      </w:pPr>
    </w:p>
    <w:p w:rsidR="00923EB7" w:rsidRPr="00923EB7" w:rsidRDefault="008C1045" w:rsidP="001E5C01">
      <w:pPr>
        <w:pStyle w:val="ListParagraph"/>
        <w:numPr>
          <w:ilvl w:val="0"/>
          <w:numId w:val="17"/>
        </w:numPr>
        <w:spacing w:line="360" w:lineRule="auto"/>
        <w:ind w:left="0" w:firstLine="0"/>
        <w:jc w:val="both"/>
      </w:pPr>
      <w:r>
        <w:rPr>
          <w:szCs w:val="28"/>
        </w:rPr>
        <w:t xml:space="preserve">The following are the </w:t>
      </w:r>
      <w:r w:rsidR="00AD6C0F">
        <w:rPr>
          <w:szCs w:val="28"/>
        </w:rPr>
        <w:t>factual findings I made in this case,</w:t>
      </w:r>
      <w:r w:rsidR="00923EB7">
        <w:rPr>
          <w:szCs w:val="28"/>
        </w:rPr>
        <w:t xml:space="preserve"> based on the evidence filed by the defendant and the Elder Son</w:t>
      </w:r>
      <w:r w:rsidR="00AB23C9">
        <w:rPr>
          <w:szCs w:val="28"/>
        </w:rPr>
        <w:t xml:space="preserve"> which I accept</w:t>
      </w:r>
      <w:r w:rsidR="00923EB7">
        <w:rPr>
          <w:szCs w:val="28"/>
        </w:rPr>
        <w:t xml:space="preserve">.  </w:t>
      </w:r>
    </w:p>
    <w:p w:rsidR="00923EB7" w:rsidRPr="00923EB7" w:rsidRDefault="00923EB7" w:rsidP="00923EB7">
      <w:pPr>
        <w:pStyle w:val="ListParagraph"/>
        <w:spacing w:line="360" w:lineRule="auto"/>
        <w:ind w:left="0"/>
        <w:jc w:val="both"/>
      </w:pPr>
    </w:p>
    <w:p w:rsidR="001E5C01" w:rsidRDefault="00CF2B8D" w:rsidP="001E5C01">
      <w:pPr>
        <w:pStyle w:val="ListParagraph"/>
        <w:numPr>
          <w:ilvl w:val="0"/>
          <w:numId w:val="17"/>
        </w:numPr>
        <w:spacing w:line="360" w:lineRule="auto"/>
        <w:ind w:left="0" w:firstLine="0"/>
        <w:jc w:val="both"/>
      </w:pPr>
      <w:r w:rsidRPr="00C8515C">
        <w:rPr>
          <w:szCs w:val="28"/>
        </w:rPr>
        <w:t xml:space="preserve">The </w:t>
      </w:r>
      <w:r w:rsidR="0046333F">
        <w:rPr>
          <w:szCs w:val="28"/>
        </w:rPr>
        <w:t>defendant</w:t>
      </w:r>
      <w:r w:rsidRPr="00C8515C">
        <w:rPr>
          <w:szCs w:val="28"/>
        </w:rPr>
        <w:t xml:space="preserve"> and </w:t>
      </w:r>
      <w:r w:rsidR="00F0657D">
        <w:rPr>
          <w:szCs w:val="28"/>
        </w:rPr>
        <w:t xml:space="preserve">his </w:t>
      </w:r>
      <w:r w:rsidR="006E49EB">
        <w:rPr>
          <w:szCs w:val="28"/>
        </w:rPr>
        <w:t>w</w:t>
      </w:r>
      <w:r>
        <w:rPr>
          <w:szCs w:val="28"/>
        </w:rPr>
        <w:t xml:space="preserve">ife are parents to </w:t>
      </w:r>
      <w:r w:rsidR="00F0657D">
        <w:rPr>
          <w:szCs w:val="28"/>
        </w:rPr>
        <w:t>3</w:t>
      </w:r>
      <w:r>
        <w:rPr>
          <w:szCs w:val="28"/>
        </w:rPr>
        <w:t xml:space="preserve"> grown</w:t>
      </w:r>
      <w:r w:rsidR="00D334A8">
        <w:rPr>
          <w:szCs w:val="28"/>
        </w:rPr>
        <w:t xml:space="preserve"> up</w:t>
      </w:r>
      <w:r>
        <w:rPr>
          <w:szCs w:val="28"/>
        </w:rPr>
        <w:t xml:space="preserve"> </w:t>
      </w:r>
      <w:r w:rsidR="00D334A8">
        <w:rPr>
          <w:szCs w:val="28"/>
        </w:rPr>
        <w:t>children.</w:t>
      </w:r>
      <w:r w:rsidRPr="00C8515C">
        <w:rPr>
          <w:szCs w:val="28"/>
        </w:rPr>
        <w:t xml:space="preserve"> </w:t>
      </w:r>
      <w:r w:rsidR="00D334A8">
        <w:rPr>
          <w:szCs w:val="28"/>
        </w:rPr>
        <w:t>E</w:t>
      </w:r>
      <w:r w:rsidRPr="00C8515C">
        <w:rPr>
          <w:szCs w:val="28"/>
        </w:rPr>
        <w:t>ach of the children hav</w:t>
      </w:r>
      <w:r>
        <w:rPr>
          <w:szCs w:val="28"/>
        </w:rPr>
        <w:t xml:space="preserve">e their own respective families </w:t>
      </w:r>
      <w:r w:rsidRPr="00C8515C">
        <w:rPr>
          <w:szCs w:val="28"/>
        </w:rPr>
        <w:t>(collectively the “</w:t>
      </w:r>
      <w:r w:rsidRPr="00C8515C">
        <w:rPr>
          <w:rFonts w:eastAsia="Times New Roman"/>
          <w:szCs w:val="28"/>
        </w:rPr>
        <w:t>Cheung Family</w:t>
      </w:r>
      <w:r w:rsidRPr="00C8515C">
        <w:rPr>
          <w:szCs w:val="28"/>
        </w:rPr>
        <w:t xml:space="preserve">”). </w:t>
      </w:r>
      <w:r w:rsidRPr="00A44834">
        <w:rPr>
          <w:szCs w:val="28"/>
        </w:rPr>
        <w:t xml:space="preserve">The Cheung Family all live </w:t>
      </w:r>
      <w:r w:rsidR="008121FB">
        <w:rPr>
          <w:szCs w:val="28"/>
        </w:rPr>
        <w:t>together in the Village House</w:t>
      </w:r>
      <w:r w:rsidRPr="00A44834">
        <w:rPr>
          <w:szCs w:val="28"/>
        </w:rPr>
        <w:t>.</w:t>
      </w:r>
    </w:p>
    <w:p w:rsidR="00C46CBB" w:rsidRDefault="00C46CBB" w:rsidP="00C46CBB">
      <w:pPr>
        <w:pStyle w:val="ListParagraph"/>
        <w:spacing w:line="360" w:lineRule="auto"/>
        <w:ind w:left="0"/>
        <w:jc w:val="both"/>
      </w:pPr>
      <w:r>
        <w:t xml:space="preserve"> </w:t>
      </w:r>
    </w:p>
    <w:p w:rsidR="00C46CBB" w:rsidRDefault="00CF2B8D" w:rsidP="001E5C01">
      <w:pPr>
        <w:pStyle w:val="ListParagraph"/>
        <w:numPr>
          <w:ilvl w:val="0"/>
          <w:numId w:val="17"/>
        </w:numPr>
        <w:spacing w:line="360" w:lineRule="auto"/>
        <w:ind w:left="0" w:firstLine="0"/>
        <w:jc w:val="both"/>
      </w:pPr>
      <w:r w:rsidRPr="00C8515C">
        <w:rPr>
          <w:szCs w:val="28"/>
        </w:rPr>
        <w:t xml:space="preserve">Before the </w:t>
      </w:r>
      <w:r w:rsidR="0046333F">
        <w:rPr>
          <w:szCs w:val="28"/>
        </w:rPr>
        <w:t>defendant</w:t>
      </w:r>
      <w:r w:rsidRPr="00C8515C">
        <w:rPr>
          <w:szCs w:val="28"/>
        </w:rPr>
        <w:t xml:space="preserve">’s children became working adults, the </w:t>
      </w:r>
      <w:r w:rsidR="0046333F">
        <w:rPr>
          <w:szCs w:val="28"/>
        </w:rPr>
        <w:t>defendant</w:t>
      </w:r>
      <w:r w:rsidRPr="00C8515C">
        <w:rPr>
          <w:szCs w:val="28"/>
        </w:rPr>
        <w:t xml:space="preserve"> was the sole breadwinner of the family and the </w:t>
      </w:r>
      <w:r w:rsidR="0046333F">
        <w:rPr>
          <w:szCs w:val="28"/>
        </w:rPr>
        <w:t>defendant</w:t>
      </w:r>
      <w:r w:rsidR="006E49EB">
        <w:rPr>
          <w:szCs w:val="28"/>
        </w:rPr>
        <w:t>’s w</w:t>
      </w:r>
      <w:r w:rsidRPr="00C8515C">
        <w:rPr>
          <w:szCs w:val="28"/>
        </w:rPr>
        <w:t>ife was a full-time housewife</w:t>
      </w:r>
      <w:r>
        <w:rPr>
          <w:szCs w:val="28"/>
        </w:rPr>
        <w:t>.</w:t>
      </w:r>
    </w:p>
    <w:p w:rsidR="00C46CBB" w:rsidRDefault="00C46CBB" w:rsidP="00C46CBB">
      <w:pPr>
        <w:pStyle w:val="ListParagraph"/>
        <w:spacing w:line="360" w:lineRule="auto"/>
        <w:ind w:left="0"/>
        <w:jc w:val="both"/>
      </w:pPr>
    </w:p>
    <w:p w:rsidR="00C46CBB" w:rsidRDefault="00CF2B8D" w:rsidP="001E5C01">
      <w:pPr>
        <w:pStyle w:val="ListParagraph"/>
        <w:numPr>
          <w:ilvl w:val="0"/>
          <w:numId w:val="17"/>
        </w:numPr>
        <w:spacing w:line="360" w:lineRule="auto"/>
        <w:ind w:left="0" w:firstLine="0"/>
        <w:jc w:val="both"/>
      </w:pPr>
      <w:r w:rsidRPr="00C8515C">
        <w:rPr>
          <w:szCs w:val="28"/>
        </w:rPr>
        <w:t xml:space="preserve">Because the </w:t>
      </w:r>
      <w:r w:rsidR="0046333F">
        <w:rPr>
          <w:szCs w:val="28"/>
        </w:rPr>
        <w:t>defendant</w:t>
      </w:r>
      <w:r w:rsidRPr="00C8515C">
        <w:rPr>
          <w:szCs w:val="28"/>
        </w:rPr>
        <w:t xml:space="preserve"> was aging and reached retirement age, the Elder Son was assigned to be the borrower and guarantor for the mortgage of the 2</w:t>
      </w:r>
      <w:r w:rsidRPr="00C8515C">
        <w:rPr>
          <w:szCs w:val="28"/>
          <w:vertAlign w:val="superscript"/>
        </w:rPr>
        <w:t>nd</w:t>
      </w:r>
      <w:r w:rsidRPr="00C8515C">
        <w:rPr>
          <w:szCs w:val="28"/>
        </w:rPr>
        <w:t xml:space="preserve"> Property</w:t>
      </w:r>
      <w:r w:rsidRPr="00A44834">
        <w:rPr>
          <w:szCs w:val="28"/>
        </w:rPr>
        <w:t>.</w:t>
      </w:r>
    </w:p>
    <w:p w:rsidR="00C46CBB" w:rsidRDefault="00C46CBB" w:rsidP="00C46CBB">
      <w:pPr>
        <w:pStyle w:val="ListParagraph"/>
        <w:spacing w:line="360" w:lineRule="auto"/>
        <w:ind w:left="0"/>
        <w:jc w:val="both"/>
      </w:pPr>
      <w:r>
        <w:t xml:space="preserve"> </w:t>
      </w:r>
    </w:p>
    <w:p w:rsidR="00C46CBB" w:rsidRDefault="006E49EB" w:rsidP="001E5C01">
      <w:pPr>
        <w:pStyle w:val="ListParagraph"/>
        <w:numPr>
          <w:ilvl w:val="0"/>
          <w:numId w:val="17"/>
        </w:numPr>
        <w:spacing w:line="360" w:lineRule="auto"/>
        <w:ind w:left="0" w:firstLine="0"/>
        <w:jc w:val="both"/>
      </w:pPr>
      <w:r>
        <w:rPr>
          <w:szCs w:val="28"/>
        </w:rPr>
        <w:t>Due to the result of the EC C</w:t>
      </w:r>
      <w:r w:rsidR="00CF2B8D" w:rsidRPr="00C8515C">
        <w:rPr>
          <w:szCs w:val="28"/>
        </w:rPr>
        <w:t>ase and the</w:t>
      </w:r>
      <w:r w:rsidR="00D334A8">
        <w:rPr>
          <w:szCs w:val="28"/>
        </w:rPr>
        <w:t xml:space="preserve"> conduct of the </w:t>
      </w:r>
      <w:r w:rsidR="00CF2B8D">
        <w:rPr>
          <w:szCs w:val="28"/>
        </w:rPr>
        <w:t xml:space="preserve">PI Case, the </w:t>
      </w:r>
      <w:r w:rsidR="0046333F">
        <w:rPr>
          <w:szCs w:val="28"/>
        </w:rPr>
        <w:t>defendant</w:t>
      </w:r>
      <w:r w:rsidR="00D334A8">
        <w:rPr>
          <w:szCs w:val="28"/>
        </w:rPr>
        <w:t xml:space="preserve"> needed to raise funds in order to satisfy the judgment and the costs order in the EC Case and to pay for his lawyers to defend the PI Case.</w:t>
      </w:r>
      <w:r w:rsidR="00CF2B8D" w:rsidRPr="00C8515C">
        <w:rPr>
          <w:szCs w:val="28"/>
        </w:rPr>
        <w:t xml:space="preserve"> </w:t>
      </w:r>
      <w:r w:rsidR="00D334A8">
        <w:rPr>
          <w:szCs w:val="28"/>
        </w:rPr>
        <w:t xml:space="preserve"> </w:t>
      </w:r>
      <w:r w:rsidR="00CF2B8D" w:rsidRPr="00C8515C">
        <w:rPr>
          <w:szCs w:val="28"/>
        </w:rPr>
        <w:t xml:space="preserve">This does not mean the </w:t>
      </w:r>
      <w:r w:rsidR="0046333F">
        <w:rPr>
          <w:szCs w:val="28"/>
        </w:rPr>
        <w:t>defendant</w:t>
      </w:r>
      <w:r w:rsidR="00CF2B8D" w:rsidRPr="00C8515C">
        <w:rPr>
          <w:szCs w:val="28"/>
        </w:rPr>
        <w:t xml:space="preserve"> did not have sufficient funds due to the EC Case and the PI Case as </w:t>
      </w:r>
      <w:r w:rsidR="00C667E4">
        <w:rPr>
          <w:szCs w:val="28"/>
        </w:rPr>
        <w:t>suspected</w:t>
      </w:r>
      <w:r w:rsidR="00D334A8">
        <w:rPr>
          <w:szCs w:val="28"/>
        </w:rPr>
        <w:t xml:space="preserve"> by the </w:t>
      </w:r>
      <w:r w:rsidR="00C667E4">
        <w:rPr>
          <w:szCs w:val="28"/>
        </w:rPr>
        <w:t xml:space="preserve">plaintiff. </w:t>
      </w:r>
      <w:r w:rsidR="00D334A8">
        <w:rPr>
          <w:szCs w:val="28"/>
        </w:rPr>
        <w:t xml:space="preserve"> I accept rather </w:t>
      </w:r>
      <w:r w:rsidR="00CF2B8D" w:rsidRPr="00C8515C">
        <w:rPr>
          <w:szCs w:val="28"/>
        </w:rPr>
        <w:t xml:space="preserve">this is merely to increase the </w:t>
      </w:r>
      <w:r w:rsidR="0046333F">
        <w:rPr>
          <w:szCs w:val="28"/>
        </w:rPr>
        <w:t>defendant</w:t>
      </w:r>
      <w:r w:rsidR="00CF2B8D" w:rsidRPr="00C8515C">
        <w:rPr>
          <w:szCs w:val="28"/>
        </w:rPr>
        <w:t xml:space="preserve">’s </w:t>
      </w:r>
      <w:proofErr w:type="spellStart"/>
      <w:r w:rsidR="00CF2B8D" w:rsidRPr="00C8515C">
        <w:rPr>
          <w:szCs w:val="28"/>
        </w:rPr>
        <w:t>cashflow</w:t>
      </w:r>
      <w:proofErr w:type="spellEnd"/>
      <w:r w:rsidR="00CF2B8D" w:rsidRPr="00C8515C">
        <w:rPr>
          <w:szCs w:val="28"/>
        </w:rPr>
        <w:t xml:space="preserve"> </w:t>
      </w:r>
      <w:r w:rsidR="00D334A8">
        <w:rPr>
          <w:szCs w:val="28"/>
        </w:rPr>
        <w:t xml:space="preserve">in order </w:t>
      </w:r>
      <w:r w:rsidR="00CF2B8D" w:rsidRPr="00C8515C">
        <w:rPr>
          <w:szCs w:val="28"/>
        </w:rPr>
        <w:t xml:space="preserve">to effectively handle both the EC Case and </w:t>
      </w:r>
      <w:r w:rsidR="00AB23C9">
        <w:rPr>
          <w:szCs w:val="28"/>
        </w:rPr>
        <w:t xml:space="preserve">the </w:t>
      </w:r>
      <w:r w:rsidR="00CF2B8D" w:rsidRPr="00C8515C">
        <w:rPr>
          <w:szCs w:val="28"/>
        </w:rPr>
        <w:t xml:space="preserve">PI Case. </w:t>
      </w:r>
      <w:r w:rsidR="00D334A8">
        <w:rPr>
          <w:szCs w:val="28"/>
        </w:rPr>
        <w:t xml:space="preserve">I find there is </w:t>
      </w:r>
      <w:r w:rsidR="00CF2B8D" w:rsidRPr="00C8515C">
        <w:rPr>
          <w:szCs w:val="28"/>
        </w:rPr>
        <w:t xml:space="preserve">nothing </w:t>
      </w:r>
      <w:r w:rsidR="00D334A8">
        <w:rPr>
          <w:szCs w:val="28"/>
        </w:rPr>
        <w:t>sinister about this.</w:t>
      </w:r>
    </w:p>
    <w:p w:rsidR="00C46CBB" w:rsidRDefault="00C46CBB" w:rsidP="00C46CBB">
      <w:pPr>
        <w:pStyle w:val="ListParagraph"/>
        <w:spacing w:line="360" w:lineRule="auto"/>
        <w:ind w:left="0"/>
        <w:jc w:val="both"/>
      </w:pPr>
      <w:r>
        <w:t xml:space="preserve"> </w:t>
      </w:r>
    </w:p>
    <w:p w:rsidR="00C46CBB" w:rsidRDefault="00D334A8" w:rsidP="001E5C01">
      <w:pPr>
        <w:pStyle w:val="ListParagraph"/>
        <w:numPr>
          <w:ilvl w:val="0"/>
          <w:numId w:val="17"/>
        </w:numPr>
        <w:spacing w:line="360" w:lineRule="auto"/>
        <w:ind w:left="0" w:firstLine="0"/>
        <w:jc w:val="both"/>
      </w:pPr>
      <w:r>
        <w:rPr>
          <w:szCs w:val="28"/>
        </w:rPr>
        <w:lastRenderedPageBreak/>
        <w:t>A</w:t>
      </w:r>
      <w:r w:rsidR="00CF2B8D" w:rsidRPr="00C8515C">
        <w:rPr>
          <w:szCs w:val="28"/>
        </w:rPr>
        <w:t xml:space="preserve">s the </w:t>
      </w:r>
      <w:r w:rsidR="0046333F">
        <w:rPr>
          <w:szCs w:val="28"/>
        </w:rPr>
        <w:t>defendant</w:t>
      </w:r>
      <w:r w:rsidR="00CF2B8D" w:rsidRPr="00C8515C">
        <w:rPr>
          <w:szCs w:val="28"/>
        </w:rPr>
        <w:t xml:space="preserve"> had reached retirement age and did not wish to sell his landed properties to outsiders, the Elder Son offered to top up the mortgage of the Elder </w:t>
      </w:r>
      <w:r w:rsidR="00CF2B8D" w:rsidRPr="00A44834">
        <w:rPr>
          <w:szCs w:val="28"/>
        </w:rPr>
        <w:t>Son’s property.</w:t>
      </w:r>
      <w:r w:rsidR="00C667E4">
        <w:rPr>
          <w:szCs w:val="28"/>
        </w:rPr>
        <w:t xml:space="preserve">  </w:t>
      </w:r>
    </w:p>
    <w:p w:rsidR="00C46CBB" w:rsidRDefault="00C46CBB" w:rsidP="00C46CBB">
      <w:pPr>
        <w:pStyle w:val="ListParagraph"/>
        <w:spacing w:line="360" w:lineRule="auto"/>
        <w:ind w:left="0"/>
        <w:jc w:val="both"/>
      </w:pPr>
      <w:r>
        <w:t xml:space="preserve"> </w:t>
      </w:r>
    </w:p>
    <w:p w:rsidR="00C46CBB" w:rsidRDefault="0007470C" w:rsidP="001E5C01">
      <w:pPr>
        <w:pStyle w:val="ListParagraph"/>
        <w:numPr>
          <w:ilvl w:val="0"/>
          <w:numId w:val="17"/>
        </w:numPr>
        <w:spacing w:line="360" w:lineRule="auto"/>
        <w:ind w:left="0" w:firstLine="0"/>
        <w:jc w:val="both"/>
      </w:pPr>
      <w:r w:rsidRPr="00C8515C">
        <w:rPr>
          <w:szCs w:val="28"/>
        </w:rPr>
        <w:t>Upon preliminary assessment of the Elder Son’s mortgage app</w:t>
      </w:r>
      <w:r w:rsidR="00D87FDC">
        <w:rPr>
          <w:szCs w:val="28"/>
        </w:rPr>
        <w:t xml:space="preserve">lication, he </w:t>
      </w:r>
      <w:r w:rsidR="005141FD">
        <w:rPr>
          <w:szCs w:val="28"/>
        </w:rPr>
        <w:t xml:space="preserve">was advised </w:t>
      </w:r>
      <w:r w:rsidRPr="00C8515C">
        <w:rPr>
          <w:szCs w:val="28"/>
        </w:rPr>
        <w:t xml:space="preserve">by the bank that as </w:t>
      </w:r>
      <w:r w:rsidR="00AD6C0F">
        <w:rPr>
          <w:szCs w:val="28"/>
        </w:rPr>
        <w:t>he</w:t>
      </w:r>
      <w:r w:rsidRPr="00C8515C">
        <w:rPr>
          <w:szCs w:val="28"/>
        </w:rPr>
        <w:t xml:space="preserve"> was a co-borrower for the existing mortgage on the 2</w:t>
      </w:r>
      <w:r w:rsidRPr="00C8515C">
        <w:rPr>
          <w:szCs w:val="28"/>
          <w:vertAlign w:val="superscript"/>
        </w:rPr>
        <w:t>nd</w:t>
      </w:r>
      <w:r w:rsidRPr="00C8515C">
        <w:rPr>
          <w:szCs w:val="28"/>
        </w:rPr>
        <w:t xml:space="preserve"> Property, it would be ideal if </w:t>
      </w:r>
      <w:r w:rsidR="00B12414">
        <w:rPr>
          <w:szCs w:val="28"/>
        </w:rPr>
        <w:t xml:space="preserve">he could, </w:t>
      </w:r>
      <w:r w:rsidR="005141FD">
        <w:rPr>
          <w:szCs w:val="28"/>
        </w:rPr>
        <w:t>while</w:t>
      </w:r>
      <w:r w:rsidR="00B12414">
        <w:rPr>
          <w:szCs w:val="28"/>
        </w:rPr>
        <w:t xml:space="preserve"> raising </w:t>
      </w:r>
      <w:r w:rsidRPr="00C8515C">
        <w:rPr>
          <w:szCs w:val="28"/>
        </w:rPr>
        <w:t>the new mortgage loan</w:t>
      </w:r>
      <w:r w:rsidR="00B12414">
        <w:rPr>
          <w:szCs w:val="28"/>
        </w:rPr>
        <w:t>,</w:t>
      </w:r>
      <w:r w:rsidRPr="00C8515C">
        <w:rPr>
          <w:szCs w:val="28"/>
        </w:rPr>
        <w:t xml:space="preserve"> redeem the existing mortgages on the 2</w:t>
      </w:r>
      <w:r w:rsidRPr="00C8515C">
        <w:rPr>
          <w:szCs w:val="28"/>
          <w:vertAlign w:val="superscript"/>
        </w:rPr>
        <w:t>nd</w:t>
      </w:r>
      <w:r w:rsidRPr="00C8515C">
        <w:rPr>
          <w:szCs w:val="28"/>
        </w:rPr>
        <w:t xml:space="preserve"> Property as well as the Elder Son’s </w:t>
      </w:r>
      <w:r w:rsidR="00D87FDC">
        <w:rPr>
          <w:szCs w:val="28"/>
        </w:rPr>
        <w:t xml:space="preserve">own </w:t>
      </w:r>
      <w:r w:rsidRPr="00C8515C">
        <w:rPr>
          <w:szCs w:val="28"/>
        </w:rPr>
        <w:t xml:space="preserve">property. </w:t>
      </w:r>
      <w:r w:rsidR="00B12414">
        <w:rPr>
          <w:szCs w:val="28"/>
        </w:rPr>
        <w:t xml:space="preserve"> </w:t>
      </w:r>
      <w:r w:rsidRPr="00C8515C">
        <w:rPr>
          <w:szCs w:val="28"/>
        </w:rPr>
        <w:t xml:space="preserve">By doing so, the Elder Son </w:t>
      </w:r>
      <w:r w:rsidR="00B12414">
        <w:rPr>
          <w:szCs w:val="28"/>
        </w:rPr>
        <w:t xml:space="preserve">was advised that he </w:t>
      </w:r>
      <w:r w:rsidRPr="00C8515C">
        <w:rPr>
          <w:szCs w:val="28"/>
        </w:rPr>
        <w:t>would obtain the best interest rate off</w:t>
      </w:r>
      <w:r w:rsidR="00B12414">
        <w:rPr>
          <w:szCs w:val="28"/>
        </w:rPr>
        <w:t>er and ensure that he</w:t>
      </w:r>
      <w:r w:rsidRPr="00C8515C">
        <w:rPr>
          <w:szCs w:val="28"/>
        </w:rPr>
        <w:t xml:space="preserve"> </w:t>
      </w:r>
      <w:r w:rsidR="00AB23C9">
        <w:rPr>
          <w:szCs w:val="28"/>
        </w:rPr>
        <w:t>would maintain</w:t>
      </w:r>
      <w:r w:rsidRPr="00C8515C">
        <w:rPr>
          <w:szCs w:val="28"/>
        </w:rPr>
        <w:t xml:space="preserve"> sufficient credit capacity</w:t>
      </w:r>
      <w:r w:rsidR="00D87FDC">
        <w:rPr>
          <w:szCs w:val="28"/>
        </w:rPr>
        <w:t xml:space="preserve"> at the same time.</w:t>
      </w:r>
      <w:r w:rsidRPr="00C8515C">
        <w:rPr>
          <w:szCs w:val="28"/>
        </w:rPr>
        <w:t xml:space="preserve"> </w:t>
      </w:r>
      <w:r w:rsidR="00B12414">
        <w:rPr>
          <w:szCs w:val="28"/>
        </w:rPr>
        <w:t xml:space="preserve"> </w:t>
      </w:r>
      <w:r w:rsidRPr="00C8515C">
        <w:rPr>
          <w:szCs w:val="28"/>
        </w:rPr>
        <w:t>Hence, it was then a condition under the Elder Son’s mortgage with the 2</w:t>
      </w:r>
      <w:r w:rsidRPr="00C8515C">
        <w:rPr>
          <w:szCs w:val="28"/>
          <w:vertAlign w:val="superscript"/>
        </w:rPr>
        <w:t>nd</w:t>
      </w:r>
      <w:r w:rsidRPr="00C8515C">
        <w:rPr>
          <w:szCs w:val="28"/>
        </w:rPr>
        <w:t xml:space="preserve"> floor of the Village House </w:t>
      </w:r>
      <w:r w:rsidR="00D87FDC">
        <w:rPr>
          <w:szCs w:val="28"/>
        </w:rPr>
        <w:t xml:space="preserve">(which he owns) </w:t>
      </w:r>
      <w:r w:rsidRPr="00C8515C">
        <w:rPr>
          <w:szCs w:val="28"/>
        </w:rPr>
        <w:t>that the mortgage on the 2</w:t>
      </w:r>
      <w:r w:rsidRPr="00C8515C">
        <w:rPr>
          <w:szCs w:val="28"/>
          <w:vertAlign w:val="superscript"/>
        </w:rPr>
        <w:t>nd</w:t>
      </w:r>
      <w:r w:rsidRPr="00C8515C">
        <w:rPr>
          <w:szCs w:val="28"/>
        </w:rPr>
        <w:t xml:space="preserve"> Property be fully repaid </w:t>
      </w:r>
      <w:r w:rsidR="00D87FDC">
        <w:rPr>
          <w:szCs w:val="28"/>
        </w:rPr>
        <w:t xml:space="preserve">first </w:t>
      </w:r>
      <w:r w:rsidRPr="00C8515C">
        <w:rPr>
          <w:szCs w:val="28"/>
        </w:rPr>
        <w:t>before the drawdown</w:t>
      </w:r>
      <w:r w:rsidR="00D87FDC">
        <w:rPr>
          <w:szCs w:val="28"/>
        </w:rPr>
        <w:t xml:space="preserve"> of the new mortgage</w:t>
      </w:r>
      <w:r>
        <w:rPr>
          <w:szCs w:val="28"/>
        </w:rPr>
        <w:t>.</w:t>
      </w:r>
    </w:p>
    <w:p w:rsidR="00C46CBB" w:rsidRDefault="00C46CBB" w:rsidP="00C46CBB">
      <w:pPr>
        <w:pStyle w:val="ListParagraph"/>
        <w:spacing w:line="360" w:lineRule="auto"/>
        <w:ind w:left="0"/>
        <w:jc w:val="both"/>
      </w:pPr>
    </w:p>
    <w:p w:rsidR="00C46CBB" w:rsidRDefault="0007470C" w:rsidP="001E5C01">
      <w:pPr>
        <w:pStyle w:val="ListParagraph"/>
        <w:numPr>
          <w:ilvl w:val="0"/>
          <w:numId w:val="17"/>
        </w:numPr>
        <w:spacing w:line="360" w:lineRule="auto"/>
        <w:ind w:left="0" w:firstLine="0"/>
        <w:jc w:val="both"/>
      </w:pPr>
      <w:r w:rsidRPr="00C8515C">
        <w:rPr>
          <w:szCs w:val="28"/>
        </w:rPr>
        <w:t>In consideration of this, and upon knowing that pursuant to §§29AI and 29</w:t>
      </w:r>
      <w:r w:rsidR="006E49EB">
        <w:rPr>
          <w:szCs w:val="28"/>
        </w:rPr>
        <w:t xml:space="preserve">AL of the </w:t>
      </w:r>
      <w:r w:rsidR="00213F77">
        <w:rPr>
          <w:szCs w:val="28"/>
        </w:rPr>
        <w:t>Stamp Duty Ordinance (</w:t>
      </w:r>
      <w:r w:rsidR="006E49EB">
        <w:rPr>
          <w:szCs w:val="28"/>
        </w:rPr>
        <w:t>Cap 117</w:t>
      </w:r>
      <w:r w:rsidR="00213F77">
        <w:rPr>
          <w:szCs w:val="28"/>
        </w:rPr>
        <w:t>)</w:t>
      </w:r>
      <w:r w:rsidRPr="00C8515C">
        <w:rPr>
          <w:szCs w:val="28"/>
        </w:rPr>
        <w:t>, the sale of the 2</w:t>
      </w:r>
      <w:r w:rsidRPr="00C8515C">
        <w:rPr>
          <w:szCs w:val="28"/>
          <w:vertAlign w:val="superscript"/>
        </w:rPr>
        <w:t>nd</w:t>
      </w:r>
      <w:r w:rsidRPr="00C8515C">
        <w:rPr>
          <w:szCs w:val="28"/>
        </w:rPr>
        <w:t xml:space="preserve"> Property is a sale of residential property between closely related persons chargeable with </w:t>
      </w:r>
      <w:r w:rsidRPr="006E49EB">
        <w:rPr>
          <w:i/>
          <w:szCs w:val="28"/>
        </w:rPr>
        <w:t>ad valorem</w:t>
      </w:r>
      <w:r w:rsidRPr="00C8515C">
        <w:rPr>
          <w:szCs w:val="28"/>
        </w:rPr>
        <w:t xml:space="preserve"> stamp duty at </w:t>
      </w:r>
      <w:r w:rsidRPr="00A44834">
        <w:rPr>
          <w:szCs w:val="28"/>
        </w:rPr>
        <w:t xml:space="preserve">Scale 2 rates, the </w:t>
      </w:r>
      <w:r w:rsidR="0046333F">
        <w:rPr>
          <w:szCs w:val="28"/>
        </w:rPr>
        <w:t>defendant</w:t>
      </w:r>
      <w:r w:rsidR="00E33AF7">
        <w:rPr>
          <w:szCs w:val="28"/>
        </w:rPr>
        <w:t xml:space="preserve"> agreed to “</w:t>
      </w:r>
      <w:r w:rsidRPr="00A44834">
        <w:rPr>
          <w:szCs w:val="28"/>
        </w:rPr>
        <w:t>sell</w:t>
      </w:r>
      <w:r w:rsidR="00E33AF7">
        <w:rPr>
          <w:szCs w:val="28"/>
        </w:rPr>
        <w:t>”</w:t>
      </w:r>
      <w:r w:rsidRPr="00A44834">
        <w:rPr>
          <w:szCs w:val="28"/>
        </w:rPr>
        <w:t xml:space="preserve"> the 2</w:t>
      </w:r>
      <w:r w:rsidRPr="00A44834">
        <w:rPr>
          <w:szCs w:val="28"/>
          <w:vertAlign w:val="superscript"/>
        </w:rPr>
        <w:t>nd</w:t>
      </w:r>
      <w:r w:rsidRPr="00A44834">
        <w:rPr>
          <w:szCs w:val="28"/>
        </w:rPr>
        <w:t xml:space="preserve"> Property to his Elder Son at the same time as fair treatment to the Elder Son. Hence, a 2.25% stamp duty was paid for this transaction</w:t>
      </w:r>
      <w:r w:rsidR="00D87FDC">
        <w:rPr>
          <w:szCs w:val="28"/>
        </w:rPr>
        <w:t>.</w:t>
      </w:r>
    </w:p>
    <w:p w:rsidR="00C46CBB" w:rsidRDefault="00C46CBB" w:rsidP="00C46CBB">
      <w:pPr>
        <w:pStyle w:val="ListParagraph"/>
        <w:spacing w:line="360" w:lineRule="auto"/>
        <w:ind w:left="0"/>
        <w:jc w:val="both"/>
      </w:pPr>
      <w:r>
        <w:t xml:space="preserve"> </w:t>
      </w:r>
    </w:p>
    <w:p w:rsidR="00C46CBB" w:rsidRDefault="00D87FDC" w:rsidP="001E5C01">
      <w:pPr>
        <w:pStyle w:val="ListParagraph"/>
        <w:numPr>
          <w:ilvl w:val="0"/>
          <w:numId w:val="17"/>
        </w:numPr>
        <w:spacing w:line="360" w:lineRule="auto"/>
        <w:ind w:left="0" w:firstLine="0"/>
        <w:jc w:val="both"/>
      </w:pPr>
      <w:r>
        <w:rPr>
          <w:szCs w:val="28"/>
        </w:rPr>
        <w:t>I accept the defendant’s claim that by</w:t>
      </w:r>
      <w:r w:rsidR="0007470C" w:rsidRPr="00C8515C">
        <w:rPr>
          <w:szCs w:val="28"/>
        </w:rPr>
        <w:t xml:space="preserve"> redeeming the existing mortgages </w:t>
      </w:r>
      <w:r>
        <w:rPr>
          <w:szCs w:val="28"/>
        </w:rPr>
        <w:t xml:space="preserve">and raising the new mortgage loan, </w:t>
      </w:r>
      <w:r w:rsidR="0007470C" w:rsidRPr="00C8515C">
        <w:rPr>
          <w:szCs w:val="28"/>
        </w:rPr>
        <w:t xml:space="preserve">the Elder Son would be able to raise a net sum of around </w:t>
      </w:r>
      <w:r w:rsidR="00AB23C9">
        <w:rPr>
          <w:szCs w:val="28"/>
        </w:rPr>
        <w:t>HK</w:t>
      </w:r>
      <w:r w:rsidR="0007470C" w:rsidRPr="00C8515C">
        <w:rPr>
          <w:szCs w:val="28"/>
        </w:rPr>
        <w:t xml:space="preserve">$1.3 </w:t>
      </w:r>
      <w:r>
        <w:rPr>
          <w:szCs w:val="28"/>
        </w:rPr>
        <w:t xml:space="preserve">to </w:t>
      </w:r>
      <w:r w:rsidR="00AB23C9">
        <w:rPr>
          <w:szCs w:val="28"/>
        </w:rPr>
        <w:t>HK</w:t>
      </w:r>
      <w:r>
        <w:rPr>
          <w:szCs w:val="28"/>
        </w:rPr>
        <w:t xml:space="preserve">$1.4 </w:t>
      </w:r>
      <w:r w:rsidR="0007470C" w:rsidRPr="00C8515C">
        <w:rPr>
          <w:szCs w:val="28"/>
        </w:rPr>
        <w:t xml:space="preserve">million to assist the </w:t>
      </w:r>
      <w:r w:rsidR="0046333F">
        <w:rPr>
          <w:szCs w:val="28"/>
        </w:rPr>
        <w:t>defendant</w:t>
      </w:r>
      <w:r>
        <w:rPr>
          <w:szCs w:val="28"/>
        </w:rPr>
        <w:t xml:space="preserve"> in paying the costs in the EC Case and in defending the PI Case</w:t>
      </w:r>
      <w:r w:rsidR="0007470C">
        <w:rPr>
          <w:szCs w:val="28"/>
        </w:rPr>
        <w:t>.</w:t>
      </w:r>
    </w:p>
    <w:p w:rsidR="00C46CBB" w:rsidRDefault="00C46CBB" w:rsidP="00C46CBB">
      <w:pPr>
        <w:pStyle w:val="ListParagraph"/>
        <w:spacing w:line="360" w:lineRule="auto"/>
        <w:ind w:left="0"/>
        <w:jc w:val="both"/>
      </w:pPr>
      <w:r>
        <w:t xml:space="preserve"> </w:t>
      </w:r>
    </w:p>
    <w:p w:rsidR="00C46CBB" w:rsidRPr="00D87FDC" w:rsidRDefault="00D87FDC" w:rsidP="008125C5">
      <w:pPr>
        <w:pStyle w:val="ListParagraph"/>
        <w:numPr>
          <w:ilvl w:val="0"/>
          <w:numId w:val="17"/>
        </w:numPr>
        <w:spacing w:line="360" w:lineRule="auto"/>
        <w:ind w:left="0" w:firstLine="0"/>
        <w:jc w:val="both"/>
        <w:rPr>
          <w:i/>
        </w:rPr>
      </w:pPr>
      <w:r w:rsidRPr="00D87FDC">
        <w:rPr>
          <w:szCs w:val="28"/>
        </w:rPr>
        <w:lastRenderedPageBreak/>
        <w:t xml:space="preserve">Hence, </w:t>
      </w:r>
      <w:r w:rsidR="0007470C" w:rsidRPr="00D87FDC">
        <w:rPr>
          <w:szCs w:val="28"/>
        </w:rPr>
        <w:t xml:space="preserve">the </w:t>
      </w:r>
      <w:r w:rsidR="0046333F" w:rsidRPr="00D87FDC">
        <w:rPr>
          <w:szCs w:val="28"/>
        </w:rPr>
        <w:t>defendant</w:t>
      </w:r>
      <w:r w:rsidR="0007470C" w:rsidRPr="00D87FDC">
        <w:rPr>
          <w:szCs w:val="28"/>
        </w:rPr>
        <w:t xml:space="preserve"> entered into </w:t>
      </w:r>
      <w:r w:rsidRPr="00D87FDC">
        <w:rPr>
          <w:szCs w:val="28"/>
        </w:rPr>
        <w:t>the</w:t>
      </w:r>
      <w:r w:rsidR="0007470C" w:rsidRPr="00D87FDC">
        <w:rPr>
          <w:szCs w:val="28"/>
        </w:rPr>
        <w:t xml:space="preserve"> S</w:t>
      </w:r>
      <w:r w:rsidRPr="00D87FDC">
        <w:rPr>
          <w:szCs w:val="28"/>
        </w:rPr>
        <w:t xml:space="preserve">&amp;P </w:t>
      </w:r>
      <w:r w:rsidR="0007470C" w:rsidRPr="00D87FDC">
        <w:rPr>
          <w:szCs w:val="28"/>
        </w:rPr>
        <w:t xml:space="preserve">Agreement </w:t>
      </w:r>
      <w:r w:rsidRPr="00D87FDC">
        <w:rPr>
          <w:szCs w:val="28"/>
        </w:rPr>
        <w:t>of the 2</w:t>
      </w:r>
      <w:r w:rsidRPr="00D87FDC">
        <w:rPr>
          <w:szCs w:val="28"/>
          <w:vertAlign w:val="superscript"/>
        </w:rPr>
        <w:t>nd</w:t>
      </w:r>
      <w:r w:rsidRPr="00D87FDC">
        <w:rPr>
          <w:szCs w:val="28"/>
        </w:rPr>
        <w:t xml:space="preserve"> </w:t>
      </w:r>
      <w:r w:rsidR="0007470C" w:rsidRPr="00D87FDC">
        <w:rPr>
          <w:szCs w:val="28"/>
        </w:rPr>
        <w:t xml:space="preserve">Property </w:t>
      </w:r>
      <w:r w:rsidRPr="00D87FDC">
        <w:rPr>
          <w:szCs w:val="28"/>
        </w:rPr>
        <w:t>with his Elder Son on 4 August 2020</w:t>
      </w:r>
      <w:r w:rsidR="00255562">
        <w:rPr>
          <w:szCs w:val="28"/>
        </w:rPr>
        <w:t xml:space="preserve"> as mentioned above</w:t>
      </w:r>
      <w:r w:rsidR="0007470C" w:rsidRPr="00D87FDC">
        <w:rPr>
          <w:szCs w:val="28"/>
        </w:rPr>
        <w:t xml:space="preserve">. </w:t>
      </w:r>
      <w:r w:rsidRPr="00D87FDC">
        <w:rPr>
          <w:szCs w:val="28"/>
        </w:rPr>
        <w:t xml:space="preserve"> </w:t>
      </w:r>
      <w:r w:rsidR="00C46CBB" w:rsidRPr="00D87FDC">
        <w:rPr>
          <w:i/>
        </w:rPr>
        <w:t xml:space="preserve"> </w:t>
      </w:r>
    </w:p>
    <w:p w:rsidR="00061F33" w:rsidRDefault="00061F33" w:rsidP="00D87FDC">
      <w:pPr>
        <w:pStyle w:val="ListParagraph"/>
        <w:spacing w:line="360" w:lineRule="auto"/>
        <w:ind w:left="0"/>
        <w:jc w:val="both"/>
      </w:pPr>
    </w:p>
    <w:p w:rsidR="00A33C32" w:rsidRPr="00947A6A" w:rsidRDefault="00255562" w:rsidP="001D48BB">
      <w:pPr>
        <w:spacing w:line="360" w:lineRule="auto"/>
        <w:jc w:val="both"/>
        <w:rPr>
          <w:i/>
        </w:rPr>
      </w:pPr>
      <w:r>
        <w:rPr>
          <w:i/>
        </w:rPr>
        <w:t xml:space="preserve">Issues to be decided </w:t>
      </w:r>
    </w:p>
    <w:p w:rsidR="00435CF0" w:rsidRPr="00947A6A" w:rsidRDefault="00435CF0" w:rsidP="0012382C">
      <w:pPr>
        <w:spacing w:line="360" w:lineRule="auto"/>
      </w:pPr>
    </w:p>
    <w:p w:rsidR="00255562" w:rsidRPr="00255562" w:rsidRDefault="00BC3320" w:rsidP="00B01132">
      <w:pPr>
        <w:pStyle w:val="ListParagraph"/>
        <w:numPr>
          <w:ilvl w:val="0"/>
          <w:numId w:val="17"/>
        </w:numPr>
        <w:spacing w:line="360" w:lineRule="auto"/>
        <w:ind w:left="0" w:firstLine="0"/>
        <w:jc w:val="both"/>
      </w:pPr>
      <w:r w:rsidRPr="00C8515C">
        <w:rPr>
          <w:szCs w:val="28"/>
        </w:rPr>
        <w:t xml:space="preserve">The legal principles governing the grant of a </w:t>
      </w:r>
      <w:proofErr w:type="spellStart"/>
      <w:r w:rsidRPr="00C8515C">
        <w:rPr>
          <w:rFonts w:eastAsia="Times New Roman"/>
          <w:i/>
          <w:szCs w:val="28"/>
        </w:rPr>
        <w:t>Mareva</w:t>
      </w:r>
      <w:proofErr w:type="spellEnd"/>
      <w:r w:rsidRPr="00C8515C">
        <w:rPr>
          <w:rFonts w:eastAsia="Times New Roman"/>
          <w:i/>
          <w:szCs w:val="28"/>
        </w:rPr>
        <w:t xml:space="preserve"> </w:t>
      </w:r>
      <w:r w:rsidRPr="00C8515C">
        <w:rPr>
          <w:szCs w:val="28"/>
        </w:rPr>
        <w:t xml:space="preserve">injunction are trite. </w:t>
      </w:r>
      <w:r w:rsidR="00255562">
        <w:rPr>
          <w:szCs w:val="28"/>
        </w:rPr>
        <w:t xml:space="preserve">I do not intend to repeat them here.  </w:t>
      </w:r>
    </w:p>
    <w:p w:rsidR="00255562" w:rsidRPr="00255562" w:rsidRDefault="00255562" w:rsidP="00255562">
      <w:pPr>
        <w:pStyle w:val="ListParagraph"/>
        <w:spacing w:line="360" w:lineRule="auto"/>
        <w:ind w:left="0"/>
        <w:jc w:val="both"/>
      </w:pPr>
    </w:p>
    <w:p w:rsidR="00B01132" w:rsidRPr="00BC3320" w:rsidRDefault="00BC3320" w:rsidP="00B01132">
      <w:pPr>
        <w:pStyle w:val="ListParagraph"/>
        <w:numPr>
          <w:ilvl w:val="0"/>
          <w:numId w:val="17"/>
        </w:numPr>
        <w:spacing w:line="360" w:lineRule="auto"/>
        <w:ind w:left="0" w:firstLine="0"/>
        <w:jc w:val="both"/>
      </w:pPr>
      <w:r w:rsidRPr="00C8515C">
        <w:rPr>
          <w:szCs w:val="28"/>
        </w:rPr>
        <w:t xml:space="preserve">The </w:t>
      </w:r>
      <w:r w:rsidR="00255562">
        <w:rPr>
          <w:szCs w:val="28"/>
        </w:rPr>
        <w:t xml:space="preserve">following 3 </w:t>
      </w:r>
      <w:r w:rsidRPr="00C8515C">
        <w:rPr>
          <w:szCs w:val="28"/>
        </w:rPr>
        <w:t xml:space="preserve">grounds </w:t>
      </w:r>
      <w:r w:rsidR="00255562">
        <w:rPr>
          <w:szCs w:val="28"/>
        </w:rPr>
        <w:t xml:space="preserve">are the main areas of </w:t>
      </w:r>
      <w:r w:rsidR="0047640D">
        <w:rPr>
          <w:szCs w:val="28"/>
        </w:rPr>
        <w:t>contention between the parties</w:t>
      </w:r>
      <w:r w:rsidR="00E33AF7">
        <w:rPr>
          <w:szCs w:val="28"/>
        </w:rPr>
        <w:t>: (</w:t>
      </w:r>
      <w:r w:rsidR="00F80F30">
        <w:rPr>
          <w:szCs w:val="28"/>
        </w:rPr>
        <w:t>I</w:t>
      </w:r>
      <w:r w:rsidRPr="00C8515C">
        <w:rPr>
          <w:szCs w:val="28"/>
        </w:rPr>
        <w:t xml:space="preserve">) </w:t>
      </w:r>
      <w:r w:rsidR="00255562">
        <w:rPr>
          <w:szCs w:val="28"/>
        </w:rPr>
        <w:t xml:space="preserve">whether </w:t>
      </w:r>
      <w:r w:rsidRPr="00C8515C">
        <w:rPr>
          <w:szCs w:val="28"/>
        </w:rPr>
        <w:t xml:space="preserve">the </w:t>
      </w:r>
      <w:r w:rsidR="0046333F">
        <w:rPr>
          <w:szCs w:val="28"/>
        </w:rPr>
        <w:t>defendant</w:t>
      </w:r>
      <w:r w:rsidRPr="00C8515C">
        <w:rPr>
          <w:szCs w:val="28"/>
        </w:rPr>
        <w:t xml:space="preserve"> has an arguable </w:t>
      </w:r>
      <w:proofErr w:type="spellStart"/>
      <w:r w:rsidRPr="00C8515C">
        <w:rPr>
          <w:szCs w:val="28"/>
        </w:rPr>
        <w:t>defence</w:t>
      </w:r>
      <w:proofErr w:type="spellEnd"/>
      <w:r w:rsidRPr="00C8515C">
        <w:rPr>
          <w:szCs w:val="28"/>
        </w:rPr>
        <w:t xml:space="preserve"> to contes</w:t>
      </w:r>
      <w:r w:rsidR="00E33AF7">
        <w:rPr>
          <w:szCs w:val="28"/>
        </w:rPr>
        <w:t>t liability in the PI Case; (</w:t>
      </w:r>
      <w:r w:rsidR="00F80F30">
        <w:rPr>
          <w:szCs w:val="28"/>
        </w:rPr>
        <w:t>II</w:t>
      </w:r>
      <w:r w:rsidRPr="00C8515C">
        <w:rPr>
          <w:szCs w:val="28"/>
        </w:rPr>
        <w:t>)</w:t>
      </w:r>
      <w:r w:rsidR="00255562">
        <w:rPr>
          <w:szCs w:val="28"/>
        </w:rPr>
        <w:t xml:space="preserve"> whether </w:t>
      </w:r>
      <w:r w:rsidRPr="00C8515C">
        <w:rPr>
          <w:szCs w:val="28"/>
        </w:rPr>
        <w:t xml:space="preserve">there is </w:t>
      </w:r>
      <w:r w:rsidR="00390604">
        <w:rPr>
          <w:szCs w:val="28"/>
        </w:rPr>
        <w:t>any</w:t>
      </w:r>
      <w:r w:rsidRPr="00C8515C">
        <w:rPr>
          <w:szCs w:val="28"/>
        </w:rPr>
        <w:t xml:space="preserve"> real risk </w:t>
      </w:r>
      <w:r w:rsidR="00E33AF7">
        <w:rPr>
          <w:szCs w:val="28"/>
        </w:rPr>
        <w:t>of dissipation of assets; and (</w:t>
      </w:r>
      <w:r w:rsidR="00F80F30">
        <w:rPr>
          <w:szCs w:val="28"/>
        </w:rPr>
        <w:t>III</w:t>
      </w:r>
      <w:r w:rsidRPr="00C8515C">
        <w:rPr>
          <w:szCs w:val="28"/>
        </w:rPr>
        <w:t>)</w:t>
      </w:r>
      <w:r w:rsidR="00255562">
        <w:rPr>
          <w:szCs w:val="28"/>
        </w:rPr>
        <w:t xml:space="preserve"> where does </w:t>
      </w:r>
      <w:r w:rsidRPr="00C8515C">
        <w:rPr>
          <w:szCs w:val="28"/>
        </w:rPr>
        <w:t xml:space="preserve">the balance of convenience </w:t>
      </w:r>
      <w:r w:rsidR="00255562">
        <w:rPr>
          <w:szCs w:val="28"/>
        </w:rPr>
        <w:t>lie</w:t>
      </w:r>
      <w:r w:rsidRPr="00C8515C">
        <w:rPr>
          <w:szCs w:val="28"/>
        </w:rPr>
        <w:t>.</w:t>
      </w:r>
    </w:p>
    <w:p w:rsidR="00BC3320" w:rsidRDefault="00BC3320" w:rsidP="00BC3320">
      <w:pPr>
        <w:pStyle w:val="ListParagraph"/>
        <w:spacing w:line="360" w:lineRule="auto"/>
        <w:ind w:left="0"/>
        <w:jc w:val="both"/>
      </w:pPr>
    </w:p>
    <w:p w:rsidR="00255562" w:rsidRPr="00BC3320" w:rsidRDefault="00255562" w:rsidP="00255562">
      <w:pPr>
        <w:pStyle w:val="ListParagraph"/>
        <w:spacing w:line="360" w:lineRule="auto"/>
        <w:ind w:left="0"/>
        <w:jc w:val="both"/>
        <w:rPr>
          <w:i/>
        </w:rPr>
      </w:pPr>
      <w:r>
        <w:rPr>
          <w:i/>
          <w:szCs w:val="28"/>
        </w:rPr>
        <w:t>(I) whether t</w:t>
      </w:r>
      <w:r w:rsidRPr="00BC3320">
        <w:rPr>
          <w:i/>
          <w:szCs w:val="28"/>
        </w:rPr>
        <w:t xml:space="preserve">he defendant has an arguable </w:t>
      </w:r>
      <w:proofErr w:type="spellStart"/>
      <w:r w:rsidRPr="00BC3320">
        <w:rPr>
          <w:i/>
          <w:szCs w:val="28"/>
        </w:rPr>
        <w:t>defence</w:t>
      </w:r>
      <w:proofErr w:type="spellEnd"/>
      <w:r w:rsidRPr="00BC3320">
        <w:rPr>
          <w:i/>
          <w:szCs w:val="28"/>
        </w:rPr>
        <w:t xml:space="preserve"> to</w:t>
      </w:r>
      <w:r w:rsidR="005C352F">
        <w:rPr>
          <w:i/>
          <w:szCs w:val="28"/>
        </w:rPr>
        <w:t xml:space="preserve"> contest liability in the </w:t>
      </w:r>
      <w:r>
        <w:rPr>
          <w:i/>
          <w:szCs w:val="28"/>
        </w:rPr>
        <w:t>PI C</w:t>
      </w:r>
      <w:r w:rsidRPr="00BC3320">
        <w:rPr>
          <w:i/>
          <w:szCs w:val="28"/>
        </w:rPr>
        <w:t>ase</w:t>
      </w:r>
    </w:p>
    <w:p w:rsidR="00255562" w:rsidRDefault="00255562" w:rsidP="00BC3320">
      <w:pPr>
        <w:pStyle w:val="ListParagraph"/>
        <w:spacing w:line="360" w:lineRule="auto"/>
        <w:ind w:left="0"/>
        <w:jc w:val="both"/>
      </w:pPr>
    </w:p>
    <w:p w:rsidR="005C352F" w:rsidRDefault="007677F9" w:rsidP="005C352F">
      <w:pPr>
        <w:pStyle w:val="ListParagraph"/>
        <w:numPr>
          <w:ilvl w:val="0"/>
          <w:numId w:val="17"/>
        </w:numPr>
        <w:spacing w:line="360" w:lineRule="auto"/>
        <w:ind w:left="0" w:firstLine="0"/>
        <w:jc w:val="both"/>
      </w:pPr>
      <w:r>
        <w:t>M</w:t>
      </w:r>
      <w:r w:rsidR="005C352F">
        <w:t>is</w:t>
      </w:r>
      <w:r>
        <w:t xml:space="preserve">s Choy </w:t>
      </w:r>
      <w:r w:rsidR="00255562">
        <w:t xml:space="preserve">submits </w:t>
      </w:r>
      <w:r>
        <w:t xml:space="preserve">on behalf of the plaintiff </w:t>
      </w:r>
      <w:r w:rsidR="00255562">
        <w:t xml:space="preserve">that he has a solid case on </w:t>
      </w:r>
      <w:r>
        <w:t>liability</w:t>
      </w:r>
      <w:r w:rsidR="00255562">
        <w:t xml:space="preserve"> </w:t>
      </w:r>
      <w:r>
        <w:t xml:space="preserve">with no </w:t>
      </w:r>
      <w:r w:rsidR="00CC6786">
        <w:t xml:space="preserve">chance of any </w:t>
      </w:r>
      <w:r>
        <w:t>contributory negligence on his part</w:t>
      </w:r>
      <w:r w:rsidR="001044A1">
        <w:t xml:space="preserve"> in the PI Case</w:t>
      </w:r>
      <w:r>
        <w:t>.</w:t>
      </w:r>
      <w:r w:rsidR="005C352F">
        <w:t xml:space="preserve"> </w:t>
      </w:r>
      <w:r>
        <w:t xml:space="preserve">She also submits that the </w:t>
      </w:r>
      <w:r w:rsidR="001044A1">
        <w:t xml:space="preserve">amount that the plaintiff is seeking under the </w:t>
      </w:r>
      <w:proofErr w:type="spellStart"/>
      <w:r w:rsidR="001044A1">
        <w:t>SoD</w:t>
      </w:r>
      <w:proofErr w:type="spellEnd"/>
      <w:r w:rsidR="001044A1">
        <w:t xml:space="preserve"> at </w:t>
      </w:r>
      <w:r w:rsidR="005C352F">
        <w:t>HK</w:t>
      </w:r>
      <w:r w:rsidR="001044A1">
        <w:t xml:space="preserve">$2.68 million is a realistic </w:t>
      </w:r>
      <w:r w:rsidR="005C352F">
        <w:t>amount which her client</w:t>
      </w:r>
      <w:r w:rsidR="00091CAD">
        <w:t xml:space="preserve"> will likely </w:t>
      </w:r>
      <w:r w:rsidR="005C352F">
        <w:t xml:space="preserve">be </w:t>
      </w:r>
      <w:r w:rsidR="001044A1">
        <w:t xml:space="preserve">able to obtain </w:t>
      </w:r>
      <w:r w:rsidR="005C352F">
        <w:t>at the trial of the PI Case. H</w:t>
      </w:r>
      <w:r w:rsidR="00091CAD">
        <w:t>ence</w:t>
      </w:r>
      <w:r w:rsidR="005C352F">
        <w:t>,</w:t>
      </w:r>
      <w:r w:rsidR="00091CAD">
        <w:t xml:space="preserve"> the plaintiff invites the Court to “freeze” the defendant’s assets under the</w:t>
      </w:r>
      <w:r w:rsidR="001044A1">
        <w:t xml:space="preserve"> </w:t>
      </w:r>
      <w:proofErr w:type="spellStart"/>
      <w:r w:rsidR="001044A1" w:rsidRPr="005C352F">
        <w:rPr>
          <w:i/>
        </w:rPr>
        <w:t>Mar</w:t>
      </w:r>
      <w:r w:rsidR="005C352F" w:rsidRPr="005C352F">
        <w:rPr>
          <w:i/>
        </w:rPr>
        <w:t>ev</w:t>
      </w:r>
      <w:r w:rsidR="001044A1" w:rsidRPr="005C352F">
        <w:rPr>
          <w:i/>
        </w:rPr>
        <w:t>a</w:t>
      </w:r>
      <w:proofErr w:type="spellEnd"/>
      <w:r w:rsidR="001044A1">
        <w:t xml:space="preserve"> injunction</w:t>
      </w:r>
      <w:r w:rsidR="00091CAD">
        <w:t xml:space="preserve"> up to that sum.  </w:t>
      </w:r>
    </w:p>
    <w:p w:rsidR="005C352F" w:rsidRDefault="005C352F" w:rsidP="005C352F">
      <w:pPr>
        <w:pStyle w:val="ListParagraph"/>
        <w:spacing w:line="360" w:lineRule="auto"/>
        <w:ind w:left="0"/>
        <w:jc w:val="both"/>
      </w:pPr>
    </w:p>
    <w:p w:rsidR="00CC6786" w:rsidRDefault="00091CAD" w:rsidP="005C352F">
      <w:pPr>
        <w:pStyle w:val="ListParagraph"/>
        <w:numPr>
          <w:ilvl w:val="0"/>
          <w:numId w:val="17"/>
        </w:numPr>
        <w:spacing w:line="360" w:lineRule="auto"/>
        <w:ind w:left="0" w:firstLine="0"/>
        <w:jc w:val="both"/>
      </w:pPr>
      <w:r>
        <w:t xml:space="preserve">However, </w:t>
      </w:r>
      <w:r w:rsidR="007E28F9">
        <w:t>with respec</w:t>
      </w:r>
      <w:r w:rsidR="005C352F">
        <w:t xml:space="preserve">t to Miss Choy, </w:t>
      </w:r>
      <w:r w:rsidR="007E28F9">
        <w:t>her submission</w:t>
      </w:r>
      <w:r>
        <w:t xml:space="preserve"> has ignored 2 obvious </w:t>
      </w:r>
      <w:r w:rsidR="00330B0C">
        <w:t>facts</w:t>
      </w:r>
      <w:r>
        <w:t xml:space="preserve">, namely, (1) this figure represents the plaintiff’s best case </w:t>
      </w:r>
      <w:r w:rsidR="007E28F9">
        <w:t xml:space="preserve">scenario </w:t>
      </w:r>
      <w:r>
        <w:t xml:space="preserve">as pleaded under the </w:t>
      </w:r>
      <w:proofErr w:type="spellStart"/>
      <w:r>
        <w:t>SoD</w:t>
      </w:r>
      <w:proofErr w:type="spellEnd"/>
      <w:r>
        <w:t xml:space="preserve"> which he is unlikely able to </w:t>
      </w:r>
      <w:r w:rsidR="00330B0C">
        <w:t>achieve at the trial</w:t>
      </w:r>
      <w:r>
        <w:t xml:space="preserve">; and (2) his pre-accident income is now said to be at </w:t>
      </w:r>
      <w:r w:rsidR="005C352F">
        <w:lastRenderedPageBreak/>
        <w:t>HK</w:t>
      </w:r>
      <w:r>
        <w:t xml:space="preserve">$31,200 per month when the </w:t>
      </w:r>
      <w:r w:rsidR="007E28F9">
        <w:t xml:space="preserve">specific factual </w:t>
      </w:r>
      <w:r>
        <w:t xml:space="preserve">finding made by HH Judge Harold Leong in the EC Judgment </w:t>
      </w:r>
      <w:r w:rsidR="00CC6786">
        <w:t xml:space="preserve">was at </w:t>
      </w:r>
      <w:r w:rsidR="005C352F">
        <w:t>HK</w:t>
      </w:r>
      <w:r w:rsidR="00CC6786">
        <w:t>$8,333 per month only.</w:t>
      </w:r>
    </w:p>
    <w:p w:rsidR="00BC3320" w:rsidRDefault="00091CAD" w:rsidP="00CC6786">
      <w:pPr>
        <w:pStyle w:val="ListParagraph"/>
        <w:spacing w:line="360" w:lineRule="auto"/>
        <w:ind w:left="0"/>
        <w:jc w:val="both"/>
      </w:pPr>
      <w:r>
        <w:t xml:space="preserve">      </w:t>
      </w:r>
      <w:r w:rsidR="007677F9">
        <w:t xml:space="preserve">  </w:t>
      </w:r>
    </w:p>
    <w:p w:rsidR="00330B0C" w:rsidRDefault="00330B0C" w:rsidP="00B01132">
      <w:pPr>
        <w:pStyle w:val="ListParagraph"/>
        <w:numPr>
          <w:ilvl w:val="0"/>
          <w:numId w:val="17"/>
        </w:numPr>
        <w:spacing w:line="360" w:lineRule="auto"/>
        <w:ind w:left="0" w:firstLine="0"/>
        <w:jc w:val="both"/>
      </w:pPr>
      <w:r>
        <w:t xml:space="preserve">Thus, 2 issues arose under this head, namely, (a) whether there is any prospect of the court in making any finding of contributory negligence against the plaintiff; and (b) whether there is any issue of </w:t>
      </w:r>
      <w:r w:rsidRPr="005C352F">
        <w:rPr>
          <w:i/>
        </w:rPr>
        <w:t>res judicata</w:t>
      </w:r>
      <w:r>
        <w:t xml:space="preserve"> on the plea of his monthly income at the time of the Accident.</w:t>
      </w:r>
    </w:p>
    <w:p w:rsidR="00330B0C" w:rsidRDefault="00330B0C" w:rsidP="00330B0C">
      <w:pPr>
        <w:pStyle w:val="ListParagraph"/>
      </w:pPr>
    </w:p>
    <w:p w:rsidR="007677F9" w:rsidRDefault="00330B0C" w:rsidP="00B01132">
      <w:pPr>
        <w:pStyle w:val="ListParagraph"/>
        <w:numPr>
          <w:ilvl w:val="0"/>
          <w:numId w:val="17"/>
        </w:numPr>
        <w:spacing w:line="360" w:lineRule="auto"/>
        <w:ind w:left="0" w:firstLine="0"/>
        <w:jc w:val="both"/>
      </w:pPr>
      <w:r>
        <w:t xml:space="preserve">I shall take </w:t>
      </w:r>
      <w:r w:rsidR="00394D24">
        <w:t>these 2 issues in turn below.</w:t>
      </w:r>
      <w:r>
        <w:t xml:space="preserve">    </w:t>
      </w:r>
    </w:p>
    <w:p w:rsidR="00BC3320" w:rsidRPr="00BC3320" w:rsidRDefault="00255562" w:rsidP="00255562">
      <w:pPr>
        <w:pStyle w:val="ListParagraph"/>
        <w:spacing w:line="360" w:lineRule="auto"/>
        <w:ind w:left="0"/>
        <w:jc w:val="both"/>
      </w:pPr>
      <w:r>
        <w:t xml:space="preserve"> </w:t>
      </w:r>
    </w:p>
    <w:p w:rsidR="00386101" w:rsidRPr="00386101" w:rsidRDefault="00386101" w:rsidP="00386101">
      <w:pPr>
        <w:tabs>
          <w:tab w:val="clear" w:pos="4320"/>
          <w:tab w:val="clear" w:pos="9072"/>
        </w:tabs>
        <w:snapToGrid/>
        <w:spacing w:line="360" w:lineRule="auto"/>
        <w:ind w:right="61"/>
        <w:jc w:val="both"/>
        <w:rPr>
          <w:i/>
        </w:rPr>
      </w:pPr>
      <w:r w:rsidRPr="00386101">
        <w:rPr>
          <w:i/>
        </w:rPr>
        <w:t>(</w:t>
      </w:r>
      <w:r w:rsidR="00D63644">
        <w:rPr>
          <w:i/>
        </w:rPr>
        <w:t>a</w:t>
      </w:r>
      <w:r w:rsidRPr="00386101">
        <w:rPr>
          <w:i/>
        </w:rPr>
        <w:t>) Contributory Negligence</w:t>
      </w:r>
    </w:p>
    <w:p w:rsidR="00B01132" w:rsidRPr="00947A6A" w:rsidRDefault="00B01132" w:rsidP="00B01132">
      <w:pPr>
        <w:pStyle w:val="ListParagraph"/>
        <w:spacing w:line="360" w:lineRule="auto"/>
        <w:ind w:left="0"/>
        <w:jc w:val="both"/>
      </w:pPr>
    </w:p>
    <w:p w:rsidR="00D63644" w:rsidRDefault="00D63644" w:rsidP="00386101">
      <w:pPr>
        <w:numPr>
          <w:ilvl w:val="0"/>
          <w:numId w:val="17"/>
        </w:numPr>
        <w:tabs>
          <w:tab w:val="clear" w:pos="4320"/>
          <w:tab w:val="clear" w:pos="9072"/>
        </w:tabs>
        <w:snapToGrid/>
        <w:spacing w:line="360" w:lineRule="auto"/>
        <w:ind w:left="0" w:right="61" w:firstLine="0"/>
        <w:jc w:val="both"/>
        <w:rPr>
          <w:szCs w:val="28"/>
        </w:rPr>
      </w:pPr>
      <w:r>
        <w:rPr>
          <w:szCs w:val="28"/>
        </w:rPr>
        <w:t xml:space="preserve">I do not regard </w:t>
      </w:r>
      <w:r w:rsidR="005C352F">
        <w:rPr>
          <w:szCs w:val="28"/>
        </w:rPr>
        <w:t>liability</w:t>
      </w:r>
      <w:r>
        <w:rPr>
          <w:szCs w:val="28"/>
        </w:rPr>
        <w:t xml:space="preserve"> is an open and shut issue</w:t>
      </w:r>
      <w:r w:rsidR="005C352F">
        <w:rPr>
          <w:szCs w:val="28"/>
        </w:rPr>
        <w:t xml:space="preserve"> in this case</w:t>
      </w:r>
      <w:r>
        <w:rPr>
          <w:szCs w:val="28"/>
        </w:rPr>
        <w:t xml:space="preserve"> as the plaintiff has suggested</w:t>
      </w:r>
      <w:r w:rsidR="005C352F">
        <w:rPr>
          <w:szCs w:val="28"/>
        </w:rPr>
        <w:t xml:space="preserve"> in his </w:t>
      </w:r>
      <w:r w:rsidR="000078D8">
        <w:rPr>
          <w:szCs w:val="28"/>
        </w:rPr>
        <w:t xml:space="preserve">counsel’s </w:t>
      </w:r>
      <w:r w:rsidR="005C352F">
        <w:rPr>
          <w:szCs w:val="28"/>
        </w:rPr>
        <w:t>submissions</w:t>
      </w:r>
      <w:r>
        <w:rPr>
          <w:szCs w:val="28"/>
        </w:rPr>
        <w:t xml:space="preserve">.  </w:t>
      </w:r>
    </w:p>
    <w:p w:rsidR="00D63644" w:rsidRDefault="00D63644" w:rsidP="00D63644">
      <w:pPr>
        <w:tabs>
          <w:tab w:val="clear" w:pos="4320"/>
          <w:tab w:val="clear" w:pos="9072"/>
        </w:tabs>
        <w:snapToGrid/>
        <w:spacing w:line="360" w:lineRule="auto"/>
        <w:ind w:right="61"/>
        <w:jc w:val="both"/>
        <w:rPr>
          <w:szCs w:val="28"/>
        </w:rPr>
      </w:pPr>
    </w:p>
    <w:p w:rsidR="00386101" w:rsidRPr="00A44834" w:rsidRDefault="00386101" w:rsidP="00386101">
      <w:pPr>
        <w:numPr>
          <w:ilvl w:val="0"/>
          <w:numId w:val="17"/>
        </w:numPr>
        <w:tabs>
          <w:tab w:val="clear" w:pos="4320"/>
          <w:tab w:val="clear" w:pos="9072"/>
        </w:tabs>
        <w:snapToGrid/>
        <w:spacing w:line="360" w:lineRule="auto"/>
        <w:ind w:left="0" w:right="61" w:firstLine="0"/>
        <w:jc w:val="both"/>
        <w:rPr>
          <w:szCs w:val="28"/>
        </w:rPr>
      </w:pPr>
      <w:r w:rsidRPr="00A44834">
        <w:rPr>
          <w:szCs w:val="28"/>
        </w:rPr>
        <w:t xml:space="preserve">As mentioned above, at the time of the Accident, the </w:t>
      </w:r>
      <w:r w:rsidR="0046333F">
        <w:rPr>
          <w:szCs w:val="28"/>
        </w:rPr>
        <w:t>plaintiff</w:t>
      </w:r>
      <w:r w:rsidRPr="00A44834">
        <w:rPr>
          <w:szCs w:val="28"/>
        </w:rPr>
        <w:t xml:space="preserve"> was an experienced decoration worker with over 30 years of experience, in additio</w:t>
      </w:r>
      <w:r w:rsidR="007E28F9">
        <w:rPr>
          <w:szCs w:val="28"/>
        </w:rPr>
        <w:t>n to being a holder of a valid safety c</w:t>
      </w:r>
      <w:r w:rsidRPr="00A44834">
        <w:rPr>
          <w:szCs w:val="28"/>
        </w:rPr>
        <w:t xml:space="preserve">ard. Due to the </w:t>
      </w:r>
      <w:r w:rsidR="0046333F">
        <w:rPr>
          <w:szCs w:val="28"/>
        </w:rPr>
        <w:t>plaintiff</w:t>
      </w:r>
      <w:r w:rsidRPr="00A44834">
        <w:rPr>
          <w:szCs w:val="28"/>
        </w:rPr>
        <w:t xml:space="preserve">’s experience, the </w:t>
      </w:r>
      <w:r w:rsidR="0046333F">
        <w:rPr>
          <w:szCs w:val="28"/>
        </w:rPr>
        <w:t>plaintiff</w:t>
      </w:r>
      <w:r w:rsidRPr="00A44834">
        <w:rPr>
          <w:szCs w:val="28"/>
        </w:rPr>
        <w:t xml:space="preserve"> had control over the manner in which the </w:t>
      </w:r>
      <w:r w:rsidR="0046333F">
        <w:rPr>
          <w:szCs w:val="28"/>
        </w:rPr>
        <w:t>plaintiff</w:t>
      </w:r>
      <w:r w:rsidRPr="00A44834">
        <w:rPr>
          <w:szCs w:val="28"/>
        </w:rPr>
        <w:t xml:space="preserve"> carried out his duties, including the selection and usage of</w:t>
      </w:r>
      <w:r w:rsidR="001E5EB9">
        <w:rPr>
          <w:szCs w:val="28"/>
        </w:rPr>
        <w:t xml:space="preserve"> equipment: </w:t>
      </w:r>
      <w:r w:rsidR="00D63644">
        <w:rPr>
          <w:szCs w:val="28"/>
        </w:rPr>
        <w:t xml:space="preserve">see </w:t>
      </w:r>
      <w:r w:rsidR="001E5EB9">
        <w:rPr>
          <w:szCs w:val="28"/>
        </w:rPr>
        <w:t>§7</w:t>
      </w:r>
      <w:r w:rsidR="00D63644">
        <w:rPr>
          <w:szCs w:val="28"/>
        </w:rPr>
        <w:t xml:space="preserve"> of </w:t>
      </w:r>
      <w:proofErr w:type="spellStart"/>
      <w:r w:rsidR="00D63644">
        <w:rPr>
          <w:szCs w:val="28"/>
        </w:rPr>
        <w:t>defence</w:t>
      </w:r>
      <w:proofErr w:type="spellEnd"/>
      <w:r w:rsidRPr="00A44834">
        <w:rPr>
          <w:szCs w:val="28"/>
        </w:rPr>
        <w:t xml:space="preserve">. </w:t>
      </w:r>
    </w:p>
    <w:p w:rsidR="00386101" w:rsidRPr="00A44834" w:rsidRDefault="00386101" w:rsidP="00386101">
      <w:pPr>
        <w:spacing w:line="360" w:lineRule="auto"/>
        <w:rPr>
          <w:szCs w:val="28"/>
        </w:rPr>
      </w:pPr>
      <w:r w:rsidRPr="00A44834">
        <w:rPr>
          <w:szCs w:val="28"/>
        </w:rPr>
        <w:t xml:space="preserve"> </w:t>
      </w:r>
    </w:p>
    <w:p w:rsidR="00386101" w:rsidRPr="00A44834" w:rsidRDefault="000078D8" w:rsidP="00386101">
      <w:pPr>
        <w:numPr>
          <w:ilvl w:val="0"/>
          <w:numId w:val="17"/>
        </w:numPr>
        <w:tabs>
          <w:tab w:val="clear" w:pos="4320"/>
          <w:tab w:val="clear" w:pos="9072"/>
        </w:tabs>
        <w:snapToGrid/>
        <w:spacing w:line="360" w:lineRule="auto"/>
        <w:ind w:left="0" w:right="61" w:firstLine="0"/>
        <w:jc w:val="both"/>
        <w:rPr>
          <w:szCs w:val="28"/>
        </w:rPr>
      </w:pPr>
      <w:r>
        <w:rPr>
          <w:szCs w:val="28"/>
        </w:rPr>
        <w:t>Hence</w:t>
      </w:r>
      <w:r w:rsidR="00386101" w:rsidRPr="00A44834">
        <w:rPr>
          <w:szCs w:val="28"/>
        </w:rPr>
        <w:t xml:space="preserve">, in the event that the </w:t>
      </w:r>
      <w:r w:rsidR="0046333F">
        <w:rPr>
          <w:szCs w:val="28"/>
        </w:rPr>
        <w:t>defendant</w:t>
      </w:r>
      <w:r w:rsidR="00386101" w:rsidRPr="00A44834">
        <w:rPr>
          <w:szCs w:val="28"/>
        </w:rPr>
        <w:t xml:space="preserve"> </w:t>
      </w:r>
      <w:r>
        <w:rPr>
          <w:szCs w:val="28"/>
        </w:rPr>
        <w:t>is</w:t>
      </w:r>
      <w:r w:rsidR="00386101" w:rsidRPr="00A44834">
        <w:rPr>
          <w:szCs w:val="28"/>
        </w:rPr>
        <w:t xml:space="preserve"> found negligent, the </w:t>
      </w:r>
      <w:r w:rsidR="0046333F">
        <w:rPr>
          <w:szCs w:val="28"/>
        </w:rPr>
        <w:t>plaintiff</w:t>
      </w:r>
      <w:r w:rsidR="00386101" w:rsidRPr="00A44834">
        <w:rPr>
          <w:szCs w:val="28"/>
        </w:rPr>
        <w:t xml:space="preserve"> may well be found contributorily liable for, amongst other things, failing to select appropriate equipment and failing to safely use said</w:t>
      </w:r>
      <w:r w:rsidR="001E5EB9">
        <w:rPr>
          <w:szCs w:val="28"/>
        </w:rPr>
        <w:t xml:space="preserve"> equipment: </w:t>
      </w:r>
      <w:r w:rsidR="00D63644">
        <w:rPr>
          <w:szCs w:val="28"/>
        </w:rPr>
        <w:t xml:space="preserve">see </w:t>
      </w:r>
      <w:r w:rsidR="001E5EB9">
        <w:rPr>
          <w:szCs w:val="28"/>
        </w:rPr>
        <w:t>§9</w:t>
      </w:r>
      <w:r w:rsidR="00D63644">
        <w:rPr>
          <w:szCs w:val="28"/>
        </w:rPr>
        <w:t xml:space="preserve"> of </w:t>
      </w:r>
      <w:proofErr w:type="spellStart"/>
      <w:r w:rsidR="00D63644">
        <w:rPr>
          <w:szCs w:val="28"/>
        </w:rPr>
        <w:t>defence</w:t>
      </w:r>
      <w:proofErr w:type="spellEnd"/>
      <w:r w:rsidR="00386101" w:rsidRPr="00A44834">
        <w:rPr>
          <w:szCs w:val="28"/>
        </w:rPr>
        <w:t xml:space="preserve">. </w:t>
      </w:r>
    </w:p>
    <w:p w:rsidR="00386101" w:rsidRPr="00A44834" w:rsidRDefault="00386101" w:rsidP="00386101">
      <w:pPr>
        <w:spacing w:line="360" w:lineRule="auto"/>
        <w:ind w:left="720"/>
        <w:rPr>
          <w:szCs w:val="28"/>
        </w:rPr>
      </w:pPr>
      <w:r w:rsidRPr="00A44834">
        <w:rPr>
          <w:szCs w:val="28"/>
        </w:rPr>
        <w:t xml:space="preserve"> </w:t>
      </w:r>
    </w:p>
    <w:p w:rsidR="00386101" w:rsidRPr="00A44834" w:rsidRDefault="00386101" w:rsidP="00386101">
      <w:pPr>
        <w:numPr>
          <w:ilvl w:val="0"/>
          <w:numId w:val="17"/>
        </w:numPr>
        <w:tabs>
          <w:tab w:val="clear" w:pos="4320"/>
          <w:tab w:val="clear" w:pos="9072"/>
        </w:tabs>
        <w:snapToGrid/>
        <w:spacing w:line="360" w:lineRule="auto"/>
        <w:ind w:left="0" w:right="61" w:firstLine="0"/>
        <w:jc w:val="both"/>
        <w:rPr>
          <w:szCs w:val="28"/>
        </w:rPr>
      </w:pPr>
      <w:r w:rsidRPr="00A44834">
        <w:rPr>
          <w:szCs w:val="28"/>
        </w:rPr>
        <w:t xml:space="preserve">It is the </w:t>
      </w:r>
      <w:r w:rsidR="0046333F">
        <w:rPr>
          <w:szCs w:val="28"/>
        </w:rPr>
        <w:t>defendant</w:t>
      </w:r>
      <w:r w:rsidRPr="00A44834">
        <w:rPr>
          <w:szCs w:val="28"/>
        </w:rPr>
        <w:t xml:space="preserve">’s case that the </w:t>
      </w:r>
      <w:r w:rsidR="0046333F">
        <w:rPr>
          <w:szCs w:val="28"/>
        </w:rPr>
        <w:t>defendant</w:t>
      </w:r>
      <w:r w:rsidRPr="00A44834">
        <w:rPr>
          <w:szCs w:val="28"/>
        </w:rPr>
        <w:t xml:space="preserve"> had seen the </w:t>
      </w:r>
      <w:r w:rsidR="0046333F">
        <w:rPr>
          <w:szCs w:val="28"/>
        </w:rPr>
        <w:t>plaintiff</w:t>
      </w:r>
      <w:r w:rsidR="005C352F">
        <w:rPr>
          <w:szCs w:val="28"/>
        </w:rPr>
        <w:t xml:space="preserve"> </w:t>
      </w:r>
      <w:r w:rsidR="00ED5F97">
        <w:rPr>
          <w:szCs w:val="28"/>
        </w:rPr>
        <w:t>“</w:t>
      </w:r>
      <w:r w:rsidRPr="00A44834">
        <w:rPr>
          <w:szCs w:val="28"/>
        </w:rPr>
        <w:t>walking the ladder</w:t>
      </w:r>
      <w:r w:rsidR="00ED5F97">
        <w:rPr>
          <w:szCs w:val="28"/>
        </w:rPr>
        <w:t>”</w:t>
      </w:r>
      <w:r w:rsidRPr="00A44834">
        <w:rPr>
          <w:szCs w:val="28"/>
        </w:rPr>
        <w:t xml:space="preserve"> whilst the </w:t>
      </w:r>
      <w:r w:rsidR="0046333F">
        <w:rPr>
          <w:szCs w:val="28"/>
        </w:rPr>
        <w:t>plaintiff</w:t>
      </w:r>
      <w:r w:rsidRPr="00A44834">
        <w:rPr>
          <w:szCs w:val="28"/>
        </w:rPr>
        <w:t xml:space="preserve"> was working in the House </w:t>
      </w:r>
      <w:r w:rsidRPr="00A44834">
        <w:rPr>
          <w:szCs w:val="28"/>
        </w:rPr>
        <w:lastRenderedPageBreak/>
        <w:t xml:space="preserve">and had expressly told the </w:t>
      </w:r>
      <w:r w:rsidR="0046333F">
        <w:rPr>
          <w:szCs w:val="28"/>
        </w:rPr>
        <w:t>plaintiff</w:t>
      </w:r>
      <w:r w:rsidRPr="00A44834">
        <w:rPr>
          <w:szCs w:val="28"/>
        </w:rPr>
        <w:t xml:space="preserve"> that doing so was extremely dangerous as the </w:t>
      </w:r>
      <w:r w:rsidR="0046333F">
        <w:rPr>
          <w:szCs w:val="28"/>
        </w:rPr>
        <w:t>plaintiff</w:t>
      </w:r>
      <w:r w:rsidRPr="00A44834">
        <w:rPr>
          <w:szCs w:val="28"/>
        </w:rPr>
        <w:t xml:space="preserve"> could easily fall and injure himself. The </w:t>
      </w:r>
      <w:r w:rsidR="0046333F">
        <w:rPr>
          <w:szCs w:val="28"/>
        </w:rPr>
        <w:t>defendant</w:t>
      </w:r>
      <w:r w:rsidRPr="00A44834">
        <w:rPr>
          <w:szCs w:val="28"/>
        </w:rPr>
        <w:t xml:space="preserve">, instead, suggested the </w:t>
      </w:r>
      <w:r w:rsidR="0046333F">
        <w:rPr>
          <w:szCs w:val="28"/>
        </w:rPr>
        <w:t>plaintiff</w:t>
      </w:r>
      <w:r w:rsidRPr="00A44834">
        <w:rPr>
          <w:szCs w:val="28"/>
        </w:rPr>
        <w:t xml:space="preserve"> to adopt a much safer approach, to </w:t>
      </w:r>
      <w:r w:rsidRPr="00A44834">
        <w:rPr>
          <w:rFonts w:eastAsia="Times New Roman"/>
          <w:i/>
          <w:szCs w:val="28"/>
        </w:rPr>
        <w:t>“… first dismount the ladder, move the ladder to the required position, and then safely mount the ladder, again”</w:t>
      </w:r>
      <w:r w:rsidRPr="00A44834">
        <w:rPr>
          <w:szCs w:val="28"/>
        </w:rPr>
        <w:t xml:space="preserve">: </w:t>
      </w:r>
      <w:r w:rsidR="00ED5F97">
        <w:rPr>
          <w:szCs w:val="28"/>
        </w:rPr>
        <w:t>see</w:t>
      </w:r>
      <w:r w:rsidR="001E5EB9">
        <w:rPr>
          <w:szCs w:val="28"/>
        </w:rPr>
        <w:t xml:space="preserve"> §18</w:t>
      </w:r>
      <w:r w:rsidR="00ED5F97">
        <w:rPr>
          <w:szCs w:val="28"/>
        </w:rPr>
        <w:t xml:space="preserve"> of the defendant’s affirmation</w:t>
      </w:r>
      <w:r w:rsidRPr="00A44834">
        <w:rPr>
          <w:szCs w:val="28"/>
        </w:rPr>
        <w:t xml:space="preserve">. </w:t>
      </w:r>
    </w:p>
    <w:p w:rsidR="00386101" w:rsidRPr="00A44834" w:rsidRDefault="00386101" w:rsidP="00386101">
      <w:pPr>
        <w:spacing w:line="360" w:lineRule="auto"/>
        <w:ind w:left="720"/>
        <w:rPr>
          <w:szCs w:val="28"/>
        </w:rPr>
      </w:pPr>
      <w:r w:rsidRPr="00A44834">
        <w:rPr>
          <w:szCs w:val="28"/>
        </w:rPr>
        <w:t xml:space="preserve"> </w:t>
      </w:r>
    </w:p>
    <w:p w:rsidR="00386101" w:rsidRPr="00A44834" w:rsidRDefault="00386101" w:rsidP="00386101">
      <w:pPr>
        <w:numPr>
          <w:ilvl w:val="0"/>
          <w:numId w:val="17"/>
        </w:numPr>
        <w:tabs>
          <w:tab w:val="clear" w:pos="4320"/>
          <w:tab w:val="clear" w:pos="9072"/>
        </w:tabs>
        <w:snapToGrid/>
        <w:spacing w:line="360" w:lineRule="auto"/>
        <w:ind w:left="0" w:right="61" w:firstLine="0"/>
        <w:jc w:val="both"/>
        <w:rPr>
          <w:szCs w:val="28"/>
        </w:rPr>
      </w:pPr>
      <w:r w:rsidRPr="00A44834">
        <w:rPr>
          <w:szCs w:val="28"/>
        </w:rPr>
        <w:t xml:space="preserve">Whilst the </w:t>
      </w:r>
      <w:r w:rsidR="0046333F">
        <w:rPr>
          <w:szCs w:val="28"/>
        </w:rPr>
        <w:t>plaintiff</w:t>
      </w:r>
      <w:r w:rsidRPr="00A44834">
        <w:rPr>
          <w:szCs w:val="28"/>
        </w:rPr>
        <w:t xml:space="preserve"> denies that the </w:t>
      </w:r>
      <w:r w:rsidR="0046333F">
        <w:rPr>
          <w:szCs w:val="28"/>
        </w:rPr>
        <w:t>defendant</w:t>
      </w:r>
      <w:r w:rsidRPr="00A44834">
        <w:rPr>
          <w:szCs w:val="28"/>
        </w:rPr>
        <w:t xml:space="preserve"> had any discussion with the him that the </w:t>
      </w:r>
      <w:r w:rsidR="0046333F">
        <w:rPr>
          <w:szCs w:val="28"/>
        </w:rPr>
        <w:t>plaintiff</w:t>
      </w:r>
      <w:r w:rsidRPr="00A44834">
        <w:rPr>
          <w:szCs w:val="28"/>
        </w:rPr>
        <w:t xml:space="preserve"> was </w:t>
      </w:r>
      <w:r w:rsidR="00ED5F97">
        <w:rPr>
          <w:szCs w:val="28"/>
        </w:rPr>
        <w:t>“</w:t>
      </w:r>
      <w:r w:rsidR="005C352F">
        <w:rPr>
          <w:szCs w:val="28"/>
        </w:rPr>
        <w:t>walking the ladder”</w:t>
      </w:r>
      <w:r w:rsidRPr="00A44834">
        <w:rPr>
          <w:szCs w:val="28"/>
        </w:rPr>
        <w:t xml:space="preserve">, the </w:t>
      </w:r>
      <w:r w:rsidR="0046333F">
        <w:rPr>
          <w:szCs w:val="28"/>
        </w:rPr>
        <w:t>plaintiff</w:t>
      </w:r>
      <w:r w:rsidRPr="00A44834">
        <w:rPr>
          <w:szCs w:val="28"/>
        </w:rPr>
        <w:t xml:space="preserve"> expressly admits that he did in fact </w:t>
      </w:r>
      <w:r w:rsidR="00A519E3">
        <w:rPr>
          <w:szCs w:val="28"/>
        </w:rPr>
        <w:t>“</w:t>
      </w:r>
      <w:r w:rsidRPr="00A44834">
        <w:rPr>
          <w:szCs w:val="28"/>
        </w:rPr>
        <w:t>walk the ladder</w:t>
      </w:r>
      <w:r w:rsidR="00A519E3">
        <w:rPr>
          <w:szCs w:val="28"/>
        </w:rPr>
        <w:t>”</w:t>
      </w:r>
      <w:r w:rsidR="005C352F">
        <w:rPr>
          <w:szCs w:val="28"/>
        </w:rPr>
        <w:t xml:space="preserve"> </w:t>
      </w:r>
      <w:r w:rsidRPr="00A44834">
        <w:rPr>
          <w:szCs w:val="28"/>
        </w:rPr>
        <w:t xml:space="preserve">due to his own laziness and as </w:t>
      </w:r>
      <w:r w:rsidR="007E28F9">
        <w:rPr>
          <w:szCs w:val="28"/>
        </w:rPr>
        <w:t>it was</w:t>
      </w:r>
      <w:r w:rsidRPr="00A44834">
        <w:rPr>
          <w:szCs w:val="28"/>
        </w:rPr>
        <w:t xml:space="preserve"> apparently the </w:t>
      </w:r>
      <w:r w:rsidR="00A519E3">
        <w:rPr>
          <w:szCs w:val="28"/>
        </w:rPr>
        <w:t>“</w:t>
      </w:r>
      <w:r w:rsidRPr="00A44834">
        <w:rPr>
          <w:szCs w:val="28"/>
        </w:rPr>
        <w:t>usual practice</w:t>
      </w:r>
      <w:r w:rsidR="00A519E3">
        <w:rPr>
          <w:szCs w:val="28"/>
        </w:rPr>
        <w:t>”</w:t>
      </w:r>
      <w:r w:rsidRPr="00A44834">
        <w:rPr>
          <w:szCs w:val="28"/>
        </w:rPr>
        <w:t xml:space="preserve"> by workers in the </w:t>
      </w:r>
      <w:r w:rsidR="0046333F">
        <w:rPr>
          <w:szCs w:val="28"/>
        </w:rPr>
        <w:t>plaintiff</w:t>
      </w:r>
      <w:r w:rsidRPr="00A44834">
        <w:rPr>
          <w:szCs w:val="28"/>
        </w:rPr>
        <w:t xml:space="preserve">’s position: </w:t>
      </w:r>
      <w:r w:rsidR="00A519E3">
        <w:rPr>
          <w:szCs w:val="28"/>
        </w:rPr>
        <w:t xml:space="preserve">see </w:t>
      </w:r>
      <w:r w:rsidR="005C352F">
        <w:rPr>
          <w:szCs w:val="28"/>
        </w:rPr>
        <w:t>§</w:t>
      </w:r>
      <w:r w:rsidR="001E5EB9">
        <w:rPr>
          <w:szCs w:val="28"/>
        </w:rPr>
        <w:t>§20</w:t>
      </w:r>
      <w:r w:rsidR="00A519E3">
        <w:rPr>
          <w:szCs w:val="28"/>
        </w:rPr>
        <w:t>-</w:t>
      </w:r>
      <w:r w:rsidR="001E5EB9">
        <w:rPr>
          <w:szCs w:val="28"/>
        </w:rPr>
        <w:t>21</w:t>
      </w:r>
      <w:r w:rsidR="00A519E3">
        <w:rPr>
          <w:szCs w:val="28"/>
        </w:rPr>
        <w:t xml:space="preserve"> of the plaintiff’s 2</w:t>
      </w:r>
      <w:r w:rsidR="00A519E3" w:rsidRPr="00A519E3">
        <w:rPr>
          <w:szCs w:val="28"/>
          <w:vertAlign w:val="superscript"/>
        </w:rPr>
        <w:t>nd</w:t>
      </w:r>
      <w:r w:rsidR="00A519E3">
        <w:rPr>
          <w:szCs w:val="28"/>
        </w:rPr>
        <w:t xml:space="preserve"> affirmation. </w:t>
      </w:r>
      <w:r w:rsidRPr="00A44834">
        <w:rPr>
          <w:szCs w:val="28"/>
        </w:rPr>
        <w:t xml:space="preserve">  </w:t>
      </w:r>
    </w:p>
    <w:p w:rsidR="00386101" w:rsidRPr="00A44834" w:rsidRDefault="00386101" w:rsidP="00386101">
      <w:pPr>
        <w:spacing w:line="360" w:lineRule="auto"/>
        <w:ind w:left="720"/>
        <w:rPr>
          <w:szCs w:val="28"/>
        </w:rPr>
      </w:pPr>
      <w:r w:rsidRPr="00A44834">
        <w:rPr>
          <w:szCs w:val="28"/>
        </w:rPr>
        <w:t xml:space="preserve"> </w:t>
      </w:r>
    </w:p>
    <w:p w:rsidR="00386101" w:rsidRPr="00A44834" w:rsidRDefault="00386101" w:rsidP="00386101">
      <w:pPr>
        <w:numPr>
          <w:ilvl w:val="0"/>
          <w:numId w:val="17"/>
        </w:numPr>
        <w:tabs>
          <w:tab w:val="clear" w:pos="4320"/>
          <w:tab w:val="clear" w:pos="9072"/>
        </w:tabs>
        <w:snapToGrid/>
        <w:spacing w:line="360" w:lineRule="auto"/>
        <w:ind w:left="0" w:right="61" w:firstLine="0"/>
        <w:jc w:val="both"/>
        <w:rPr>
          <w:szCs w:val="28"/>
        </w:rPr>
      </w:pPr>
      <w:r w:rsidRPr="00A44834">
        <w:rPr>
          <w:szCs w:val="28"/>
        </w:rPr>
        <w:t xml:space="preserve">Additionally, the </w:t>
      </w:r>
      <w:r w:rsidR="0046333F">
        <w:rPr>
          <w:szCs w:val="28"/>
        </w:rPr>
        <w:t>plaintiff</w:t>
      </w:r>
      <w:r w:rsidRPr="00A44834">
        <w:rPr>
          <w:szCs w:val="28"/>
        </w:rPr>
        <w:t xml:space="preserve"> explicitly states that </w:t>
      </w:r>
      <w:r w:rsidRPr="00A44834">
        <w:rPr>
          <w:rFonts w:eastAsia="Times New Roman"/>
          <w:i/>
          <w:szCs w:val="28"/>
        </w:rPr>
        <w:t>“</w:t>
      </w:r>
      <w:r w:rsidR="008E6237">
        <w:rPr>
          <w:rFonts w:eastAsia="Times New Roman"/>
          <w:i/>
          <w:szCs w:val="28"/>
        </w:rPr>
        <w:t>(</w:t>
      </w:r>
      <w:r w:rsidRPr="00A44834">
        <w:rPr>
          <w:rFonts w:eastAsia="Times New Roman"/>
          <w:i/>
          <w:szCs w:val="28"/>
        </w:rPr>
        <w:t>N</w:t>
      </w:r>
      <w:r w:rsidR="008E6237">
        <w:rPr>
          <w:rFonts w:eastAsia="Times New Roman"/>
          <w:i/>
          <w:szCs w:val="28"/>
        </w:rPr>
        <w:t>)</w:t>
      </w:r>
      <w:proofErr w:type="spellStart"/>
      <w:r w:rsidRPr="00A44834">
        <w:rPr>
          <w:rFonts w:eastAsia="Times New Roman"/>
          <w:i/>
          <w:szCs w:val="28"/>
        </w:rPr>
        <w:t>o</w:t>
      </w:r>
      <w:proofErr w:type="spellEnd"/>
      <w:r w:rsidRPr="00A44834">
        <w:rPr>
          <w:rFonts w:eastAsia="Times New Roman"/>
          <w:i/>
          <w:szCs w:val="28"/>
        </w:rPr>
        <w:t xml:space="preserve"> one would do it in the way suggested by the </w:t>
      </w:r>
      <w:r w:rsidR="008E6237">
        <w:rPr>
          <w:rFonts w:eastAsia="Times New Roman"/>
          <w:i/>
          <w:szCs w:val="28"/>
        </w:rPr>
        <w:t>D</w:t>
      </w:r>
      <w:r w:rsidR="0046333F">
        <w:rPr>
          <w:rFonts w:eastAsia="Times New Roman"/>
          <w:i/>
          <w:szCs w:val="28"/>
        </w:rPr>
        <w:t>efendant</w:t>
      </w:r>
      <w:r w:rsidRPr="00A44834">
        <w:rPr>
          <w:rFonts w:eastAsia="Times New Roman"/>
          <w:i/>
          <w:szCs w:val="28"/>
        </w:rPr>
        <w:t>, otherwise all such works would take double the time to finish”</w:t>
      </w:r>
      <w:r w:rsidRPr="00A44834">
        <w:rPr>
          <w:szCs w:val="28"/>
        </w:rPr>
        <w:t xml:space="preserve">: </w:t>
      </w:r>
      <w:r w:rsidR="00A519E3">
        <w:rPr>
          <w:szCs w:val="28"/>
        </w:rPr>
        <w:t xml:space="preserve">see </w:t>
      </w:r>
      <w:r w:rsidR="001E5EB9">
        <w:rPr>
          <w:szCs w:val="28"/>
        </w:rPr>
        <w:t>§21</w:t>
      </w:r>
      <w:r w:rsidR="00A519E3">
        <w:rPr>
          <w:szCs w:val="28"/>
        </w:rPr>
        <w:t xml:space="preserve"> of the plaintiff’s 2</w:t>
      </w:r>
      <w:r w:rsidR="00A519E3" w:rsidRPr="00A519E3">
        <w:rPr>
          <w:szCs w:val="28"/>
          <w:vertAlign w:val="superscript"/>
        </w:rPr>
        <w:t>nd</w:t>
      </w:r>
      <w:r w:rsidR="00A519E3">
        <w:rPr>
          <w:szCs w:val="28"/>
        </w:rPr>
        <w:t xml:space="preserve"> affirmation. </w:t>
      </w:r>
      <w:r w:rsidRPr="00A44834">
        <w:rPr>
          <w:szCs w:val="28"/>
        </w:rPr>
        <w:t xml:space="preserve"> </w:t>
      </w:r>
      <w:r w:rsidR="00A519E3">
        <w:rPr>
          <w:szCs w:val="28"/>
        </w:rPr>
        <w:t xml:space="preserve">Thus, arguably it can be said that </w:t>
      </w:r>
      <w:r w:rsidRPr="00A44834">
        <w:rPr>
          <w:szCs w:val="28"/>
        </w:rPr>
        <w:t xml:space="preserve">the </w:t>
      </w:r>
      <w:r w:rsidR="0046333F">
        <w:rPr>
          <w:szCs w:val="28"/>
        </w:rPr>
        <w:t>plaintiff</w:t>
      </w:r>
      <w:r w:rsidRPr="00A44834">
        <w:rPr>
          <w:szCs w:val="28"/>
        </w:rPr>
        <w:t xml:space="preserve"> chose not to ad</w:t>
      </w:r>
      <w:r w:rsidR="00A519E3">
        <w:rPr>
          <w:szCs w:val="28"/>
        </w:rPr>
        <w:t>opt a safe approach to his work;</w:t>
      </w:r>
      <w:r w:rsidRPr="00A44834">
        <w:rPr>
          <w:szCs w:val="28"/>
        </w:rPr>
        <w:t xml:space="preserve"> had no regard for his own safety</w:t>
      </w:r>
      <w:r w:rsidR="00A519E3">
        <w:rPr>
          <w:szCs w:val="28"/>
        </w:rPr>
        <w:t>;</w:t>
      </w:r>
      <w:r w:rsidRPr="00A44834">
        <w:rPr>
          <w:szCs w:val="28"/>
        </w:rPr>
        <w:t xml:space="preserve"> and had knowingly exposed himself to unnecessary risk or damage or injury. </w:t>
      </w:r>
    </w:p>
    <w:p w:rsidR="00386101" w:rsidRPr="00A44834" w:rsidRDefault="00386101" w:rsidP="00386101">
      <w:pPr>
        <w:spacing w:line="360" w:lineRule="auto"/>
        <w:ind w:left="720"/>
        <w:rPr>
          <w:szCs w:val="28"/>
        </w:rPr>
      </w:pPr>
      <w:r w:rsidRPr="00A44834">
        <w:rPr>
          <w:szCs w:val="28"/>
        </w:rPr>
        <w:t xml:space="preserve"> </w:t>
      </w:r>
    </w:p>
    <w:p w:rsidR="00386101" w:rsidRPr="00DB04F3" w:rsidRDefault="00386101" w:rsidP="00386101">
      <w:pPr>
        <w:numPr>
          <w:ilvl w:val="0"/>
          <w:numId w:val="17"/>
        </w:numPr>
        <w:tabs>
          <w:tab w:val="clear" w:pos="4320"/>
          <w:tab w:val="clear" w:pos="9072"/>
        </w:tabs>
        <w:snapToGrid/>
        <w:spacing w:line="360" w:lineRule="auto"/>
        <w:ind w:left="0" w:right="61" w:firstLine="0"/>
        <w:jc w:val="both"/>
        <w:rPr>
          <w:szCs w:val="28"/>
        </w:rPr>
      </w:pPr>
      <w:r w:rsidRPr="00A44834">
        <w:rPr>
          <w:szCs w:val="28"/>
        </w:rPr>
        <w:t xml:space="preserve">Similarly, it was only first mentioned in </w:t>
      </w:r>
      <w:r w:rsidR="008E6237">
        <w:rPr>
          <w:szCs w:val="28"/>
        </w:rPr>
        <w:t>the plaintiff’s</w:t>
      </w:r>
      <w:r w:rsidR="00A519E3">
        <w:rPr>
          <w:szCs w:val="28"/>
        </w:rPr>
        <w:t xml:space="preserve"> </w:t>
      </w:r>
      <w:r w:rsidRPr="00A44834">
        <w:rPr>
          <w:szCs w:val="28"/>
        </w:rPr>
        <w:t>1</w:t>
      </w:r>
      <w:r w:rsidRPr="00A44834">
        <w:rPr>
          <w:szCs w:val="28"/>
          <w:vertAlign w:val="superscript"/>
        </w:rPr>
        <w:t>st</w:t>
      </w:r>
      <w:r w:rsidRPr="00A44834">
        <w:rPr>
          <w:szCs w:val="28"/>
        </w:rPr>
        <w:t xml:space="preserve"> </w:t>
      </w:r>
      <w:r w:rsidR="00A519E3">
        <w:rPr>
          <w:szCs w:val="28"/>
        </w:rPr>
        <w:t xml:space="preserve">affirmation </w:t>
      </w:r>
      <w:r w:rsidRPr="00A44834">
        <w:rPr>
          <w:szCs w:val="28"/>
        </w:rPr>
        <w:t xml:space="preserve">that the </w:t>
      </w:r>
      <w:r w:rsidRPr="00A44834">
        <w:rPr>
          <w:rFonts w:eastAsia="Times New Roman"/>
          <w:i/>
          <w:szCs w:val="28"/>
        </w:rPr>
        <w:t>“works [at the House] had to be done as soon as possible as [the workers] were in a rush and did not have much time left”</w:t>
      </w:r>
      <w:r w:rsidRPr="00A44834">
        <w:rPr>
          <w:szCs w:val="28"/>
        </w:rPr>
        <w:t xml:space="preserve">: </w:t>
      </w:r>
      <w:r w:rsidR="008E6237">
        <w:rPr>
          <w:szCs w:val="28"/>
        </w:rPr>
        <w:t>see</w:t>
      </w:r>
      <w:r w:rsidR="001E5EB9">
        <w:rPr>
          <w:szCs w:val="28"/>
        </w:rPr>
        <w:t xml:space="preserve"> §20</w:t>
      </w:r>
      <w:r w:rsidR="008E6237">
        <w:rPr>
          <w:szCs w:val="28"/>
        </w:rPr>
        <w:t xml:space="preserve"> of the plaintiff’s 1</w:t>
      </w:r>
      <w:r w:rsidR="008E6237" w:rsidRPr="008E6237">
        <w:rPr>
          <w:szCs w:val="28"/>
          <w:vertAlign w:val="superscript"/>
        </w:rPr>
        <w:t>st</w:t>
      </w:r>
      <w:r w:rsidR="008E6237">
        <w:rPr>
          <w:szCs w:val="28"/>
        </w:rPr>
        <w:t xml:space="preserve"> affirmation</w:t>
      </w:r>
      <w:r w:rsidRPr="00A44834">
        <w:rPr>
          <w:szCs w:val="28"/>
        </w:rPr>
        <w:t xml:space="preserve">. In none of the pleadings does the </w:t>
      </w:r>
      <w:r w:rsidR="0046333F">
        <w:rPr>
          <w:szCs w:val="28"/>
        </w:rPr>
        <w:t>plaintiff</w:t>
      </w:r>
      <w:r w:rsidRPr="00A44834">
        <w:rPr>
          <w:szCs w:val="28"/>
        </w:rPr>
        <w:t xml:space="preserve"> nor the </w:t>
      </w:r>
      <w:r w:rsidR="0046333F">
        <w:rPr>
          <w:szCs w:val="28"/>
        </w:rPr>
        <w:t>defendant</w:t>
      </w:r>
      <w:r w:rsidRPr="00A44834">
        <w:rPr>
          <w:szCs w:val="28"/>
        </w:rPr>
        <w:t xml:space="preserve"> mention that the project was rushed. In fact, it is unlikely that the </w:t>
      </w:r>
      <w:r w:rsidR="0046333F">
        <w:rPr>
          <w:szCs w:val="28"/>
        </w:rPr>
        <w:t>plaintiff</w:t>
      </w:r>
      <w:r w:rsidRPr="00A44834">
        <w:rPr>
          <w:szCs w:val="28"/>
        </w:rPr>
        <w:t xml:space="preserve"> was </w:t>
      </w:r>
      <w:r w:rsidRPr="008E6237">
        <w:rPr>
          <w:rFonts w:eastAsia="Times New Roman"/>
          <w:szCs w:val="28"/>
        </w:rPr>
        <w:t>so</w:t>
      </w:r>
      <w:r w:rsidRPr="00A44834">
        <w:rPr>
          <w:rFonts w:eastAsia="Times New Roman"/>
          <w:i/>
          <w:szCs w:val="28"/>
        </w:rPr>
        <w:t xml:space="preserve"> </w:t>
      </w:r>
      <w:r w:rsidRPr="00A44834">
        <w:rPr>
          <w:szCs w:val="28"/>
        </w:rPr>
        <w:t xml:space="preserve">rushed in his work as this was merely the second day </w:t>
      </w:r>
      <w:r w:rsidR="008E6237">
        <w:rPr>
          <w:szCs w:val="28"/>
        </w:rPr>
        <w:t xml:space="preserve">on which </w:t>
      </w:r>
      <w:r w:rsidRPr="00A44834">
        <w:rPr>
          <w:szCs w:val="28"/>
        </w:rPr>
        <w:t xml:space="preserve">the </w:t>
      </w:r>
      <w:r w:rsidR="0046333F">
        <w:rPr>
          <w:szCs w:val="28"/>
        </w:rPr>
        <w:t>plaintiff</w:t>
      </w:r>
      <w:r w:rsidRPr="00A44834">
        <w:rPr>
          <w:szCs w:val="28"/>
        </w:rPr>
        <w:t xml:space="preserve"> </w:t>
      </w:r>
      <w:r w:rsidR="008E6237">
        <w:rPr>
          <w:szCs w:val="28"/>
        </w:rPr>
        <w:t xml:space="preserve">had </w:t>
      </w:r>
      <w:r w:rsidRPr="00A44834">
        <w:rPr>
          <w:szCs w:val="28"/>
        </w:rPr>
        <w:t xml:space="preserve">worked in the House before the Accident occurred. Likewise, </w:t>
      </w:r>
      <w:r w:rsidR="008E6237">
        <w:rPr>
          <w:szCs w:val="28"/>
        </w:rPr>
        <w:t xml:space="preserve">it is open to question as to </w:t>
      </w:r>
      <w:r w:rsidRPr="00A44834">
        <w:rPr>
          <w:szCs w:val="28"/>
        </w:rPr>
        <w:t>why did t</w:t>
      </w:r>
      <w:r>
        <w:rPr>
          <w:szCs w:val="28"/>
        </w:rPr>
        <w:t xml:space="preserve">he </w:t>
      </w:r>
      <w:r w:rsidR="0046333F">
        <w:rPr>
          <w:szCs w:val="28"/>
        </w:rPr>
        <w:t>plaintiff</w:t>
      </w:r>
      <w:r>
        <w:rPr>
          <w:szCs w:val="28"/>
        </w:rPr>
        <w:t xml:space="preserve"> not first complete </w:t>
      </w:r>
      <w:r w:rsidRPr="00DB04F3">
        <w:rPr>
          <w:rFonts w:eastAsia="Times New Roman"/>
          <w:i/>
          <w:szCs w:val="28"/>
        </w:rPr>
        <w:t xml:space="preserve">“other works which did not involve the </w:t>
      </w:r>
      <w:r w:rsidRPr="00DB04F3">
        <w:rPr>
          <w:rFonts w:eastAsia="Times New Roman"/>
          <w:i/>
          <w:szCs w:val="28"/>
        </w:rPr>
        <w:lastRenderedPageBreak/>
        <w:t>ceiling… [where] a 4-step ladder would be more suitable”</w:t>
      </w:r>
      <w:r w:rsidRPr="00DB04F3">
        <w:rPr>
          <w:szCs w:val="28"/>
        </w:rPr>
        <w:t xml:space="preserve">: </w:t>
      </w:r>
      <w:r>
        <w:rPr>
          <w:szCs w:val="28"/>
        </w:rPr>
        <w:t>§12</w:t>
      </w:r>
      <w:r w:rsidR="00A519E3">
        <w:rPr>
          <w:szCs w:val="28"/>
        </w:rPr>
        <w:t xml:space="preserve"> of the plaintiff’s 1</w:t>
      </w:r>
      <w:r w:rsidR="00A519E3" w:rsidRPr="00A519E3">
        <w:rPr>
          <w:szCs w:val="28"/>
          <w:vertAlign w:val="superscript"/>
        </w:rPr>
        <w:t>st</w:t>
      </w:r>
      <w:r w:rsidR="00A519E3">
        <w:rPr>
          <w:szCs w:val="28"/>
        </w:rPr>
        <w:t xml:space="preserve"> affirmation. </w:t>
      </w:r>
      <w:r w:rsidRPr="00DB04F3">
        <w:rPr>
          <w:szCs w:val="28"/>
        </w:rPr>
        <w:t xml:space="preserve">  </w:t>
      </w:r>
    </w:p>
    <w:p w:rsidR="00386101" w:rsidRPr="00A44834" w:rsidRDefault="00386101" w:rsidP="00386101">
      <w:pPr>
        <w:spacing w:line="360" w:lineRule="auto"/>
        <w:rPr>
          <w:szCs w:val="28"/>
        </w:rPr>
      </w:pPr>
      <w:r w:rsidRPr="00A44834">
        <w:rPr>
          <w:szCs w:val="28"/>
        </w:rPr>
        <w:t xml:space="preserve"> </w:t>
      </w:r>
    </w:p>
    <w:p w:rsidR="00386101" w:rsidRPr="008E6237" w:rsidRDefault="007D3E79" w:rsidP="008E6237">
      <w:pPr>
        <w:numPr>
          <w:ilvl w:val="0"/>
          <w:numId w:val="17"/>
        </w:numPr>
        <w:tabs>
          <w:tab w:val="clear" w:pos="4320"/>
          <w:tab w:val="clear" w:pos="9072"/>
        </w:tabs>
        <w:snapToGrid/>
        <w:spacing w:line="360" w:lineRule="auto"/>
        <w:ind w:left="0" w:right="61" w:firstLine="0"/>
        <w:jc w:val="both"/>
        <w:rPr>
          <w:szCs w:val="28"/>
        </w:rPr>
      </w:pPr>
      <w:r>
        <w:rPr>
          <w:szCs w:val="28"/>
        </w:rPr>
        <w:t xml:space="preserve">I agree with </w:t>
      </w:r>
      <w:proofErr w:type="spellStart"/>
      <w:r>
        <w:rPr>
          <w:szCs w:val="28"/>
        </w:rPr>
        <w:t>Mr</w:t>
      </w:r>
      <w:proofErr w:type="spellEnd"/>
      <w:r>
        <w:rPr>
          <w:szCs w:val="28"/>
        </w:rPr>
        <w:t xml:space="preserve"> Leo</w:t>
      </w:r>
      <w:r w:rsidR="007E28F9">
        <w:rPr>
          <w:szCs w:val="28"/>
        </w:rPr>
        <w:t>n Chan for the defendant that the present hearing</w:t>
      </w:r>
      <w:r>
        <w:rPr>
          <w:szCs w:val="28"/>
        </w:rPr>
        <w:t xml:space="preserve"> </w:t>
      </w:r>
      <w:r w:rsidR="00386101" w:rsidRPr="00A44834">
        <w:rPr>
          <w:szCs w:val="28"/>
        </w:rPr>
        <w:t xml:space="preserve">may not be </w:t>
      </w:r>
      <w:r>
        <w:rPr>
          <w:szCs w:val="28"/>
        </w:rPr>
        <w:t xml:space="preserve">the </w:t>
      </w:r>
      <w:r w:rsidR="00386101" w:rsidRPr="00A44834">
        <w:rPr>
          <w:szCs w:val="28"/>
        </w:rPr>
        <w:t xml:space="preserve">appropriate forum to go into detail on </w:t>
      </w:r>
      <w:r>
        <w:rPr>
          <w:szCs w:val="28"/>
        </w:rPr>
        <w:t xml:space="preserve">the </w:t>
      </w:r>
      <w:r w:rsidR="00386101" w:rsidRPr="00A44834">
        <w:rPr>
          <w:szCs w:val="28"/>
        </w:rPr>
        <w:t>contributory negligence</w:t>
      </w:r>
      <w:r>
        <w:rPr>
          <w:szCs w:val="28"/>
        </w:rPr>
        <w:t xml:space="preserve"> issue.  However, there are ample authorities to suggest that a worker working in similar circumstances </w:t>
      </w:r>
      <w:r w:rsidR="00B85AE4">
        <w:rPr>
          <w:szCs w:val="28"/>
        </w:rPr>
        <w:t>can be held</w:t>
      </w:r>
      <w:r>
        <w:rPr>
          <w:szCs w:val="28"/>
        </w:rPr>
        <w:t xml:space="preserve"> liable </w:t>
      </w:r>
      <w:r w:rsidR="00B85AE4">
        <w:rPr>
          <w:szCs w:val="28"/>
        </w:rPr>
        <w:t xml:space="preserve">in contributory negligence.  Thus, in my view, liability </w:t>
      </w:r>
      <w:r w:rsidR="00386101" w:rsidRPr="00A44834">
        <w:rPr>
          <w:szCs w:val="28"/>
        </w:rPr>
        <w:t xml:space="preserve">is </w:t>
      </w:r>
      <w:r w:rsidR="00B85AE4">
        <w:rPr>
          <w:szCs w:val="28"/>
        </w:rPr>
        <w:t xml:space="preserve">still </w:t>
      </w:r>
      <w:r w:rsidR="00386101" w:rsidRPr="00A44834">
        <w:rPr>
          <w:szCs w:val="28"/>
        </w:rPr>
        <w:t>very much a live issue</w:t>
      </w:r>
      <w:r w:rsidR="00B85AE4">
        <w:rPr>
          <w:szCs w:val="28"/>
        </w:rPr>
        <w:t xml:space="preserve"> in this case</w:t>
      </w:r>
      <w:r w:rsidR="00386101" w:rsidRPr="00A44834">
        <w:rPr>
          <w:szCs w:val="28"/>
        </w:rPr>
        <w:t>.</w:t>
      </w:r>
      <w:r w:rsidR="00B85AE4">
        <w:rPr>
          <w:szCs w:val="28"/>
        </w:rPr>
        <w:t xml:space="preserve">  </w:t>
      </w:r>
      <w:r w:rsidR="00386101" w:rsidRPr="00A44834">
        <w:rPr>
          <w:szCs w:val="28"/>
        </w:rPr>
        <w:t xml:space="preserve">  </w:t>
      </w:r>
      <w:r w:rsidR="00B85AE4" w:rsidRPr="008E6237">
        <w:rPr>
          <w:szCs w:val="28"/>
        </w:rPr>
        <w:t xml:space="preserve"> </w:t>
      </w:r>
    </w:p>
    <w:p w:rsidR="00394D24" w:rsidRDefault="00394D24" w:rsidP="00394D24">
      <w:pPr>
        <w:tabs>
          <w:tab w:val="clear" w:pos="4320"/>
          <w:tab w:val="clear" w:pos="9072"/>
        </w:tabs>
        <w:snapToGrid/>
        <w:spacing w:line="360" w:lineRule="auto"/>
        <w:ind w:right="61"/>
        <w:jc w:val="both"/>
        <w:rPr>
          <w:szCs w:val="28"/>
        </w:rPr>
      </w:pPr>
    </w:p>
    <w:p w:rsidR="00394D24" w:rsidRPr="007C0FC8" w:rsidRDefault="00394D24" w:rsidP="00394D24">
      <w:pPr>
        <w:pStyle w:val="ListParagraph"/>
        <w:spacing w:line="360" w:lineRule="auto"/>
        <w:ind w:left="0"/>
        <w:jc w:val="both"/>
        <w:rPr>
          <w:i/>
        </w:rPr>
      </w:pPr>
      <w:r w:rsidRPr="007C0FC8">
        <w:rPr>
          <w:i/>
        </w:rPr>
        <w:t>(</w:t>
      </w:r>
      <w:r w:rsidR="00B85AE4">
        <w:rPr>
          <w:i/>
        </w:rPr>
        <w:t>b</w:t>
      </w:r>
      <w:r w:rsidRPr="007C0FC8">
        <w:rPr>
          <w:i/>
        </w:rPr>
        <w:t>) Res Judicata</w:t>
      </w:r>
      <w:r w:rsidR="00B85AE4">
        <w:rPr>
          <w:i/>
        </w:rPr>
        <w:t xml:space="preserve"> </w:t>
      </w:r>
      <w:r w:rsidRPr="007C0FC8">
        <w:rPr>
          <w:i/>
        </w:rPr>
        <w:t>/</w:t>
      </w:r>
      <w:r w:rsidR="00B85AE4">
        <w:rPr>
          <w:i/>
        </w:rPr>
        <w:t xml:space="preserve"> </w:t>
      </w:r>
      <w:r w:rsidRPr="007C0FC8">
        <w:rPr>
          <w:i/>
        </w:rPr>
        <w:t>Issue Estoppel</w:t>
      </w:r>
      <w:r w:rsidR="00B85AE4">
        <w:rPr>
          <w:i/>
        </w:rPr>
        <w:t xml:space="preserve"> </w:t>
      </w:r>
    </w:p>
    <w:p w:rsidR="00394D24" w:rsidRPr="00947A6A" w:rsidRDefault="00394D24" w:rsidP="00394D24">
      <w:pPr>
        <w:pStyle w:val="ListParagraph"/>
        <w:spacing w:line="360" w:lineRule="auto"/>
        <w:ind w:left="0"/>
        <w:jc w:val="both"/>
      </w:pPr>
    </w:p>
    <w:p w:rsidR="00394D24" w:rsidRDefault="00394D24" w:rsidP="00394D24">
      <w:pPr>
        <w:numPr>
          <w:ilvl w:val="0"/>
          <w:numId w:val="17"/>
        </w:numPr>
        <w:tabs>
          <w:tab w:val="clear" w:pos="4320"/>
          <w:tab w:val="clear" w:pos="9072"/>
        </w:tabs>
        <w:snapToGrid/>
        <w:spacing w:line="360" w:lineRule="auto"/>
        <w:ind w:left="0" w:right="61" w:firstLine="0"/>
        <w:jc w:val="both"/>
        <w:rPr>
          <w:szCs w:val="28"/>
        </w:rPr>
      </w:pPr>
      <w:r w:rsidRPr="00A44834">
        <w:rPr>
          <w:szCs w:val="28"/>
        </w:rPr>
        <w:t xml:space="preserve">In the </w:t>
      </w:r>
      <w:r w:rsidR="007E28F9">
        <w:rPr>
          <w:szCs w:val="28"/>
        </w:rPr>
        <w:t>EC Case J</w:t>
      </w:r>
      <w:r w:rsidRPr="00A44834">
        <w:rPr>
          <w:szCs w:val="28"/>
        </w:rPr>
        <w:t>udgment</w:t>
      </w:r>
      <w:r w:rsidR="003C19A2">
        <w:rPr>
          <w:szCs w:val="28"/>
        </w:rPr>
        <w:t xml:space="preserve">, </w:t>
      </w:r>
      <w:r w:rsidRPr="00A44834">
        <w:rPr>
          <w:szCs w:val="28"/>
        </w:rPr>
        <w:t xml:space="preserve">HH Judge </w:t>
      </w:r>
      <w:r w:rsidR="003C19A2">
        <w:rPr>
          <w:szCs w:val="28"/>
        </w:rPr>
        <w:t xml:space="preserve">Harold </w:t>
      </w:r>
      <w:r w:rsidRPr="00A44834">
        <w:rPr>
          <w:szCs w:val="28"/>
        </w:rPr>
        <w:t xml:space="preserve">Leong ruled that the </w:t>
      </w:r>
      <w:r>
        <w:rPr>
          <w:szCs w:val="28"/>
        </w:rPr>
        <w:t>plaintiff</w:t>
      </w:r>
      <w:r w:rsidRPr="00A44834">
        <w:rPr>
          <w:szCs w:val="28"/>
        </w:rPr>
        <w:t xml:space="preserve"> earned a total income of HK$100,000 in the 12 months preceding the </w:t>
      </w:r>
      <w:r w:rsidRPr="00DB04F3">
        <w:rPr>
          <w:szCs w:val="28"/>
        </w:rPr>
        <w:t xml:space="preserve">Accident. </w:t>
      </w:r>
      <w:r w:rsidR="003C19A2">
        <w:rPr>
          <w:szCs w:val="28"/>
        </w:rPr>
        <w:t xml:space="preserve"> </w:t>
      </w:r>
      <w:r w:rsidRPr="00DB04F3">
        <w:rPr>
          <w:szCs w:val="28"/>
        </w:rPr>
        <w:t xml:space="preserve">Accordingly, it was held that the monthly income of the </w:t>
      </w:r>
      <w:r>
        <w:rPr>
          <w:szCs w:val="28"/>
        </w:rPr>
        <w:t>plaintiff</w:t>
      </w:r>
      <w:r w:rsidRPr="00DB04F3">
        <w:rPr>
          <w:szCs w:val="28"/>
        </w:rPr>
        <w:t xml:space="preserve"> was HK$8,333</w:t>
      </w:r>
      <w:r>
        <w:rPr>
          <w:szCs w:val="28"/>
        </w:rPr>
        <w:t xml:space="preserve">: </w:t>
      </w:r>
      <w:r w:rsidR="003C19A2">
        <w:rPr>
          <w:szCs w:val="28"/>
        </w:rPr>
        <w:t xml:space="preserve">See </w:t>
      </w:r>
      <w:r>
        <w:rPr>
          <w:szCs w:val="28"/>
        </w:rPr>
        <w:t>§44</w:t>
      </w:r>
      <w:r w:rsidR="003C19A2">
        <w:rPr>
          <w:szCs w:val="28"/>
        </w:rPr>
        <w:t xml:space="preserve"> </w:t>
      </w:r>
      <w:r w:rsidR="00CD1AB9">
        <w:rPr>
          <w:szCs w:val="28"/>
        </w:rPr>
        <w:t xml:space="preserve">of the </w:t>
      </w:r>
      <w:r w:rsidR="003C19A2">
        <w:rPr>
          <w:szCs w:val="28"/>
        </w:rPr>
        <w:t>EC Case Judgment</w:t>
      </w:r>
      <w:r w:rsidRPr="00DB04F3">
        <w:rPr>
          <w:szCs w:val="28"/>
        </w:rPr>
        <w:t xml:space="preserve">. </w:t>
      </w:r>
      <w:r w:rsidR="003C19A2">
        <w:rPr>
          <w:szCs w:val="28"/>
        </w:rPr>
        <w:t xml:space="preserve"> </w:t>
      </w:r>
      <w:r w:rsidRPr="00DB04F3">
        <w:rPr>
          <w:szCs w:val="28"/>
        </w:rPr>
        <w:t xml:space="preserve">This figure is </w:t>
      </w:r>
      <w:r w:rsidR="00287239">
        <w:rPr>
          <w:szCs w:val="28"/>
        </w:rPr>
        <w:t>drastically</w:t>
      </w:r>
      <w:r w:rsidR="003C19A2">
        <w:rPr>
          <w:szCs w:val="28"/>
        </w:rPr>
        <w:t xml:space="preserve"> </w:t>
      </w:r>
      <w:r w:rsidRPr="00DB04F3">
        <w:rPr>
          <w:szCs w:val="28"/>
        </w:rPr>
        <w:t xml:space="preserve">different from the monthly income of HK$31,200 that the </w:t>
      </w:r>
      <w:r>
        <w:rPr>
          <w:szCs w:val="28"/>
        </w:rPr>
        <w:t>plaintiff</w:t>
      </w:r>
      <w:r w:rsidRPr="00DB04F3">
        <w:rPr>
          <w:szCs w:val="28"/>
        </w:rPr>
        <w:t xml:space="preserve"> </w:t>
      </w:r>
      <w:r w:rsidR="00287239">
        <w:rPr>
          <w:szCs w:val="28"/>
        </w:rPr>
        <w:t>is now claiming under</w:t>
      </w:r>
      <w:r w:rsidRPr="00DB04F3">
        <w:rPr>
          <w:szCs w:val="28"/>
        </w:rPr>
        <w:t xml:space="preserve"> </w:t>
      </w:r>
      <w:r w:rsidR="003C19A2">
        <w:rPr>
          <w:szCs w:val="28"/>
        </w:rPr>
        <w:t xml:space="preserve">the </w:t>
      </w:r>
      <w:proofErr w:type="spellStart"/>
      <w:r w:rsidR="003C19A2">
        <w:rPr>
          <w:szCs w:val="28"/>
        </w:rPr>
        <w:t>SoD</w:t>
      </w:r>
      <w:proofErr w:type="spellEnd"/>
      <w:r w:rsidRPr="00DB04F3">
        <w:rPr>
          <w:szCs w:val="28"/>
        </w:rPr>
        <w:t xml:space="preserve">. </w:t>
      </w:r>
    </w:p>
    <w:p w:rsidR="00394D24" w:rsidRDefault="00394D24" w:rsidP="00394D24">
      <w:pPr>
        <w:spacing w:line="360" w:lineRule="auto"/>
        <w:ind w:right="61"/>
        <w:rPr>
          <w:szCs w:val="28"/>
        </w:rPr>
      </w:pPr>
    </w:p>
    <w:p w:rsidR="00394D24" w:rsidRDefault="00287239" w:rsidP="00394D24">
      <w:pPr>
        <w:numPr>
          <w:ilvl w:val="0"/>
          <w:numId w:val="17"/>
        </w:numPr>
        <w:tabs>
          <w:tab w:val="clear" w:pos="4320"/>
          <w:tab w:val="clear" w:pos="9072"/>
        </w:tabs>
        <w:snapToGrid/>
        <w:spacing w:line="360" w:lineRule="auto"/>
        <w:ind w:left="0" w:right="61" w:firstLine="0"/>
        <w:jc w:val="both"/>
        <w:rPr>
          <w:szCs w:val="28"/>
        </w:rPr>
      </w:pPr>
      <w:r>
        <w:rPr>
          <w:szCs w:val="28"/>
        </w:rPr>
        <w:t xml:space="preserve">Judge Leong </w:t>
      </w:r>
      <w:r w:rsidR="00CD1AB9">
        <w:rPr>
          <w:szCs w:val="28"/>
        </w:rPr>
        <w:t>ruled</w:t>
      </w:r>
      <w:r>
        <w:rPr>
          <w:szCs w:val="28"/>
        </w:rPr>
        <w:t xml:space="preserve"> i</w:t>
      </w:r>
      <w:r w:rsidR="00394D24" w:rsidRPr="00DB04F3">
        <w:rPr>
          <w:szCs w:val="28"/>
        </w:rPr>
        <w:t>n the EC Case that the only reliable</w:t>
      </w:r>
      <w:r>
        <w:rPr>
          <w:szCs w:val="28"/>
        </w:rPr>
        <w:t xml:space="preserve"> and objective </w:t>
      </w:r>
      <w:r w:rsidR="00394D24" w:rsidRPr="00DB04F3">
        <w:rPr>
          <w:szCs w:val="28"/>
        </w:rPr>
        <w:t>document</w:t>
      </w:r>
      <w:r>
        <w:rPr>
          <w:szCs w:val="28"/>
        </w:rPr>
        <w:t xml:space="preserve"> in </w:t>
      </w:r>
      <w:r w:rsidR="00394D24" w:rsidRPr="00DB04F3">
        <w:rPr>
          <w:szCs w:val="28"/>
        </w:rPr>
        <w:t>relati</w:t>
      </w:r>
      <w:r>
        <w:rPr>
          <w:szCs w:val="28"/>
        </w:rPr>
        <w:t xml:space="preserve">on </w:t>
      </w:r>
      <w:r w:rsidR="00394D24" w:rsidRPr="00DB04F3">
        <w:rPr>
          <w:szCs w:val="28"/>
        </w:rPr>
        <w:t xml:space="preserve">to the </w:t>
      </w:r>
      <w:r w:rsidR="00394D24">
        <w:rPr>
          <w:szCs w:val="28"/>
        </w:rPr>
        <w:t>plaintiff</w:t>
      </w:r>
      <w:r w:rsidR="00394D24" w:rsidRPr="00DB04F3">
        <w:rPr>
          <w:szCs w:val="28"/>
        </w:rPr>
        <w:t xml:space="preserve">’s pre-Accident earnings was the </w:t>
      </w:r>
      <w:r w:rsidR="00394D24">
        <w:rPr>
          <w:szCs w:val="28"/>
        </w:rPr>
        <w:t>plaintiff</w:t>
      </w:r>
      <w:r w:rsidR="00394D24" w:rsidRPr="00DB04F3">
        <w:rPr>
          <w:szCs w:val="28"/>
        </w:rPr>
        <w:t>’s tax records from the Inland Revenue Department</w:t>
      </w:r>
      <w:r w:rsidR="00394D24">
        <w:rPr>
          <w:szCs w:val="28"/>
        </w:rPr>
        <w:t xml:space="preserve">: </w:t>
      </w:r>
      <w:r w:rsidR="00CD1AB9">
        <w:rPr>
          <w:szCs w:val="28"/>
        </w:rPr>
        <w:t xml:space="preserve">See </w:t>
      </w:r>
      <w:r w:rsidR="00394D24">
        <w:rPr>
          <w:szCs w:val="28"/>
        </w:rPr>
        <w:t>§44</w:t>
      </w:r>
      <w:r w:rsidR="00CD1AB9">
        <w:rPr>
          <w:szCs w:val="28"/>
        </w:rPr>
        <w:t xml:space="preserve"> of the EC Case Judgment</w:t>
      </w:r>
      <w:r w:rsidR="00394D24" w:rsidRPr="00DB04F3">
        <w:rPr>
          <w:szCs w:val="28"/>
        </w:rPr>
        <w:t xml:space="preserve">. </w:t>
      </w:r>
      <w:r w:rsidR="00394D24">
        <w:rPr>
          <w:szCs w:val="28"/>
        </w:rPr>
        <w:t xml:space="preserve"> </w:t>
      </w:r>
      <w:r w:rsidR="00CD1AB9">
        <w:rPr>
          <w:szCs w:val="28"/>
        </w:rPr>
        <w:t>T</w:t>
      </w:r>
      <w:r w:rsidR="00394D24" w:rsidRPr="00DB04F3">
        <w:rPr>
          <w:szCs w:val="28"/>
        </w:rPr>
        <w:t xml:space="preserve">he </w:t>
      </w:r>
      <w:r w:rsidR="00394D24">
        <w:rPr>
          <w:szCs w:val="28"/>
        </w:rPr>
        <w:t>plaintiff</w:t>
      </w:r>
      <w:r w:rsidR="00394D24" w:rsidRPr="00DB04F3">
        <w:rPr>
          <w:szCs w:val="28"/>
        </w:rPr>
        <w:t xml:space="preserve">’s so-called </w:t>
      </w:r>
      <w:r w:rsidR="00CD1AB9">
        <w:rPr>
          <w:szCs w:val="28"/>
        </w:rPr>
        <w:t>“</w:t>
      </w:r>
      <w:r w:rsidR="00394D24" w:rsidRPr="00DB04F3">
        <w:rPr>
          <w:szCs w:val="28"/>
        </w:rPr>
        <w:t>income records</w:t>
      </w:r>
      <w:r w:rsidR="00CD1AB9">
        <w:rPr>
          <w:szCs w:val="28"/>
        </w:rPr>
        <w:t>”</w:t>
      </w:r>
      <w:r w:rsidR="00394D24" w:rsidRPr="00DB04F3">
        <w:rPr>
          <w:szCs w:val="28"/>
        </w:rPr>
        <w:t xml:space="preserve"> were not accepted and the learned </w:t>
      </w:r>
      <w:r w:rsidR="00CD1AB9">
        <w:rPr>
          <w:szCs w:val="28"/>
        </w:rPr>
        <w:t>judge</w:t>
      </w:r>
      <w:r w:rsidR="00394D24" w:rsidRPr="00DB04F3">
        <w:rPr>
          <w:szCs w:val="28"/>
        </w:rPr>
        <w:t xml:space="preserve"> found that the </w:t>
      </w:r>
      <w:r w:rsidR="00394D24">
        <w:rPr>
          <w:szCs w:val="28"/>
        </w:rPr>
        <w:t>plaintiff</w:t>
      </w:r>
      <w:r w:rsidR="00394D24" w:rsidRPr="00DB04F3">
        <w:rPr>
          <w:szCs w:val="28"/>
        </w:rPr>
        <w:t xml:space="preserve"> was not an honest witness: </w:t>
      </w:r>
      <w:r w:rsidR="00CD1AB9">
        <w:rPr>
          <w:szCs w:val="28"/>
        </w:rPr>
        <w:t xml:space="preserve">See §40 of the </w:t>
      </w:r>
      <w:r w:rsidR="00394D24">
        <w:rPr>
          <w:szCs w:val="28"/>
        </w:rPr>
        <w:t>EC Case Judgment.</w:t>
      </w:r>
    </w:p>
    <w:p w:rsidR="00394D24" w:rsidRDefault="00394D24" w:rsidP="00394D24">
      <w:pPr>
        <w:spacing w:line="360" w:lineRule="auto"/>
        <w:ind w:right="61"/>
        <w:rPr>
          <w:szCs w:val="28"/>
        </w:rPr>
      </w:pPr>
    </w:p>
    <w:p w:rsidR="00394D24" w:rsidRDefault="00394D24" w:rsidP="008125C5">
      <w:pPr>
        <w:numPr>
          <w:ilvl w:val="0"/>
          <w:numId w:val="17"/>
        </w:numPr>
        <w:tabs>
          <w:tab w:val="clear" w:pos="4320"/>
          <w:tab w:val="clear" w:pos="9072"/>
        </w:tabs>
        <w:snapToGrid/>
        <w:spacing w:line="360" w:lineRule="auto"/>
        <w:ind w:left="0" w:right="61" w:firstLine="0"/>
        <w:jc w:val="both"/>
        <w:rPr>
          <w:szCs w:val="28"/>
        </w:rPr>
      </w:pPr>
      <w:r w:rsidRPr="00283B1F">
        <w:rPr>
          <w:szCs w:val="28"/>
        </w:rPr>
        <w:t>Whilst the plaintiff now alleges that the monthly sum of HK$31,200 was not picked arbitrarily, but rather the sum the plaintiff</w:t>
      </w:r>
      <w:r w:rsidR="00CD1AB9" w:rsidRPr="00283B1F">
        <w:rPr>
          <w:szCs w:val="28"/>
        </w:rPr>
        <w:t xml:space="preserve"> “</w:t>
      </w:r>
      <w:r w:rsidRPr="00283B1F">
        <w:rPr>
          <w:szCs w:val="28"/>
        </w:rPr>
        <w:t>actually</w:t>
      </w:r>
      <w:r w:rsidR="00CD1AB9" w:rsidRPr="00283B1F">
        <w:rPr>
          <w:szCs w:val="28"/>
        </w:rPr>
        <w:t>”</w:t>
      </w:r>
      <w:r w:rsidRPr="00283B1F">
        <w:rPr>
          <w:szCs w:val="28"/>
        </w:rPr>
        <w:t xml:space="preserve"> earned in the year preceding the EC Case, </w:t>
      </w:r>
      <w:r w:rsidR="00CD1AB9" w:rsidRPr="00283B1F">
        <w:rPr>
          <w:szCs w:val="28"/>
        </w:rPr>
        <w:t xml:space="preserve">I agree with </w:t>
      </w:r>
      <w:proofErr w:type="spellStart"/>
      <w:r w:rsidR="00CD1AB9" w:rsidRPr="00283B1F">
        <w:rPr>
          <w:szCs w:val="28"/>
        </w:rPr>
        <w:t>Mr</w:t>
      </w:r>
      <w:proofErr w:type="spellEnd"/>
      <w:r w:rsidR="00CD1AB9" w:rsidRPr="00283B1F">
        <w:rPr>
          <w:szCs w:val="28"/>
        </w:rPr>
        <w:t xml:space="preserve"> Chan </w:t>
      </w:r>
      <w:r w:rsidR="00CD1AB9" w:rsidRPr="00283B1F">
        <w:rPr>
          <w:szCs w:val="28"/>
        </w:rPr>
        <w:lastRenderedPageBreak/>
        <w:t xml:space="preserve">that </w:t>
      </w:r>
      <w:r w:rsidRPr="00283B1F">
        <w:rPr>
          <w:szCs w:val="28"/>
        </w:rPr>
        <w:t>this is not the appropriate forum t</w:t>
      </w:r>
      <w:r w:rsidR="008E6237">
        <w:rPr>
          <w:szCs w:val="28"/>
        </w:rPr>
        <w:t xml:space="preserve">o challenge the findings of </w:t>
      </w:r>
      <w:r w:rsidR="007E28F9">
        <w:rPr>
          <w:szCs w:val="28"/>
        </w:rPr>
        <w:t xml:space="preserve">HH </w:t>
      </w:r>
      <w:r w:rsidR="008E6237">
        <w:rPr>
          <w:szCs w:val="28"/>
        </w:rPr>
        <w:t xml:space="preserve">Judge </w:t>
      </w:r>
      <w:r w:rsidR="007E28F9">
        <w:rPr>
          <w:szCs w:val="28"/>
        </w:rPr>
        <w:t xml:space="preserve">Harold </w:t>
      </w:r>
      <w:r w:rsidR="008E6237">
        <w:rPr>
          <w:szCs w:val="28"/>
        </w:rPr>
        <w:t xml:space="preserve">Leong in the </w:t>
      </w:r>
      <w:r w:rsidRPr="00283B1F">
        <w:rPr>
          <w:szCs w:val="28"/>
        </w:rPr>
        <w:t xml:space="preserve">EC Case. </w:t>
      </w:r>
      <w:r w:rsidR="00283B1F" w:rsidRPr="00283B1F">
        <w:rPr>
          <w:szCs w:val="28"/>
        </w:rPr>
        <w:t>I am of the view that such</w:t>
      </w:r>
      <w:r w:rsidRPr="00283B1F">
        <w:rPr>
          <w:szCs w:val="28"/>
        </w:rPr>
        <w:t xml:space="preserve"> challenge should be made by way of an appeal of the EC Case Judgment</w:t>
      </w:r>
      <w:r w:rsidR="00283B1F">
        <w:rPr>
          <w:szCs w:val="28"/>
        </w:rPr>
        <w:t xml:space="preserve"> which the plaintiff had not done and is now badly out of time</w:t>
      </w:r>
      <w:r w:rsidRPr="00283B1F">
        <w:rPr>
          <w:szCs w:val="28"/>
        </w:rPr>
        <w:t xml:space="preserve">.  </w:t>
      </w:r>
    </w:p>
    <w:p w:rsidR="008E6237" w:rsidRDefault="008E6237" w:rsidP="008E6237">
      <w:pPr>
        <w:pStyle w:val="ListParagraph"/>
        <w:rPr>
          <w:szCs w:val="28"/>
        </w:rPr>
      </w:pPr>
    </w:p>
    <w:p w:rsidR="008E6237" w:rsidRPr="00283B1F" w:rsidRDefault="008E6237" w:rsidP="008E6237">
      <w:pPr>
        <w:tabs>
          <w:tab w:val="clear" w:pos="4320"/>
          <w:tab w:val="clear" w:pos="9072"/>
        </w:tabs>
        <w:snapToGrid/>
        <w:spacing w:line="360" w:lineRule="auto"/>
        <w:ind w:right="61"/>
        <w:jc w:val="both"/>
        <w:rPr>
          <w:szCs w:val="28"/>
        </w:rPr>
      </w:pPr>
    </w:p>
    <w:p w:rsidR="00394D24" w:rsidRDefault="00394D24" w:rsidP="00283B1F">
      <w:pPr>
        <w:numPr>
          <w:ilvl w:val="0"/>
          <w:numId w:val="17"/>
        </w:numPr>
        <w:tabs>
          <w:tab w:val="clear" w:pos="4320"/>
          <w:tab w:val="clear" w:pos="9072"/>
        </w:tabs>
        <w:snapToGrid/>
        <w:spacing w:line="360" w:lineRule="auto"/>
        <w:ind w:left="0" w:right="61" w:firstLine="0"/>
        <w:jc w:val="both"/>
        <w:rPr>
          <w:szCs w:val="28"/>
        </w:rPr>
      </w:pPr>
      <w:r w:rsidRPr="00DB04F3">
        <w:rPr>
          <w:szCs w:val="28"/>
        </w:rPr>
        <w:t xml:space="preserve">The </w:t>
      </w:r>
      <w:r>
        <w:rPr>
          <w:szCs w:val="28"/>
        </w:rPr>
        <w:t>plaintiff</w:t>
      </w:r>
      <w:r w:rsidRPr="00DB04F3">
        <w:rPr>
          <w:szCs w:val="28"/>
        </w:rPr>
        <w:t xml:space="preserve"> was represented by the </w:t>
      </w:r>
      <w:r w:rsidR="00283B1F">
        <w:rPr>
          <w:szCs w:val="28"/>
        </w:rPr>
        <w:t xml:space="preserve">same set of solicitors in the </w:t>
      </w:r>
      <w:r w:rsidRPr="00DB04F3">
        <w:rPr>
          <w:szCs w:val="28"/>
        </w:rPr>
        <w:t xml:space="preserve">EC Case as in the current </w:t>
      </w:r>
      <w:r w:rsidR="00283B1F">
        <w:rPr>
          <w:szCs w:val="28"/>
        </w:rPr>
        <w:t>PI C</w:t>
      </w:r>
      <w:r w:rsidRPr="00DB04F3">
        <w:rPr>
          <w:szCs w:val="28"/>
        </w:rPr>
        <w:t xml:space="preserve">ase. </w:t>
      </w:r>
      <w:r w:rsidR="00283B1F">
        <w:rPr>
          <w:szCs w:val="28"/>
        </w:rPr>
        <w:t xml:space="preserve"> </w:t>
      </w:r>
      <w:r w:rsidRPr="00DB04F3">
        <w:rPr>
          <w:szCs w:val="28"/>
        </w:rPr>
        <w:t xml:space="preserve">The </w:t>
      </w:r>
      <w:r>
        <w:rPr>
          <w:szCs w:val="28"/>
        </w:rPr>
        <w:t>plaintiff</w:t>
      </w:r>
      <w:r w:rsidRPr="00DB04F3">
        <w:rPr>
          <w:szCs w:val="28"/>
        </w:rPr>
        <w:t xml:space="preserve"> had never appealed the findings of the EC Case </w:t>
      </w:r>
      <w:r w:rsidR="00283B1F">
        <w:rPr>
          <w:szCs w:val="28"/>
        </w:rPr>
        <w:t xml:space="preserve">including his </w:t>
      </w:r>
      <w:r w:rsidRPr="00DB04F3">
        <w:rPr>
          <w:szCs w:val="28"/>
        </w:rPr>
        <w:t>monthly income was</w:t>
      </w:r>
      <w:r w:rsidR="00283B1F">
        <w:rPr>
          <w:szCs w:val="28"/>
        </w:rPr>
        <w:t xml:space="preserve"> at </w:t>
      </w:r>
      <w:r w:rsidRPr="00DB04F3">
        <w:rPr>
          <w:szCs w:val="28"/>
        </w:rPr>
        <w:t>HK$8</w:t>
      </w:r>
      <w:r w:rsidR="008E6237">
        <w:rPr>
          <w:szCs w:val="28"/>
        </w:rPr>
        <w:t xml:space="preserve">,333, let alone appealing the </w:t>
      </w:r>
      <w:r w:rsidRPr="00DB04F3">
        <w:rPr>
          <w:szCs w:val="28"/>
        </w:rPr>
        <w:t xml:space="preserve">EC Case itself. Accordingly, the </w:t>
      </w:r>
      <w:r>
        <w:rPr>
          <w:szCs w:val="28"/>
        </w:rPr>
        <w:t>plaintiff</w:t>
      </w:r>
      <w:r w:rsidRPr="00DB04F3">
        <w:rPr>
          <w:szCs w:val="28"/>
        </w:rPr>
        <w:t xml:space="preserve"> ought to be aware that he is estopped from contesting the issue of the </w:t>
      </w:r>
      <w:r>
        <w:rPr>
          <w:szCs w:val="28"/>
        </w:rPr>
        <w:t>plaintiff</w:t>
      </w:r>
      <w:r w:rsidRPr="00DB04F3">
        <w:rPr>
          <w:szCs w:val="28"/>
        </w:rPr>
        <w:t xml:space="preserve">’s monthly earnings due to the doctrine of </w:t>
      </w:r>
      <w:r w:rsidRPr="00DB04F3">
        <w:rPr>
          <w:rFonts w:eastAsia="Times New Roman"/>
          <w:i/>
          <w:szCs w:val="28"/>
        </w:rPr>
        <w:t>res judicata</w:t>
      </w:r>
      <w:r>
        <w:rPr>
          <w:szCs w:val="28"/>
        </w:rPr>
        <w:t>.</w:t>
      </w:r>
      <w:r w:rsidR="00283B1F">
        <w:rPr>
          <w:szCs w:val="28"/>
        </w:rPr>
        <w:t xml:space="preserve">: See </w:t>
      </w:r>
      <w:r w:rsidR="00283B1F" w:rsidRPr="00DB04F3">
        <w:rPr>
          <w:rFonts w:eastAsia="Times New Roman"/>
          <w:i/>
          <w:szCs w:val="28"/>
        </w:rPr>
        <w:t xml:space="preserve">Stephenson v Garnett </w:t>
      </w:r>
      <w:r w:rsidR="00283B1F" w:rsidRPr="00DB04F3">
        <w:rPr>
          <w:rFonts w:eastAsia="Times New Roman"/>
          <w:szCs w:val="28"/>
        </w:rPr>
        <w:t>[1898] 1 QB 677</w:t>
      </w:r>
      <w:r w:rsidR="00283B1F" w:rsidRPr="00DB04F3">
        <w:rPr>
          <w:szCs w:val="28"/>
        </w:rPr>
        <w:t xml:space="preserve"> at 680 per A.L. Smith LJ</w:t>
      </w:r>
      <w:r w:rsidR="00283B1F">
        <w:rPr>
          <w:szCs w:val="28"/>
        </w:rPr>
        <w:t xml:space="preserve">; </w:t>
      </w:r>
      <w:r w:rsidR="00283B1F" w:rsidRPr="00DB04F3">
        <w:rPr>
          <w:i/>
          <w:szCs w:val="28"/>
        </w:rPr>
        <w:t xml:space="preserve">Carl Zeiss </w:t>
      </w:r>
      <w:proofErr w:type="spellStart"/>
      <w:r w:rsidR="00283B1F" w:rsidRPr="00DB04F3">
        <w:rPr>
          <w:i/>
          <w:szCs w:val="28"/>
        </w:rPr>
        <w:t>Stiftung</w:t>
      </w:r>
      <w:proofErr w:type="spellEnd"/>
      <w:r w:rsidR="00283B1F" w:rsidRPr="00DB04F3">
        <w:rPr>
          <w:i/>
          <w:szCs w:val="28"/>
        </w:rPr>
        <w:t xml:space="preserve"> v Rayner &amp; Keeler Ltd </w:t>
      </w:r>
      <w:r w:rsidR="008E6237">
        <w:rPr>
          <w:szCs w:val="28"/>
        </w:rPr>
        <w:t xml:space="preserve">[1970] 1 </w:t>
      </w:r>
      <w:proofErr w:type="spellStart"/>
      <w:r w:rsidR="008E6237">
        <w:rPr>
          <w:szCs w:val="28"/>
        </w:rPr>
        <w:t>Ch</w:t>
      </w:r>
      <w:proofErr w:type="spellEnd"/>
      <w:r w:rsidR="00283B1F" w:rsidRPr="00DB04F3">
        <w:rPr>
          <w:szCs w:val="28"/>
        </w:rPr>
        <w:t xml:space="preserve"> 506 at 538 per Buckley J</w:t>
      </w:r>
      <w:r w:rsidR="00283B1F">
        <w:rPr>
          <w:szCs w:val="28"/>
        </w:rPr>
        <w:t xml:space="preserve">; </w:t>
      </w:r>
      <w:proofErr w:type="spellStart"/>
      <w:r w:rsidR="00283B1F" w:rsidRPr="00A44834">
        <w:rPr>
          <w:rFonts w:eastAsia="Times New Roman"/>
          <w:i/>
          <w:szCs w:val="28"/>
        </w:rPr>
        <w:t>Yat</w:t>
      </w:r>
      <w:proofErr w:type="spellEnd"/>
      <w:r w:rsidR="00283B1F" w:rsidRPr="00A44834">
        <w:rPr>
          <w:rFonts w:eastAsia="Times New Roman"/>
          <w:i/>
          <w:szCs w:val="28"/>
        </w:rPr>
        <w:t xml:space="preserve"> Tung Investment Co Ltd v Dao </w:t>
      </w:r>
      <w:proofErr w:type="spellStart"/>
      <w:r w:rsidR="00283B1F" w:rsidRPr="00A44834">
        <w:rPr>
          <w:rFonts w:eastAsia="Times New Roman"/>
          <w:i/>
          <w:szCs w:val="28"/>
        </w:rPr>
        <w:t>Heng</w:t>
      </w:r>
      <w:proofErr w:type="spellEnd"/>
      <w:r w:rsidR="00283B1F" w:rsidRPr="00A44834">
        <w:rPr>
          <w:rFonts w:eastAsia="Times New Roman"/>
          <w:i/>
          <w:szCs w:val="28"/>
        </w:rPr>
        <w:t xml:space="preserve"> Bank Ltd </w:t>
      </w:r>
      <w:r w:rsidR="00283B1F" w:rsidRPr="00A44834">
        <w:rPr>
          <w:rFonts w:eastAsia="Times New Roman"/>
          <w:szCs w:val="28"/>
        </w:rPr>
        <w:t>[1975] AC 581</w:t>
      </w:r>
      <w:r w:rsidR="00283B1F" w:rsidRPr="00A44834">
        <w:rPr>
          <w:szCs w:val="28"/>
        </w:rPr>
        <w:t xml:space="preserve"> at 590</w:t>
      </w:r>
      <w:r w:rsidR="00283B1F">
        <w:rPr>
          <w:szCs w:val="28"/>
        </w:rPr>
        <w:t xml:space="preserve">; and </w:t>
      </w:r>
      <w:r w:rsidR="00283B1F" w:rsidRPr="00A44834">
        <w:rPr>
          <w:rFonts w:eastAsia="Times New Roman"/>
          <w:i/>
          <w:szCs w:val="28"/>
        </w:rPr>
        <w:t xml:space="preserve">Wong Wang Sum v Lee </w:t>
      </w:r>
      <w:proofErr w:type="spellStart"/>
      <w:r w:rsidR="00283B1F" w:rsidRPr="00A44834">
        <w:rPr>
          <w:rFonts w:eastAsia="Times New Roman"/>
          <w:i/>
          <w:szCs w:val="28"/>
        </w:rPr>
        <w:t>Kam</w:t>
      </w:r>
      <w:proofErr w:type="spellEnd"/>
      <w:r w:rsidR="00283B1F" w:rsidRPr="00A44834">
        <w:rPr>
          <w:rFonts w:eastAsia="Times New Roman"/>
          <w:i/>
          <w:szCs w:val="28"/>
        </w:rPr>
        <w:t xml:space="preserve"> Engineering Co </w:t>
      </w:r>
      <w:r w:rsidR="00283B1F" w:rsidRPr="00A44834">
        <w:rPr>
          <w:rFonts w:eastAsia="Times New Roman"/>
          <w:szCs w:val="28"/>
        </w:rPr>
        <w:t>[1996] 3 HKC 627</w:t>
      </w:r>
      <w:r w:rsidR="00283B1F">
        <w:rPr>
          <w:rFonts w:eastAsia="Times New Roman"/>
          <w:szCs w:val="28"/>
        </w:rPr>
        <w:t>.</w:t>
      </w:r>
    </w:p>
    <w:p w:rsidR="00394D24" w:rsidRDefault="00394D24" w:rsidP="00394D24">
      <w:pPr>
        <w:spacing w:line="360" w:lineRule="auto"/>
        <w:ind w:right="61"/>
        <w:rPr>
          <w:szCs w:val="28"/>
        </w:rPr>
      </w:pPr>
    </w:p>
    <w:p w:rsidR="00394D24" w:rsidRDefault="00F476BE" w:rsidP="00394D24">
      <w:pPr>
        <w:numPr>
          <w:ilvl w:val="0"/>
          <w:numId w:val="17"/>
        </w:numPr>
        <w:tabs>
          <w:tab w:val="clear" w:pos="4320"/>
          <w:tab w:val="clear" w:pos="9072"/>
        </w:tabs>
        <w:snapToGrid/>
        <w:spacing w:line="360" w:lineRule="auto"/>
        <w:ind w:left="0" w:right="61" w:firstLine="0"/>
        <w:jc w:val="both"/>
        <w:rPr>
          <w:szCs w:val="28"/>
        </w:rPr>
      </w:pPr>
      <w:r>
        <w:rPr>
          <w:szCs w:val="28"/>
        </w:rPr>
        <w:t xml:space="preserve">I accept </w:t>
      </w:r>
      <w:proofErr w:type="spellStart"/>
      <w:r>
        <w:rPr>
          <w:szCs w:val="28"/>
        </w:rPr>
        <w:t>Mr</w:t>
      </w:r>
      <w:proofErr w:type="spellEnd"/>
      <w:r>
        <w:rPr>
          <w:szCs w:val="28"/>
        </w:rPr>
        <w:t xml:space="preserve"> Chan’s submission that </w:t>
      </w:r>
      <w:r w:rsidR="00394D24" w:rsidRPr="00A44834">
        <w:rPr>
          <w:szCs w:val="28"/>
        </w:rPr>
        <w:t>wh</w:t>
      </w:r>
      <w:r w:rsidR="00726843">
        <w:rPr>
          <w:szCs w:val="28"/>
        </w:rPr>
        <w:t>ere there is</w:t>
      </w:r>
      <w:r w:rsidR="00394D24" w:rsidRPr="00A44834">
        <w:rPr>
          <w:szCs w:val="28"/>
        </w:rPr>
        <w:t xml:space="preserve"> a post-trial judgment </w:t>
      </w:r>
      <w:r w:rsidR="00D20286">
        <w:rPr>
          <w:szCs w:val="28"/>
        </w:rPr>
        <w:t xml:space="preserve">after trial </w:t>
      </w:r>
      <w:r w:rsidR="00394D24" w:rsidRPr="00A44834">
        <w:rPr>
          <w:szCs w:val="28"/>
        </w:rPr>
        <w:t xml:space="preserve">in an earlier </w:t>
      </w:r>
      <w:r w:rsidR="00D20286">
        <w:rPr>
          <w:szCs w:val="28"/>
        </w:rPr>
        <w:t>EC</w:t>
      </w:r>
      <w:r w:rsidR="00394D24" w:rsidRPr="00A44834">
        <w:rPr>
          <w:szCs w:val="28"/>
        </w:rPr>
        <w:t xml:space="preserve"> proceedings, </w:t>
      </w:r>
      <w:r w:rsidR="00394D24" w:rsidRPr="00D20286">
        <w:rPr>
          <w:i/>
          <w:szCs w:val="28"/>
        </w:rPr>
        <w:t>issue estoppel</w:t>
      </w:r>
      <w:r w:rsidR="00394D24" w:rsidRPr="00A44834">
        <w:rPr>
          <w:szCs w:val="28"/>
        </w:rPr>
        <w:t xml:space="preserve"> </w:t>
      </w:r>
      <w:r w:rsidR="00D20286">
        <w:rPr>
          <w:szCs w:val="28"/>
        </w:rPr>
        <w:t>comes into play</w:t>
      </w:r>
      <w:r w:rsidR="00394D24" w:rsidRPr="00A44834">
        <w:rPr>
          <w:szCs w:val="28"/>
        </w:rPr>
        <w:t xml:space="preserve"> </w:t>
      </w:r>
      <w:r w:rsidR="00D20286">
        <w:rPr>
          <w:szCs w:val="28"/>
        </w:rPr>
        <w:t xml:space="preserve">in </w:t>
      </w:r>
      <w:r w:rsidR="00394D24" w:rsidRPr="00A44834">
        <w:rPr>
          <w:szCs w:val="28"/>
        </w:rPr>
        <w:t>the subsequent corresponding personal injuries case</w:t>
      </w:r>
      <w:r w:rsidR="00D20286">
        <w:rPr>
          <w:szCs w:val="28"/>
        </w:rPr>
        <w:t xml:space="preserve"> between the same parties not</w:t>
      </w:r>
      <w:r w:rsidR="00394D24" w:rsidRPr="00A44834">
        <w:rPr>
          <w:szCs w:val="28"/>
        </w:rPr>
        <w:t xml:space="preserve"> from the statutory methodology for calculating the amount of </w:t>
      </w:r>
      <w:r w:rsidR="00D20286">
        <w:rPr>
          <w:szCs w:val="28"/>
        </w:rPr>
        <w:t>EC payable but</w:t>
      </w:r>
      <w:r w:rsidR="00394D24" w:rsidRPr="00A44834">
        <w:rPr>
          <w:szCs w:val="28"/>
        </w:rPr>
        <w:t xml:space="preserve"> from the findings</w:t>
      </w:r>
      <w:r w:rsidR="00D20286">
        <w:rPr>
          <w:szCs w:val="28"/>
        </w:rPr>
        <w:t xml:space="preserve">/ </w:t>
      </w:r>
      <w:r w:rsidR="00394D24" w:rsidRPr="00A44834">
        <w:rPr>
          <w:szCs w:val="28"/>
        </w:rPr>
        <w:t>determinations by the Court that were essential</w:t>
      </w:r>
      <w:r w:rsidR="00D20286">
        <w:rPr>
          <w:szCs w:val="28"/>
        </w:rPr>
        <w:t xml:space="preserve"> steps</w:t>
      </w:r>
      <w:r w:rsidR="00394D24" w:rsidRPr="00A44834">
        <w:rPr>
          <w:szCs w:val="28"/>
        </w:rPr>
        <w:t xml:space="preserve"> in its reasoning for granting the employees’ compensation judgment:</w:t>
      </w:r>
      <w:r>
        <w:rPr>
          <w:szCs w:val="28"/>
        </w:rPr>
        <w:t xml:space="preserve"> See</w:t>
      </w:r>
      <w:r w:rsidR="00394D24" w:rsidRPr="00A44834">
        <w:rPr>
          <w:szCs w:val="28"/>
        </w:rPr>
        <w:t xml:space="preserve"> </w:t>
      </w:r>
      <w:r w:rsidR="00394D24" w:rsidRPr="00A44834">
        <w:rPr>
          <w:rFonts w:eastAsia="Times New Roman"/>
          <w:i/>
          <w:szCs w:val="28"/>
        </w:rPr>
        <w:t xml:space="preserve">Mohammad </w:t>
      </w:r>
      <w:proofErr w:type="spellStart"/>
      <w:r w:rsidR="00394D24" w:rsidRPr="00A44834">
        <w:rPr>
          <w:rFonts w:eastAsia="Times New Roman"/>
          <w:i/>
          <w:szCs w:val="28"/>
        </w:rPr>
        <w:t>Amjad</w:t>
      </w:r>
      <w:proofErr w:type="spellEnd"/>
      <w:r w:rsidR="00394D24" w:rsidRPr="00A44834">
        <w:rPr>
          <w:rFonts w:eastAsia="Times New Roman"/>
          <w:i/>
          <w:szCs w:val="28"/>
        </w:rPr>
        <w:t xml:space="preserve"> v John M </w:t>
      </w:r>
      <w:proofErr w:type="spellStart"/>
      <w:r w:rsidR="00394D24" w:rsidRPr="00A44834">
        <w:rPr>
          <w:rFonts w:eastAsia="Times New Roman"/>
          <w:i/>
          <w:szCs w:val="28"/>
        </w:rPr>
        <w:t>Pickavant</w:t>
      </w:r>
      <w:proofErr w:type="spellEnd"/>
      <w:r w:rsidR="00394D24" w:rsidRPr="00A44834">
        <w:rPr>
          <w:rFonts w:eastAsia="Times New Roman"/>
          <w:i/>
          <w:szCs w:val="28"/>
        </w:rPr>
        <w:t xml:space="preserve"> &amp; Co </w:t>
      </w:r>
      <w:r w:rsidR="00394D24" w:rsidRPr="00A44834">
        <w:rPr>
          <w:rFonts w:eastAsia="Times New Roman"/>
          <w:szCs w:val="28"/>
        </w:rPr>
        <w:t xml:space="preserve">[2013] 1 HKC 145 </w:t>
      </w:r>
      <w:r w:rsidR="00394D24" w:rsidRPr="00A44834">
        <w:rPr>
          <w:szCs w:val="28"/>
        </w:rPr>
        <w:t xml:space="preserve">at §74 per Master </w:t>
      </w:r>
      <w:r w:rsidR="00394D24" w:rsidRPr="00DB04F3">
        <w:rPr>
          <w:szCs w:val="28"/>
        </w:rPr>
        <w:t>Marlene Ng</w:t>
      </w:r>
      <w:r w:rsidR="000F5E27">
        <w:rPr>
          <w:szCs w:val="28"/>
        </w:rPr>
        <w:t xml:space="preserve"> (as she then was)</w:t>
      </w:r>
      <w:r w:rsidR="00394D24" w:rsidRPr="00DB04F3">
        <w:rPr>
          <w:szCs w:val="28"/>
        </w:rPr>
        <w:t xml:space="preserve">.  </w:t>
      </w:r>
    </w:p>
    <w:p w:rsidR="00394D24" w:rsidRPr="00A44834" w:rsidRDefault="00394D24" w:rsidP="00394D24">
      <w:pPr>
        <w:spacing w:line="360" w:lineRule="auto"/>
        <w:rPr>
          <w:szCs w:val="28"/>
        </w:rPr>
      </w:pPr>
    </w:p>
    <w:p w:rsidR="00394D24" w:rsidRPr="00A44834" w:rsidRDefault="00394D24" w:rsidP="00394D24">
      <w:pPr>
        <w:numPr>
          <w:ilvl w:val="0"/>
          <w:numId w:val="17"/>
        </w:numPr>
        <w:tabs>
          <w:tab w:val="clear" w:pos="4320"/>
          <w:tab w:val="clear" w:pos="9072"/>
        </w:tabs>
        <w:snapToGrid/>
        <w:spacing w:line="360" w:lineRule="auto"/>
        <w:ind w:left="0" w:right="61" w:firstLine="0"/>
        <w:jc w:val="both"/>
        <w:rPr>
          <w:szCs w:val="28"/>
        </w:rPr>
      </w:pPr>
      <w:r w:rsidRPr="00A44834">
        <w:rPr>
          <w:szCs w:val="28"/>
        </w:rPr>
        <w:t xml:space="preserve">In </w:t>
      </w:r>
      <w:r w:rsidRPr="00A44834">
        <w:rPr>
          <w:rFonts w:eastAsia="Times New Roman"/>
          <w:i/>
          <w:szCs w:val="28"/>
        </w:rPr>
        <w:t>Wong Wang Sum</w:t>
      </w:r>
      <w:r w:rsidRPr="00A44834">
        <w:rPr>
          <w:szCs w:val="28"/>
        </w:rPr>
        <w:t xml:space="preserve">, </w:t>
      </w:r>
      <w:r w:rsidR="000F5E27" w:rsidRPr="000F5E27">
        <w:rPr>
          <w:i/>
          <w:szCs w:val="28"/>
        </w:rPr>
        <w:t>supra</w:t>
      </w:r>
      <w:r w:rsidR="000F5E27">
        <w:rPr>
          <w:szCs w:val="28"/>
        </w:rPr>
        <w:t xml:space="preserve">, </w:t>
      </w:r>
      <w:r w:rsidRPr="00A44834">
        <w:rPr>
          <w:szCs w:val="28"/>
        </w:rPr>
        <w:t xml:space="preserve">the defendants successfully applied to strike out part of the amended statement of claim on the ground that matters pleaded therein, notably, that the plaintiff’s loss of earnings </w:t>
      </w:r>
      <w:r w:rsidRPr="00A44834">
        <w:rPr>
          <w:szCs w:val="28"/>
        </w:rPr>
        <w:lastRenderedPageBreak/>
        <w:t>and loss of earning capacity, had already been determined by the District Court in the preceding employees’ compensation case.</w:t>
      </w:r>
      <w:r w:rsidR="00F476BE">
        <w:rPr>
          <w:szCs w:val="28"/>
        </w:rPr>
        <w:t xml:space="preserve"> </w:t>
      </w:r>
      <w:r w:rsidRPr="00A44834">
        <w:rPr>
          <w:szCs w:val="28"/>
        </w:rPr>
        <w:t xml:space="preserve"> It was held that the matter ought not be litigated again and insofar as the claim is based on the same subject matter, it ought to be struck out: </w:t>
      </w:r>
      <w:r w:rsidRPr="00A44834">
        <w:rPr>
          <w:rFonts w:eastAsia="Times New Roman"/>
          <w:i/>
          <w:szCs w:val="28"/>
        </w:rPr>
        <w:t xml:space="preserve">Wong Wang Sum </w:t>
      </w:r>
      <w:r w:rsidRPr="00A44834">
        <w:rPr>
          <w:szCs w:val="28"/>
        </w:rPr>
        <w:t>at 634B-C per Cheung J</w:t>
      </w:r>
      <w:r w:rsidR="00F476BE">
        <w:rPr>
          <w:szCs w:val="28"/>
        </w:rPr>
        <w:t xml:space="preserve"> (as he then was)</w:t>
      </w:r>
      <w:r w:rsidRPr="00A44834">
        <w:rPr>
          <w:szCs w:val="28"/>
        </w:rPr>
        <w:t xml:space="preserve">.  </w:t>
      </w:r>
    </w:p>
    <w:p w:rsidR="00394D24" w:rsidRPr="00A44834" w:rsidRDefault="00394D24" w:rsidP="00394D24">
      <w:pPr>
        <w:spacing w:line="360" w:lineRule="auto"/>
        <w:ind w:left="720"/>
        <w:rPr>
          <w:szCs w:val="28"/>
        </w:rPr>
      </w:pPr>
      <w:r w:rsidRPr="00A44834">
        <w:rPr>
          <w:szCs w:val="28"/>
        </w:rPr>
        <w:t xml:space="preserve"> </w:t>
      </w:r>
    </w:p>
    <w:p w:rsidR="00394D24" w:rsidRPr="00DB04F3" w:rsidRDefault="00394D24" w:rsidP="00394D24">
      <w:pPr>
        <w:numPr>
          <w:ilvl w:val="0"/>
          <w:numId w:val="17"/>
        </w:numPr>
        <w:tabs>
          <w:tab w:val="clear" w:pos="4320"/>
          <w:tab w:val="clear" w:pos="9072"/>
        </w:tabs>
        <w:snapToGrid/>
        <w:spacing w:line="360" w:lineRule="auto"/>
        <w:ind w:left="0" w:right="61" w:firstLine="0"/>
        <w:jc w:val="both"/>
        <w:rPr>
          <w:szCs w:val="28"/>
        </w:rPr>
      </w:pPr>
      <w:r w:rsidRPr="00A44834">
        <w:rPr>
          <w:szCs w:val="28"/>
        </w:rPr>
        <w:t xml:space="preserve">Additionally, </w:t>
      </w:r>
      <w:r w:rsidR="008125C5">
        <w:rPr>
          <w:szCs w:val="28"/>
        </w:rPr>
        <w:t xml:space="preserve">I accept </w:t>
      </w:r>
      <w:proofErr w:type="spellStart"/>
      <w:r w:rsidR="008125C5">
        <w:rPr>
          <w:szCs w:val="28"/>
        </w:rPr>
        <w:t>Mr</w:t>
      </w:r>
      <w:proofErr w:type="spellEnd"/>
      <w:r w:rsidR="008125C5">
        <w:rPr>
          <w:szCs w:val="28"/>
        </w:rPr>
        <w:t xml:space="preserve"> Chan’s submission that, </w:t>
      </w:r>
      <w:r w:rsidRPr="00A44834">
        <w:rPr>
          <w:szCs w:val="28"/>
        </w:rPr>
        <w:t xml:space="preserve">in relation to damages, the question is not whether or not the sum demanded could have been recovered in the former action, but whether the same cause of action had been litigated and considered in the former action. Damages resulting from one and the same cause of action must be assessed and recovered once and for all. This is especially so since the </w:t>
      </w:r>
      <w:r>
        <w:rPr>
          <w:szCs w:val="28"/>
        </w:rPr>
        <w:t>plaintiff</w:t>
      </w:r>
      <w:r w:rsidRPr="00A44834">
        <w:rPr>
          <w:szCs w:val="28"/>
        </w:rPr>
        <w:t xml:space="preserve"> had plenty of opportunities to adduce the evidence in t</w:t>
      </w:r>
      <w:r w:rsidR="008125C5">
        <w:rPr>
          <w:szCs w:val="28"/>
        </w:rPr>
        <w:t xml:space="preserve">he </w:t>
      </w:r>
      <w:r w:rsidRPr="00A44834">
        <w:rPr>
          <w:szCs w:val="28"/>
        </w:rPr>
        <w:t xml:space="preserve">EC Case regarding his monthly earnings but had not done so: </w:t>
      </w:r>
      <w:r w:rsidRPr="00A44834">
        <w:rPr>
          <w:rFonts w:eastAsia="Times New Roman"/>
          <w:i/>
          <w:szCs w:val="28"/>
        </w:rPr>
        <w:t xml:space="preserve">Chan </w:t>
      </w:r>
      <w:r w:rsidRPr="00DB04F3">
        <w:rPr>
          <w:rFonts w:eastAsia="Times New Roman"/>
          <w:i/>
          <w:szCs w:val="28"/>
        </w:rPr>
        <w:t xml:space="preserve">Siu </w:t>
      </w:r>
      <w:proofErr w:type="spellStart"/>
      <w:r w:rsidRPr="00DB04F3">
        <w:rPr>
          <w:rFonts w:eastAsia="Times New Roman"/>
          <w:i/>
          <w:szCs w:val="28"/>
        </w:rPr>
        <w:t>Lun</w:t>
      </w:r>
      <w:proofErr w:type="spellEnd"/>
      <w:r w:rsidRPr="00DB04F3">
        <w:rPr>
          <w:rFonts w:eastAsia="Times New Roman"/>
          <w:i/>
          <w:szCs w:val="28"/>
        </w:rPr>
        <w:t xml:space="preserve"> v Hui Cho Yee &amp; Anor </w:t>
      </w:r>
      <w:r w:rsidRPr="00DB04F3">
        <w:rPr>
          <w:rFonts w:eastAsia="Times New Roman"/>
          <w:szCs w:val="28"/>
        </w:rPr>
        <w:t xml:space="preserve">(unreported, </w:t>
      </w:r>
      <w:r w:rsidR="00D20286" w:rsidRPr="00DB04F3">
        <w:rPr>
          <w:rFonts w:eastAsia="Times New Roman"/>
          <w:szCs w:val="28"/>
        </w:rPr>
        <w:t>CACV 171/1999</w:t>
      </w:r>
      <w:r w:rsidR="00D20286">
        <w:rPr>
          <w:rFonts w:eastAsia="Times New Roman"/>
          <w:szCs w:val="28"/>
        </w:rPr>
        <w:t>,</w:t>
      </w:r>
      <w:r w:rsidR="00D20286" w:rsidRPr="00DB04F3">
        <w:rPr>
          <w:rFonts w:eastAsia="Times New Roman"/>
          <w:szCs w:val="28"/>
        </w:rPr>
        <w:t xml:space="preserve"> </w:t>
      </w:r>
      <w:r w:rsidRPr="00DB04F3">
        <w:rPr>
          <w:rFonts w:eastAsia="Times New Roman"/>
          <w:szCs w:val="28"/>
        </w:rPr>
        <w:t>13 October 1999)</w:t>
      </w:r>
      <w:r w:rsidRPr="00DB04F3">
        <w:rPr>
          <w:szCs w:val="28"/>
        </w:rPr>
        <w:t xml:space="preserve"> at §§11-13 per Leong JA.  </w:t>
      </w:r>
    </w:p>
    <w:p w:rsidR="00394D24" w:rsidRPr="00A44834" w:rsidRDefault="00394D24" w:rsidP="00394D24">
      <w:pPr>
        <w:spacing w:line="360" w:lineRule="auto"/>
        <w:ind w:left="720"/>
        <w:rPr>
          <w:szCs w:val="28"/>
        </w:rPr>
      </w:pPr>
      <w:r w:rsidRPr="00A44834">
        <w:rPr>
          <w:szCs w:val="28"/>
        </w:rPr>
        <w:t xml:space="preserve"> </w:t>
      </w:r>
    </w:p>
    <w:p w:rsidR="00394D24" w:rsidRPr="00A44834" w:rsidRDefault="00D20286" w:rsidP="00394D24">
      <w:pPr>
        <w:numPr>
          <w:ilvl w:val="0"/>
          <w:numId w:val="17"/>
        </w:numPr>
        <w:tabs>
          <w:tab w:val="clear" w:pos="4320"/>
          <w:tab w:val="clear" w:pos="9072"/>
        </w:tabs>
        <w:snapToGrid/>
        <w:spacing w:line="360" w:lineRule="auto"/>
        <w:ind w:left="0" w:right="61" w:firstLine="0"/>
        <w:jc w:val="both"/>
        <w:rPr>
          <w:szCs w:val="28"/>
        </w:rPr>
      </w:pPr>
      <w:r>
        <w:rPr>
          <w:szCs w:val="28"/>
        </w:rPr>
        <w:t>In my judgment, t</w:t>
      </w:r>
      <w:r w:rsidR="009A0D0A">
        <w:rPr>
          <w:szCs w:val="28"/>
        </w:rPr>
        <w:t xml:space="preserve">he </w:t>
      </w:r>
      <w:r w:rsidR="00394D24" w:rsidRPr="00A44834">
        <w:rPr>
          <w:szCs w:val="28"/>
        </w:rPr>
        <w:t xml:space="preserve">EC Case had concluded matters which were necessary to decide as the groundwork of the decision itself, the </w:t>
      </w:r>
      <w:r w:rsidR="00394D24">
        <w:rPr>
          <w:szCs w:val="28"/>
        </w:rPr>
        <w:t>plaintiff</w:t>
      </w:r>
      <w:r w:rsidR="00394D24" w:rsidRPr="00A44834">
        <w:rPr>
          <w:szCs w:val="28"/>
        </w:rPr>
        <w:t>’s pre-</w:t>
      </w:r>
      <w:r>
        <w:rPr>
          <w:szCs w:val="28"/>
        </w:rPr>
        <w:t>A</w:t>
      </w:r>
      <w:r w:rsidR="00394D24" w:rsidRPr="00A44834">
        <w:rPr>
          <w:szCs w:val="28"/>
        </w:rPr>
        <w:t>ccident monthly earnings were</w:t>
      </w:r>
      <w:r>
        <w:rPr>
          <w:szCs w:val="28"/>
        </w:rPr>
        <w:t xml:space="preserve"> at</w:t>
      </w:r>
      <w:r w:rsidR="00394D24" w:rsidRPr="00A44834">
        <w:rPr>
          <w:szCs w:val="28"/>
        </w:rPr>
        <w:t xml:space="preserve"> HK$8,333. Such matters cannot be raised and challenged again in the PI Case because such re-litigation would be tantamount to suggest that the EC Judgment was erroneous. Thus, the essential dispute in the PI Case should rest on contributory negligence: </w:t>
      </w:r>
      <w:r w:rsidR="00394D24" w:rsidRPr="00A44834">
        <w:rPr>
          <w:rFonts w:eastAsia="Times New Roman"/>
          <w:i/>
          <w:szCs w:val="28"/>
        </w:rPr>
        <w:t xml:space="preserve">Mohammad </w:t>
      </w:r>
      <w:proofErr w:type="spellStart"/>
      <w:r w:rsidR="00394D24" w:rsidRPr="00A44834">
        <w:rPr>
          <w:rFonts w:eastAsia="Times New Roman"/>
          <w:i/>
          <w:szCs w:val="28"/>
        </w:rPr>
        <w:t>Amjad</w:t>
      </w:r>
      <w:proofErr w:type="spellEnd"/>
      <w:r w:rsidR="00394D24" w:rsidRPr="00A44834">
        <w:rPr>
          <w:rFonts w:eastAsia="Times New Roman"/>
          <w:i/>
          <w:szCs w:val="28"/>
        </w:rPr>
        <w:t xml:space="preserve"> </w:t>
      </w:r>
      <w:r w:rsidR="00394D24" w:rsidRPr="00A44834">
        <w:rPr>
          <w:szCs w:val="28"/>
        </w:rPr>
        <w:t>at §85 per Master Marlene Ng</w:t>
      </w:r>
      <w:r w:rsidR="008125C5">
        <w:rPr>
          <w:szCs w:val="28"/>
        </w:rPr>
        <w:t xml:space="preserve"> (as she then was)</w:t>
      </w:r>
      <w:r w:rsidR="00394D24" w:rsidRPr="00A44834">
        <w:rPr>
          <w:szCs w:val="28"/>
        </w:rPr>
        <w:t xml:space="preserve">.  </w:t>
      </w:r>
    </w:p>
    <w:p w:rsidR="00394D24" w:rsidRPr="00A44834" w:rsidRDefault="00394D24" w:rsidP="00394D24">
      <w:pPr>
        <w:spacing w:line="360" w:lineRule="auto"/>
        <w:rPr>
          <w:szCs w:val="28"/>
        </w:rPr>
      </w:pPr>
    </w:p>
    <w:p w:rsidR="00394D24" w:rsidRPr="008125C5" w:rsidRDefault="00394D24" w:rsidP="00394D24">
      <w:pPr>
        <w:numPr>
          <w:ilvl w:val="0"/>
          <w:numId w:val="17"/>
        </w:numPr>
        <w:tabs>
          <w:tab w:val="clear" w:pos="4320"/>
          <w:tab w:val="clear" w:pos="9072"/>
        </w:tabs>
        <w:snapToGrid/>
        <w:spacing w:line="360" w:lineRule="auto"/>
        <w:ind w:left="0" w:right="61" w:firstLine="0"/>
        <w:jc w:val="both"/>
      </w:pPr>
      <w:r w:rsidRPr="00A44834">
        <w:rPr>
          <w:szCs w:val="28"/>
        </w:rPr>
        <w:t>Hence,</w:t>
      </w:r>
      <w:r w:rsidR="00D20286">
        <w:rPr>
          <w:szCs w:val="28"/>
        </w:rPr>
        <w:t xml:space="preserve"> in my view</w:t>
      </w:r>
      <w:r w:rsidR="008125C5">
        <w:rPr>
          <w:szCs w:val="28"/>
        </w:rPr>
        <w:t>,</w:t>
      </w:r>
      <w:r w:rsidRPr="00A44834">
        <w:rPr>
          <w:szCs w:val="28"/>
        </w:rPr>
        <w:t xml:space="preserve"> as the </w:t>
      </w:r>
      <w:r>
        <w:rPr>
          <w:szCs w:val="28"/>
        </w:rPr>
        <w:t>plaintiff</w:t>
      </w:r>
      <w:r w:rsidRPr="00A44834">
        <w:rPr>
          <w:szCs w:val="28"/>
        </w:rPr>
        <w:t xml:space="preserve"> </w:t>
      </w:r>
      <w:r w:rsidR="007E28F9">
        <w:rPr>
          <w:szCs w:val="28"/>
        </w:rPr>
        <w:t xml:space="preserve">had </w:t>
      </w:r>
      <w:r w:rsidRPr="00A44834">
        <w:rPr>
          <w:szCs w:val="28"/>
        </w:rPr>
        <w:t xml:space="preserve">failed to appeal the decision of the EC Case, the </w:t>
      </w:r>
      <w:r>
        <w:rPr>
          <w:szCs w:val="28"/>
        </w:rPr>
        <w:t>plaintiff</w:t>
      </w:r>
      <w:r w:rsidRPr="00A44834">
        <w:rPr>
          <w:szCs w:val="28"/>
        </w:rPr>
        <w:t xml:space="preserve"> is now estopped from arguing that the </w:t>
      </w:r>
      <w:r>
        <w:rPr>
          <w:szCs w:val="28"/>
        </w:rPr>
        <w:t>plaintiff</w:t>
      </w:r>
      <w:r w:rsidRPr="00A44834">
        <w:rPr>
          <w:szCs w:val="28"/>
        </w:rPr>
        <w:t>’s monthly earnings are anything other than HK$8,333.</w:t>
      </w:r>
    </w:p>
    <w:p w:rsidR="008125C5" w:rsidRDefault="008125C5" w:rsidP="008125C5">
      <w:pPr>
        <w:pStyle w:val="ListParagraph"/>
      </w:pPr>
    </w:p>
    <w:p w:rsidR="008125C5" w:rsidRDefault="008125C5" w:rsidP="00394D24">
      <w:pPr>
        <w:numPr>
          <w:ilvl w:val="0"/>
          <w:numId w:val="17"/>
        </w:numPr>
        <w:tabs>
          <w:tab w:val="clear" w:pos="4320"/>
          <w:tab w:val="clear" w:pos="9072"/>
        </w:tabs>
        <w:snapToGrid/>
        <w:spacing w:line="360" w:lineRule="auto"/>
        <w:ind w:left="0" w:right="61" w:firstLine="0"/>
        <w:jc w:val="both"/>
      </w:pPr>
      <w:r>
        <w:t xml:space="preserve">This would have the effect of substantially reducing the plaintiff’s claim in the PI Case as the claim for pre-trial and post-trial loss of earnings (together with the loss of MPF) </w:t>
      </w:r>
      <w:r w:rsidR="00D20286">
        <w:t xml:space="preserve">alone </w:t>
      </w:r>
      <w:r>
        <w:t xml:space="preserve">was over </w:t>
      </w:r>
      <w:r w:rsidR="00D20286">
        <w:t>HK</w:t>
      </w:r>
      <w:r>
        <w:t>$2.31 million out of a to</w:t>
      </w:r>
      <w:r w:rsidR="000078D8">
        <w:t>tal claim of $2.68 million plead</w:t>
      </w:r>
      <w:r>
        <w:t xml:space="preserve">ed under the </w:t>
      </w:r>
      <w:proofErr w:type="spellStart"/>
      <w:r>
        <w:t>SoD</w:t>
      </w:r>
      <w:proofErr w:type="spellEnd"/>
      <w:r>
        <w:t>.</w:t>
      </w:r>
    </w:p>
    <w:p w:rsidR="008125C5" w:rsidRDefault="008125C5" w:rsidP="008125C5">
      <w:pPr>
        <w:pStyle w:val="ListParagraph"/>
      </w:pPr>
    </w:p>
    <w:p w:rsidR="008125C5" w:rsidRPr="00386101" w:rsidRDefault="008125C5" w:rsidP="00394D24">
      <w:pPr>
        <w:numPr>
          <w:ilvl w:val="0"/>
          <w:numId w:val="17"/>
        </w:numPr>
        <w:tabs>
          <w:tab w:val="clear" w:pos="4320"/>
          <w:tab w:val="clear" w:pos="9072"/>
        </w:tabs>
        <w:snapToGrid/>
        <w:spacing w:line="360" w:lineRule="auto"/>
        <w:ind w:left="0" w:right="61" w:firstLine="0"/>
        <w:jc w:val="both"/>
      </w:pPr>
      <w:r>
        <w:t>Hence, once his pre-trial income has become unarguable, it is in my view very doubtful whether the plaintiff still can say that there is a s</w:t>
      </w:r>
      <w:r w:rsidR="007216AF">
        <w:t>erious issue to be tried in the Summons</w:t>
      </w:r>
      <w:r>
        <w:t xml:space="preserve">.  </w:t>
      </w:r>
    </w:p>
    <w:p w:rsidR="00394D24" w:rsidRDefault="00394D24" w:rsidP="00394D24">
      <w:pPr>
        <w:tabs>
          <w:tab w:val="clear" w:pos="4320"/>
          <w:tab w:val="clear" w:pos="9072"/>
        </w:tabs>
        <w:snapToGrid/>
        <w:spacing w:line="360" w:lineRule="auto"/>
        <w:ind w:right="61"/>
        <w:jc w:val="both"/>
        <w:rPr>
          <w:szCs w:val="28"/>
        </w:rPr>
      </w:pPr>
    </w:p>
    <w:p w:rsidR="00CE7DAB" w:rsidRPr="00CE7DAB" w:rsidRDefault="00CE7DAB" w:rsidP="00CE7DAB">
      <w:pPr>
        <w:tabs>
          <w:tab w:val="clear" w:pos="4320"/>
          <w:tab w:val="clear" w:pos="9072"/>
        </w:tabs>
        <w:snapToGrid/>
        <w:spacing w:line="360" w:lineRule="auto"/>
        <w:ind w:right="61"/>
        <w:jc w:val="both"/>
        <w:rPr>
          <w:i/>
          <w:szCs w:val="28"/>
        </w:rPr>
      </w:pPr>
      <w:r w:rsidRPr="00CE7DAB">
        <w:rPr>
          <w:i/>
          <w:szCs w:val="28"/>
        </w:rPr>
        <w:t xml:space="preserve">(II) </w:t>
      </w:r>
      <w:r w:rsidR="007216AF">
        <w:rPr>
          <w:i/>
          <w:szCs w:val="28"/>
        </w:rPr>
        <w:t>N</w:t>
      </w:r>
      <w:r w:rsidRPr="00CE7DAB">
        <w:rPr>
          <w:i/>
          <w:szCs w:val="28"/>
        </w:rPr>
        <w:t>o real risk of dissipation of assets</w:t>
      </w:r>
    </w:p>
    <w:p w:rsidR="00B01132" w:rsidRPr="00947A6A" w:rsidRDefault="00B01132" w:rsidP="00232A16">
      <w:pPr>
        <w:pStyle w:val="ListParagraph"/>
        <w:spacing w:line="360" w:lineRule="auto"/>
        <w:ind w:left="0"/>
        <w:jc w:val="both"/>
      </w:pPr>
    </w:p>
    <w:p w:rsidR="00CE7DAB" w:rsidRPr="00DD563C" w:rsidRDefault="00CE7DAB" w:rsidP="00CE7DAB">
      <w:pPr>
        <w:numPr>
          <w:ilvl w:val="0"/>
          <w:numId w:val="17"/>
        </w:numPr>
        <w:tabs>
          <w:tab w:val="clear" w:pos="4320"/>
          <w:tab w:val="clear" w:pos="9072"/>
        </w:tabs>
        <w:snapToGrid/>
        <w:spacing w:line="360" w:lineRule="auto"/>
        <w:ind w:left="0" w:right="61" w:firstLine="0"/>
        <w:jc w:val="both"/>
        <w:rPr>
          <w:szCs w:val="28"/>
        </w:rPr>
      </w:pPr>
      <w:r w:rsidRPr="00A44834">
        <w:rPr>
          <w:szCs w:val="28"/>
        </w:rPr>
        <w:t xml:space="preserve">The test of dissipation of assets is objective. The Court is not concerned with the motives behind a defendant’s conduct, but rather the Court is concerned with the effect </w:t>
      </w:r>
      <w:r w:rsidRPr="00DD563C">
        <w:rPr>
          <w:szCs w:val="28"/>
        </w:rPr>
        <w:t xml:space="preserve">of said conduct. </w:t>
      </w:r>
      <w:r w:rsidR="007216AF">
        <w:rPr>
          <w:szCs w:val="28"/>
        </w:rPr>
        <w:t xml:space="preserve"> </w:t>
      </w:r>
      <w:r w:rsidRPr="00DD563C">
        <w:rPr>
          <w:szCs w:val="28"/>
        </w:rPr>
        <w:t xml:space="preserve">That said, the mere fact that a defendant’s conduct is likely to deplete his assets available </w:t>
      </w:r>
      <w:r w:rsidR="00D20286">
        <w:rPr>
          <w:szCs w:val="28"/>
        </w:rPr>
        <w:t>for judgment is not sufficient,</w:t>
      </w:r>
      <w:r w:rsidRPr="00DD563C">
        <w:rPr>
          <w:szCs w:val="28"/>
        </w:rPr>
        <w:t xml:space="preserve"> there must be something more than a real risk that the judgment will go unsatisfied: </w:t>
      </w:r>
      <w:r w:rsidR="007216AF">
        <w:rPr>
          <w:szCs w:val="28"/>
        </w:rPr>
        <w:t xml:space="preserve">See </w:t>
      </w:r>
      <w:r w:rsidRPr="00DD563C">
        <w:rPr>
          <w:rFonts w:eastAsia="Times New Roman"/>
          <w:i/>
          <w:szCs w:val="28"/>
        </w:rPr>
        <w:t xml:space="preserve">Chan Fai Cheung v Ho Chi Wing &amp; Others </w:t>
      </w:r>
      <w:r w:rsidRPr="00DD563C">
        <w:rPr>
          <w:rFonts w:eastAsia="Times New Roman"/>
          <w:szCs w:val="28"/>
        </w:rPr>
        <w:t xml:space="preserve">[2018] HKCFI 399 </w:t>
      </w:r>
      <w:r w:rsidRPr="00DD563C">
        <w:rPr>
          <w:szCs w:val="28"/>
        </w:rPr>
        <w:t xml:space="preserve">at §5 per </w:t>
      </w:r>
      <w:proofErr w:type="spellStart"/>
      <w:r w:rsidRPr="00DD563C">
        <w:rPr>
          <w:szCs w:val="28"/>
        </w:rPr>
        <w:t>Mimmie</w:t>
      </w:r>
      <w:proofErr w:type="spellEnd"/>
      <w:r w:rsidRPr="00DD563C">
        <w:rPr>
          <w:szCs w:val="28"/>
        </w:rPr>
        <w:t xml:space="preserve"> Chan J</w:t>
      </w:r>
      <w:r w:rsidRPr="00DD563C">
        <w:rPr>
          <w:rFonts w:eastAsia="Times New Roman"/>
          <w:szCs w:val="28"/>
        </w:rPr>
        <w:t xml:space="preserve">. </w:t>
      </w:r>
      <w:r w:rsidRPr="00DD563C">
        <w:rPr>
          <w:szCs w:val="28"/>
        </w:rPr>
        <w:t xml:space="preserve"> </w:t>
      </w:r>
    </w:p>
    <w:p w:rsidR="00CE7DAB" w:rsidRPr="00A44834" w:rsidRDefault="00CE7DAB" w:rsidP="00CE7DAB">
      <w:pPr>
        <w:spacing w:line="360" w:lineRule="auto"/>
        <w:rPr>
          <w:szCs w:val="28"/>
        </w:rPr>
      </w:pPr>
      <w:r w:rsidRPr="00A44834">
        <w:rPr>
          <w:szCs w:val="28"/>
        </w:rPr>
        <w:t xml:space="preserve"> </w:t>
      </w:r>
    </w:p>
    <w:p w:rsidR="00CE7DAB" w:rsidRPr="00A44834" w:rsidRDefault="00D20286" w:rsidP="00CE7DAB">
      <w:pPr>
        <w:numPr>
          <w:ilvl w:val="0"/>
          <w:numId w:val="17"/>
        </w:numPr>
        <w:tabs>
          <w:tab w:val="clear" w:pos="4320"/>
          <w:tab w:val="clear" w:pos="9072"/>
        </w:tabs>
        <w:snapToGrid/>
        <w:spacing w:line="360" w:lineRule="auto"/>
        <w:ind w:left="0" w:right="61" w:firstLine="0"/>
        <w:jc w:val="both"/>
        <w:rPr>
          <w:szCs w:val="28"/>
        </w:rPr>
      </w:pPr>
      <w:r>
        <w:rPr>
          <w:szCs w:val="28"/>
        </w:rPr>
        <w:t xml:space="preserve">Further, </w:t>
      </w:r>
      <w:r w:rsidR="00F1470C">
        <w:rPr>
          <w:szCs w:val="28"/>
        </w:rPr>
        <w:t>t</w:t>
      </w:r>
      <w:r w:rsidR="00CE7DAB" w:rsidRPr="00A44834">
        <w:rPr>
          <w:szCs w:val="28"/>
        </w:rPr>
        <w:t xml:space="preserve">he purpose of a </w:t>
      </w:r>
      <w:proofErr w:type="spellStart"/>
      <w:r w:rsidR="00CE7DAB" w:rsidRPr="00A44834">
        <w:rPr>
          <w:rFonts w:eastAsia="Times New Roman"/>
          <w:i/>
          <w:szCs w:val="28"/>
        </w:rPr>
        <w:t>Mareva</w:t>
      </w:r>
      <w:proofErr w:type="spellEnd"/>
      <w:r w:rsidR="00CE7DAB" w:rsidRPr="00A44834">
        <w:rPr>
          <w:szCs w:val="28"/>
        </w:rPr>
        <w:t xml:space="preserve"> injunction is to prevent the injustice that a plaintiff may face where a defendant is permitted to deal with the defendant’s assets as to put them out of the plaintiff’s reach in the event the plaintiff is successful in their claim. However, a distinction must be drawn where a defendant is using his assets for personal expen</w:t>
      </w:r>
      <w:r>
        <w:rPr>
          <w:szCs w:val="28"/>
        </w:rPr>
        <w:t>diture, such as living expenses;</w:t>
      </w:r>
      <w:r w:rsidR="007E28F9">
        <w:rPr>
          <w:szCs w:val="28"/>
        </w:rPr>
        <w:t xml:space="preserve"> or</w:t>
      </w:r>
      <w:r>
        <w:rPr>
          <w:szCs w:val="28"/>
        </w:rPr>
        <w:t xml:space="preserve"> proper expenses</w:t>
      </w:r>
      <w:r w:rsidR="00CE7DAB" w:rsidRPr="00A44834">
        <w:rPr>
          <w:szCs w:val="28"/>
        </w:rPr>
        <w:t xml:space="preserve"> such as everyday b</w:t>
      </w:r>
      <w:r>
        <w:rPr>
          <w:szCs w:val="28"/>
        </w:rPr>
        <w:t>usiness expenses</w:t>
      </w:r>
      <w:r w:rsidR="00CE7DAB" w:rsidRPr="00A44834">
        <w:rPr>
          <w:szCs w:val="28"/>
        </w:rPr>
        <w:t xml:space="preserve"> and legal costs. Where a defendant uses his assets to meet proper expenses, there is no dissipation of assets and there is no injustice to the </w:t>
      </w:r>
      <w:r w:rsidR="00CE7DAB" w:rsidRPr="00A44834">
        <w:rPr>
          <w:szCs w:val="28"/>
        </w:rPr>
        <w:lastRenderedPageBreak/>
        <w:t xml:space="preserve">plaintiff: </w:t>
      </w:r>
      <w:r w:rsidR="00261B45">
        <w:rPr>
          <w:szCs w:val="28"/>
        </w:rPr>
        <w:t xml:space="preserve">See </w:t>
      </w:r>
      <w:r w:rsidR="00CE7DAB" w:rsidRPr="00A44834">
        <w:rPr>
          <w:rFonts w:eastAsia="Times New Roman"/>
          <w:i/>
          <w:szCs w:val="28"/>
        </w:rPr>
        <w:t xml:space="preserve">Cheung Sai </w:t>
      </w:r>
      <w:proofErr w:type="spellStart"/>
      <w:r w:rsidR="00CE7DAB" w:rsidRPr="00A44834">
        <w:rPr>
          <w:rFonts w:eastAsia="Times New Roman"/>
          <w:i/>
          <w:szCs w:val="28"/>
        </w:rPr>
        <w:t>Lun</w:t>
      </w:r>
      <w:proofErr w:type="spellEnd"/>
      <w:r w:rsidR="00CE7DAB" w:rsidRPr="00A44834">
        <w:rPr>
          <w:rFonts w:eastAsia="Times New Roman"/>
          <w:i/>
          <w:szCs w:val="28"/>
        </w:rPr>
        <w:t xml:space="preserve"> v Lau Tai Chin &amp; Anor </w:t>
      </w:r>
      <w:r w:rsidR="00CE7DAB" w:rsidRPr="00A44834">
        <w:rPr>
          <w:rFonts w:eastAsia="Times New Roman"/>
          <w:szCs w:val="28"/>
        </w:rPr>
        <w:t xml:space="preserve">(unreported, </w:t>
      </w:r>
      <w:r w:rsidRPr="00A44834">
        <w:rPr>
          <w:rFonts w:eastAsia="Times New Roman"/>
          <w:szCs w:val="28"/>
        </w:rPr>
        <w:t>HCCW 677/2004</w:t>
      </w:r>
      <w:r>
        <w:rPr>
          <w:rFonts w:eastAsia="Times New Roman"/>
          <w:szCs w:val="28"/>
        </w:rPr>
        <w:t>,</w:t>
      </w:r>
      <w:r w:rsidRPr="00A44834">
        <w:rPr>
          <w:rFonts w:eastAsia="Times New Roman"/>
          <w:szCs w:val="28"/>
        </w:rPr>
        <w:t xml:space="preserve"> </w:t>
      </w:r>
      <w:r w:rsidR="00CE7DAB" w:rsidRPr="00A44834">
        <w:rPr>
          <w:rFonts w:eastAsia="Times New Roman"/>
          <w:szCs w:val="28"/>
        </w:rPr>
        <w:t xml:space="preserve">19 September 2007) </w:t>
      </w:r>
      <w:r w:rsidR="00CE7DAB" w:rsidRPr="00A44834">
        <w:rPr>
          <w:szCs w:val="28"/>
        </w:rPr>
        <w:t xml:space="preserve">at §§7-8 per </w:t>
      </w:r>
      <w:proofErr w:type="spellStart"/>
      <w:r w:rsidR="00CE7DAB" w:rsidRPr="00A44834">
        <w:rPr>
          <w:szCs w:val="28"/>
        </w:rPr>
        <w:t>Barma</w:t>
      </w:r>
      <w:proofErr w:type="spellEnd"/>
      <w:r w:rsidR="00CE7DAB" w:rsidRPr="00A44834">
        <w:rPr>
          <w:szCs w:val="28"/>
        </w:rPr>
        <w:t xml:space="preserve"> J</w:t>
      </w:r>
      <w:r w:rsidR="00261B45">
        <w:rPr>
          <w:szCs w:val="28"/>
        </w:rPr>
        <w:t xml:space="preserve"> (as he then was)</w:t>
      </w:r>
      <w:r w:rsidR="00CE7DAB" w:rsidRPr="00A44834">
        <w:rPr>
          <w:rFonts w:eastAsia="Times New Roman"/>
          <w:szCs w:val="28"/>
        </w:rPr>
        <w:t xml:space="preserve">. </w:t>
      </w:r>
      <w:r w:rsidR="00CE7DAB" w:rsidRPr="00A44834">
        <w:rPr>
          <w:szCs w:val="28"/>
        </w:rPr>
        <w:t xml:space="preserve"> </w:t>
      </w:r>
    </w:p>
    <w:p w:rsidR="00CE7DAB" w:rsidRPr="00A44834" w:rsidRDefault="00CE7DAB" w:rsidP="00CE7DAB">
      <w:pPr>
        <w:spacing w:line="360" w:lineRule="auto"/>
        <w:ind w:left="720"/>
        <w:rPr>
          <w:szCs w:val="28"/>
        </w:rPr>
      </w:pPr>
      <w:r w:rsidRPr="00A44834">
        <w:rPr>
          <w:szCs w:val="28"/>
        </w:rPr>
        <w:t xml:space="preserve"> </w:t>
      </w:r>
    </w:p>
    <w:p w:rsidR="00CE7DAB" w:rsidRPr="00DD563C" w:rsidRDefault="00CE7DAB" w:rsidP="00CE7DAB">
      <w:pPr>
        <w:numPr>
          <w:ilvl w:val="0"/>
          <w:numId w:val="17"/>
        </w:numPr>
        <w:tabs>
          <w:tab w:val="clear" w:pos="4320"/>
          <w:tab w:val="clear" w:pos="9072"/>
        </w:tabs>
        <w:snapToGrid/>
        <w:spacing w:line="360" w:lineRule="auto"/>
        <w:ind w:left="0" w:right="61" w:firstLine="0"/>
        <w:jc w:val="both"/>
        <w:rPr>
          <w:szCs w:val="28"/>
        </w:rPr>
      </w:pPr>
      <w:r w:rsidRPr="00A44834">
        <w:rPr>
          <w:szCs w:val="28"/>
        </w:rPr>
        <w:t xml:space="preserve">The Courts have in the past discharged </w:t>
      </w:r>
      <w:proofErr w:type="spellStart"/>
      <w:r w:rsidRPr="00A44834">
        <w:rPr>
          <w:rFonts w:eastAsia="Times New Roman"/>
          <w:i/>
          <w:szCs w:val="28"/>
        </w:rPr>
        <w:t>Mareva</w:t>
      </w:r>
      <w:proofErr w:type="spellEnd"/>
      <w:r w:rsidRPr="00A44834">
        <w:rPr>
          <w:rFonts w:eastAsia="Times New Roman"/>
          <w:i/>
          <w:szCs w:val="28"/>
        </w:rPr>
        <w:t xml:space="preserve"> </w:t>
      </w:r>
      <w:r w:rsidRPr="00A44834">
        <w:rPr>
          <w:szCs w:val="28"/>
        </w:rPr>
        <w:t xml:space="preserve">injunctions where it is shown that there will be sufficient assets left in the defendant’s estate even after a particular sale, to </w:t>
      </w:r>
      <w:r w:rsidRPr="00DD563C">
        <w:rPr>
          <w:szCs w:val="28"/>
        </w:rPr>
        <w:t xml:space="preserve">satisfy a plaintiff’s claim: </w:t>
      </w:r>
      <w:r w:rsidR="00F1470C">
        <w:rPr>
          <w:rFonts w:eastAsia="Times New Roman"/>
          <w:i/>
          <w:szCs w:val="28"/>
        </w:rPr>
        <w:t>S</w:t>
      </w:r>
      <w:r w:rsidRPr="00DD563C">
        <w:rPr>
          <w:rFonts w:eastAsia="Times New Roman"/>
          <w:i/>
          <w:szCs w:val="28"/>
        </w:rPr>
        <w:t xml:space="preserve">ee Wong </w:t>
      </w:r>
      <w:proofErr w:type="spellStart"/>
      <w:r w:rsidRPr="00DD563C">
        <w:rPr>
          <w:rFonts w:eastAsia="Times New Roman"/>
          <w:i/>
          <w:szCs w:val="28"/>
        </w:rPr>
        <w:t>Wai</w:t>
      </w:r>
      <w:proofErr w:type="spellEnd"/>
      <w:r w:rsidRPr="00DD563C">
        <w:rPr>
          <w:rFonts w:eastAsia="Times New Roman"/>
          <w:i/>
          <w:szCs w:val="28"/>
        </w:rPr>
        <w:t xml:space="preserve"> Fung Dong </w:t>
      </w:r>
      <w:proofErr w:type="gramStart"/>
      <w:r w:rsidRPr="00DD563C">
        <w:rPr>
          <w:rFonts w:eastAsia="Times New Roman"/>
          <w:i/>
          <w:szCs w:val="28"/>
        </w:rPr>
        <w:t>v</w:t>
      </w:r>
      <w:proofErr w:type="gramEnd"/>
      <w:r w:rsidRPr="00DD563C">
        <w:rPr>
          <w:rFonts w:eastAsia="Times New Roman"/>
          <w:i/>
          <w:szCs w:val="28"/>
        </w:rPr>
        <w:t xml:space="preserve"> Ho Chiu Fung </w:t>
      </w:r>
      <w:r w:rsidRPr="00DD563C">
        <w:rPr>
          <w:rFonts w:eastAsia="Times New Roman"/>
          <w:szCs w:val="28"/>
        </w:rPr>
        <w:t xml:space="preserve">[2018] HKDC 753. </w:t>
      </w:r>
      <w:r w:rsidRPr="00DD563C">
        <w:rPr>
          <w:szCs w:val="28"/>
        </w:rPr>
        <w:t xml:space="preserve"> </w:t>
      </w:r>
    </w:p>
    <w:p w:rsidR="00CE7DAB" w:rsidRPr="00A44834" w:rsidRDefault="00CE7DAB" w:rsidP="00CE7DAB">
      <w:pPr>
        <w:spacing w:line="360" w:lineRule="auto"/>
        <w:ind w:left="720"/>
        <w:rPr>
          <w:szCs w:val="28"/>
        </w:rPr>
      </w:pPr>
      <w:r w:rsidRPr="00A44834">
        <w:rPr>
          <w:szCs w:val="28"/>
        </w:rPr>
        <w:t xml:space="preserve"> </w:t>
      </w:r>
    </w:p>
    <w:p w:rsidR="00CE7DAB" w:rsidRPr="00A44834" w:rsidRDefault="00CE7DAB" w:rsidP="00CE7DAB">
      <w:pPr>
        <w:numPr>
          <w:ilvl w:val="0"/>
          <w:numId w:val="17"/>
        </w:numPr>
        <w:tabs>
          <w:tab w:val="clear" w:pos="4320"/>
          <w:tab w:val="clear" w:pos="9072"/>
        </w:tabs>
        <w:snapToGrid/>
        <w:spacing w:line="360" w:lineRule="auto"/>
        <w:ind w:left="0" w:right="61" w:firstLine="0"/>
        <w:jc w:val="both"/>
        <w:rPr>
          <w:szCs w:val="28"/>
        </w:rPr>
      </w:pPr>
      <w:r w:rsidRPr="00A44834">
        <w:rPr>
          <w:szCs w:val="28"/>
        </w:rPr>
        <w:t xml:space="preserve">In </w:t>
      </w:r>
      <w:r w:rsidR="00F1470C">
        <w:rPr>
          <w:szCs w:val="28"/>
        </w:rPr>
        <w:t xml:space="preserve">my judgment, </w:t>
      </w:r>
      <w:r w:rsidRPr="00A44834">
        <w:rPr>
          <w:szCs w:val="28"/>
        </w:rPr>
        <w:t xml:space="preserve">there is no dissipation of assets </w:t>
      </w:r>
      <w:r w:rsidR="00F1470C">
        <w:rPr>
          <w:szCs w:val="28"/>
        </w:rPr>
        <w:t xml:space="preserve">in our present case </w:t>
      </w:r>
      <w:r w:rsidRPr="00A44834">
        <w:rPr>
          <w:szCs w:val="28"/>
        </w:rPr>
        <w:t>as</w:t>
      </w:r>
      <w:r w:rsidR="00D20286">
        <w:rPr>
          <w:szCs w:val="28"/>
        </w:rPr>
        <w:t xml:space="preserve"> I find</w:t>
      </w:r>
      <w:r w:rsidRPr="00A44834">
        <w:rPr>
          <w:szCs w:val="28"/>
        </w:rPr>
        <w:t xml:space="preserve"> the 2</w:t>
      </w:r>
      <w:r w:rsidRPr="00A44834">
        <w:rPr>
          <w:szCs w:val="28"/>
          <w:vertAlign w:val="superscript"/>
        </w:rPr>
        <w:t>nd</w:t>
      </w:r>
      <w:r w:rsidRPr="00A44834">
        <w:rPr>
          <w:szCs w:val="28"/>
        </w:rPr>
        <w:t xml:space="preserve"> Property was transferred to the Elder Son in order to secure a mortgage and as fair treatment to Elder Son</w:t>
      </w:r>
      <w:r w:rsidR="00F1470C">
        <w:rPr>
          <w:szCs w:val="28"/>
        </w:rPr>
        <w:t xml:space="preserve"> as shown by the evidence produced by the defendant</w:t>
      </w:r>
      <w:r w:rsidRPr="00A44834">
        <w:rPr>
          <w:szCs w:val="28"/>
        </w:rPr>
        <w:t xml:space="preserve">. </w:t>
      </w:r>
      <w:r w:rsidR="00F1470C">
        <w:rPr>
          <w:szCs w:val="28"/>
        </w:rPr>
        <w:t xml:space="preserve"> </w:t>
      </w:r>
      <w:r w:rsidRPr="00A44834">
        <w:rPr>
          <w:szCs w:val="28"/>
        </w:rPr>
        <w:t xml:space="preserve">In turn, the mortgage was to raise funds for this present litigation and other related purposes. </w:t>
      </w:r>
      <w:r w:rsidR="00F1470C">
        <w:rPr>
          <w:szCs w:val="28"/>
        </w:rPr>
        <w:t xml:space="preserve"> </w:t>
      </w:r>
      <w:r w:rsidRPr="00A44834">
        <w:rPr>
          <w:szCs w:val="28"/>
        </w:rPr>
        <w:t xml:space="preserve">As </w:t>
      </w:r>
      <w:r w:rsidR="00F1470C">
        <w:rPr>
          <w:szCs w:val="28"/>
        </w:rPr>
        <w:t>such</w:t>
      </w:r>
      <w:r w:rsidRPr="00A44834">
        <w:rPr>
          <w:szCs w:val="28"/>
        </w:rPr>
        <w:t xml:space="preserve">, </w:t>
      </w:r>
      <w:r w:rsidR="00F1470C">
        <w:rPr>
          <w:szCs w:val="28"/>
        </w:rPr>
        <w:t xml:space="preserve">I find </w:t>
      </w:r>
      <w:r w:rsidRPr="00A44834">
        <w:rPr>
          <w:szCs w:val="28"/>
        </w:rPr>
        <w:t xml:space="preserve">these are legitimate uses of the </w:t>
      </w:r>
      <w:r w:rsidR="0046333F">
        <w:rPr>
          <w:szCs w:val="28"/>
        </w:rPr>
        <w:t>defendant</w:t>
      </w:r>
      <w:r w:rsidR="00D20286">
        <w:rPr>
          <w:szCs w:val="28"/>
        </w:rPr>
        <w:t>’s assets which</w:t>
      </w:r>
      <w:r w:rsidRPr="00A44834">
        <w:rPr>
          <w:szCs w:val="28"/>
        </w:rPr>
        <w:t xml:space="preserve"> cannot be considered a dissipation of assets nor </w:t>
      </w:r>
      <w:r w:rsidR="00F1470C">
        <w:rPr>
          <w:szCs w:val="28"/>
        </w:rPr>
        <w:t xml:space="preserve">causing </w:t>
      </w:r>
      <w:r w:rsidRPr="00A44834">
        <w:rPr>
          <w:szCs w:val="28"/>
        </w:rPr>
        <w:t xml:space="preserve">an injustice to the </w:t>
      </w:r>
      <w:r w:rsidR="0046333F">
        <w:rPr>
          <w:szCs w:val="28"/>
        </w:rPr>
        <w:t>plaintiff</w:t>
      </w:r>
      <w:r w:rsidRPr="00A44834">
        <w:rPr>
          <w:szCs w:val="28"/>
        </w:rPr>
        <w:t xml:space="preserve">.  </w:t>
      </w:r>
    </w:p>
    <w:p w:rsidR="00CE7DAB" w:rsidRPr="00A44834" w:rsidRDefault="00CE7DAB" w:rsidP="00CE7DAB">
      <w:pPr>
        <w:spacing w:line="360" w:lineRule="auto"/>
        <w:ind w:left="720"/>
        <w:rPr>
          <w:szCs w:val="28"/>
        </w:rPr>
      </w:pPr>
      <w:r w:rsidRPr="00A44834">
        <w:rPr>
          <w:szCs w:val="28"/>
        </w:rPr>
        <w:t xml:space="preserve"> </w:t>
      </w:r>
    </w:p>
    <w:p w:rsidR="00CE7DAB" w:rsidRPr="00DD563C" w:rsidRDefault="00D20286" w:rsidP="00CE7DAB">
      <w:pPr>
        <w:numPr>
          <w:ilvl w:val="0"/>
          <w:numId w:val="17"/>
        </w:numPr>
        <w:tabs>
          <w:tab w:val="clear" w:pos="4320"/>
          <w:tab w:val="clear" w:pos="9072"/>
        </w:tabs>
        <w:snapToGrid/>
        <w:spacing w:line="360" w:lineRule="auto"/>
        <w:ind w:left="0" w:right="61" w:firstLine="0"/>
        <w:jc w:val="both"/>
        <w:rPr>
          <w:szCs w:val="28"/>
        </w:rPr>
      </w:pPr>
      <w:r>
        <w:rPr>
          <w:szCs w:val="28"/>
        </w:rPr>
        <w:t>Moreover</w:t>
      </w:r>
      <w:r w:rsidR="00824BEA">
        <w:rPr>
          <w:szCs w:val="28"/>
        </w:rPr>
        <w:t>, t</w:t>
      </w:r>
      <w:r w:rsidR="00CE7DAB" w:rsidRPr="00A44834">
        <w:rPr>
          <w:szCs w:val="28"/>
        </w:rPr>
        <w:t xml:space="preserve">here have been no signs that the </w:t>
      </w:r>
      <w:r w:rsidR="0046333F">
        <w:rPr>
          <w:szCs w:val="28"/>
        </w:rPr>
        <w:t>defendant</w:t>
      </w:r>
      <w:r w:rsidR="00CE7DAB" w:rsidRPr="00A44834">
        <w:rPr>
          <w:szCs w:val="28"/>
        </w:rPr>
        <w:t xml:space="preserve"> </w:t>
      </w:r>
      <w:r w:rsidR="00824BEA">
        <w:rPr>
          <w:szCs w:val="28"/>
        </w:rPr>
        <w:t xml:space="preserve">had </w:t>
      </w:r>
      <w:r w:rsidR="00CE7DAB" w:rsidRPr="00A44834">
        <w:rPr>
          <w:szCs w:val="28"/>
        </w:rPr>
        <w:t xml:space="preserve">attempted or was attempting to evade liability to satisfy </w:t>
      </w:r>
      <w:r w:rsidR="00824BEA">
        <w:rPr>
          <w:szCs w:val="28"/>
        </w:rPr>
        <w:t xml:space="preserve">the </w:t>
      </w:r>
      <w:r w:rsidR="00CE7DAB" w:rsidRPr="00A44834">
        <w:rPr>
          <w:szCs w:val="28"/>
        </w:rPr>
        <w:t>judgment in the</w:t>
      </w:r>
      <w:r w:rsidR="00824BEA">
        <w:rPr>
          <w:szCs w:val="28"/>
        </w:rPr>
        <w:t xml:space="preserve"> </w:t>
      </w:r>
      <w:r w:rsidR="00CE7DAB" w:rsidRPr="00A44834">
        <w:rPr>
          <w:szCs w:val="28"/>
        </w:rPr>
        <w:t xml:space="preserve">EC Case. The </w:t>
      </w:r>
      <w:r w:rsidR="0046333F">
        <w:rPr>
          <w:szCs w:val="28"/>
        </w:rPr>
        <w:t>defendant</w:t>
      </w:r>
      <w:r w:rsidR="00CE7DAB" w:rsidRPr="00A44834">
        <w:rPr>
          <w:szCs w:val="28"/>
        </w:rPr>
        <w:t xml:space="preserve"> was unrepresented in the EC Case</w:t>
      </w:r>
      <w:r w:rsidR="00824BEA">
        <w:rPr>
          <w:szCs w:val="28"/>
        </w:rPr>
        <w:t xml:space="preserve"> up until after the</w:t>
      </w:r>
      <w:r>
        <w:rPr>
          <w:szCs w:val="28"/>
        </w:rPr>
        <w:t xml:space="preserve"> EC</w:t>
      </w:r>
      <w:r w:rsidR="00824BEA">
        <w:rPr>
          <w:szCs w:val="28"/>
        </w:rPr>
        <w:t xml:space="preserve"> </w:t>
      </w:r>
      <w:r>
        <w:rPr>
          <w:szCs w:val="28"/>
        </w:rPr>
        <w:t>Case J</w:t>
      </w:r>
      <w:r w:rsidR="00824BEA">
        <w:rPr>
          <w:szCs w:val="28"/>
        </w:rPr>
        <w:t xml:space="preserve">udgment was handed down by </w:t>
      </w:r>
      <w:r>
        <w:rPr>
          <w:szCs w:val="28"/>
        </w:rPr>
        <w:t xml:space="preserve">HH </w:t>
      </w:r>
      <w:r w:rsidR="00824BEA">
        <w:rPr>
          <w:szCs w:val="28"/>
        </w:rPr>
        <w:t>Judge Harold Leong</w:t>
      </w:r>
      <w:r w:rsidR="00CE7DAB" w:rsidRPr="00A44834">
        <w:rPr>
          <w:szCs w:val="28"/>
        </w:rPr>
        <w:t xml:space="preserve">. </w:t>
      </w:r>
      <w:r w:rsidR="00824BEA">
        <w:rPr>
          <w:szCs w:val="28"/>
        </w:rPr>
        <w:t>Since then, t</w:t>
      </w:r>
      <w:r w:rsidR="00CE7DAB" w:rsidRPr="00A44834">
        <w:rPr>
          <w:szCs w:val="28"/>
        </w:rPr>
        <w:t xml:space="preserve">he </w:t>
      </w:r>
      <w:r w:rsidR="0046333F">
        <w:rPr>
          <w:szCs w:val="28"/>
        </w:rPr>
        <w:t>defendant</w:t>
      </w:r>
      <w:r>
        <w:rPr>
          <w:szCs w:val="28"/>
        </w:rPr>
        <w:t xml:space="preserve"> had</w:t>
      </w:r>
      <w:r w:rsidR="00CE7DAB" w:rsidRPr="00A44834">
        <w:rPr>
          <w:szCs w:val="28"/>
        </w:rPr>
        <w:t xml:space="preserve"> already settled the judgment sum in the EC Case with interest</w:t>
      </w:r>
      <w:r w:rsidR="00824BEA">
        <w:rPr>
          <w:szCs w:val="28"/>
        </w:rPr>
        <w:t>.</w:t>
      </w:r>
      <w:r w:rsidR="00CE7DAB" w:rsidRPr="00A44834">
        <w:rPr>
          <w:szCs w:val="28"/>
        </w:rPr>
        <w:t xml:space="preserve"> </w:t>
      </w:r>
      <w:r w:rsidR="00824BEA">
        <w:rPr>
          <w:szCs w:val="28"/>
        </w:rPr>
        <w:t>U</w:t>
      </w:r>
      <w:r w:rsidR="00CE7DAB" w:rsidRPr="00A44834">
        <w:rPr>
          <w:szCs w:val="28"/>
        </w:rPr>
        <w:t xml:space="preserve">pon </w:t>
      </w:r>
      <w:r w:rsidR="00824BEA">
        <w:rPr>
          <w:szCs w:val="28"/>
        </w:rPr>
        <w:t>l</w:t>
      </w:r>
      <w:r w:rsidR="00CE7DAB" w:rsidRPr="00A44834">
        <w:rPr>
          <w:szCs w:val="28"/>
        </w:rPr>
        <w:t xml:space="preserve">egal advice, </w:t>
      </w:r>
      <w:r w:rsidR="00824BEA">
        <w:rPr>
          <w:szCs w:val="28"/>
        </w:rPr>
        <w:t xml:space="preserve">he has </w:t>
      </w:r>
      <w:r w:rsidR="00B63943">
        <w:rPr>
          <w:szCs w:val="28"/>
        </w:rPr>
        <w:t xml:space="preserve">also </w:t>
      </w:r>
      <w:r w:rsidR="00CE7DAB" w:rsidRPr="00A44834">
        <w:rPr>
          <w:szCs w:val="28"/>
        </w:rPr>
        <w:t>offered</w:t>
      </w:r>
      <w:r>
        <w:rPr>
          <w:szCs w:val="28"/>
        </w:rPr>
        <w:t xml:space="preserve"> what he would regard as</w:t>
      </w:r>
      <w:r w:rsidR="00CE7DAB" w:rsidRPr="00A44834">
        <w:rPr>
          <w:szCs w:val="28"/>
        </w:rPr>
        <w:t xml:space="preserve"> a </w:t>
      </w:r>
      <w:r w:rsidR="007E28F9">
        <w:rPr>
          <w:szCs w:val="28"/>
        </w:rPr>
        <w:t xml:space="preserve">reasonable </w:t>
      </w:r>
      <w:r w:rsidR="00CE7DAB" w:rsidRPr="00A44834">
        <w:rPr>
          <w:szCs w:val="28"/>
        </w:rPr>
        <w:t xml:space="preserve">sum to settle the costs of the EC Case </w:t>
      </w:r>
      <w:r w:rsidR="00824BEA">
        <w:rPr>
          <w:szCs w:val="28"/>
        </w:rPr>
        <w:t>under</w:t>
      </w:r>
      <w:r w:rsidR="00CE7DAB" w:rsidRPr="00A44834">
        <w:rPr>
          <w:szCs w:val="28"/>
        </w:rPr>
        <w:t xml:space="preserve"> a letter dated 20 October 2020 to the </w:t>
      </w:r>
      <w:r w:rsidR="0046333F">
        <w:rPr>
          <w:szCs w:val="28"/>
        </w:rPr>
        <w:t>plaintiff</w:t>
      </w:r>
      <w:r w:rsidR="00CE7DAB" w:rsidRPr="00A44834">
        <w:rPr>
          <w:szCs w:val="28"/>
        </w:rPr>
        <w:t xml:space="preserve">’s </w:t>
      </w:r>
      <w:r w:rsidR="0046333F">
        <w:rPr>
          <w:szCs w:val="28"/>
        </w:rPr>
        <w:t>solicitor</w:t>
      </w:r>
      <w:r w:rsidR="00824BEA">
        <w:rPr>
          <w:szCs w:val="28"/>
        </w:rPr>
        <w:t>s</w:t>
      </w:r>
      <w:r w:rsidR="00CE7DAB" w:rsidRPr="00DD563C">
        <w:rPr>
          <w:szCs w:val="28"/>
        </w:rPr>
        <w:t>.</w:t>
      </w:r>
      <w:r w:rsidR="00824BEA">
        <w:rPr>
          <w:szCs w:val="28"/>
        </w:rPr>
        <w:t xml:space="preserve">  </w:t>
      </w:r>
      <w:r w:rsidR="00CE7DAB" w:rsidRPr="00DD563C">
        <w:rPr>
          <w:szCs w:val="28"/>
        </w:rPr>
        <w:t xml:space="preserve">  </w:t>
      </w:r>
    </w:p>
    <w:p w:rsidR="00CE7DAB" w:rsidRPr="00A44834" w:rsidRDefault="00CE7DAB" w:rsidP="00CE7DAB">
      <w:pPr>
        <w:spacing w:line="360" w:lineRule="auto"/>
        <w:rPr>
          <w:szCs w:val="28"/>
        </w:rPr>
      </w:pPr>
      <w:r w:rsidRPr="00A44834">
        <w:rPr>
          <w:szCs w:val="28"/>
        </w:rPr>
        <w:t xml:space="preserve"> </w:t>
      </w:r>
    </w:p>
    <w:p w:rsidR="00CE7DAB" w:rsidRPr="00DD563C" w:rsidRDefault="00CE7DAB" w:rsidP="00CE7DAB">
      <w:pPr>
        <w:numPr>
          <w:ilvl w:val="0"/>
          <w:numId w:val="17"/>
        </w:numPr>
        <w:tabs>
          <w:tab w:val="clear" w:pos="4320"/>
          <w:tab w:val="clear" w:pos="9072"/>
        </w:tabs>
        <w:snapToGrid/>
        <w:spacing w:line="360" w:lineRule="auto"/>
        <w:ind w:left="0" w:right="61" w:firstLine="0"/>
        <w:jc w:val="both"/>
        <w:rPr>
          <w:szCs w:val="28"/>
        </w:rPr>
      </w:pPr>
      <w:r w:rsidRPr="00A44834">
        <w:rPr>
          <w:szCs w:val="28"/>
        </w:rPr>
        <w:t xml:space="preserve">In any event, the </w:t>
      </w:r>
      <w:r w:rsidR="0046333F">
        <w:rPr>
          <w:szCs w:val="28"/>
        </w:rPr>
        <w:t>defendant</w:t>
      </w:r>
      <w:r w:rsidRPr="00A44834">
        <w:rPr>
          <w:szCs w:val="28"/>
        </w:rPr>
        <w:t xml:space="preserve"> is still jointly holding the 1</w:t>
      </w:r>
      <w:r w:rsidRPr="00A44834">
        <w:rPr>
          <w:szCs w:val="28"/>
          <w:vertAlign w:val="superscript"/>
        </w:rPr>
        <w:t>st</w:t>
      </w:r>
      <w:r w:rsidRPr="00A44834">
        <w:rPr>
          <w:szCs w:val="28"/>
        </w:rPr>
        <w:t xml:space="preserve"> Property with the </w:t>
      </w:r>
      <w:r w:rsidR="0046333F">
        <w:rPr>
          <w:szCs w:val="28"/>
        </w:rPr>
        <w:t>defendant</w:t>
      </w:r>
      <w:r w:rsidRPr="00A44834">
        <w:rPr>
          <w:szCs w:val="28"/>
        </w:rPr>
        <w:t xml:space="preserve">’s </w:t>
      </w:r>
      <w:r w:rsidR="007D5DBD">
        <w:rPr>
          <w:szCs w:val="28"/>
        </w:rPr>
        <w:t>w</w:t>
      </w:r>
      <w:r w:rsidRPr="00DD563C">
        <w:rPr>
          <w:szCs w:val="28"/>
        </w:rPr>
        <w:t>ife, which is free of mortgage and worth more than HK$6 million</w:t>
      </w:r>
      <w:r w:rsidR="00D20286">
        <w:rPr>
          <w:szCs w:val="28"/>
        </w:rPr>
        <w:t xml:space="preserve"> of which the plaintiff can of course go after in the event that he succeeds in the PI Ca</w:t>
      </w:r>
      <w:r w:rsidR="007E28F9">
        <w:rPr>
          <w:szCs w:val="28"/>
        </w:rPr>
        <w:t>se.</w:t>
      </w:r>
    </w:p>
    <w:p w:rsidR="00CE7DAB" w:rsidRPr="00A44834" w:rsidRDefault="00CE7DAB" w:rsidP="00CE7DAB">
      <w:pPr>
        <w:spacing w:line="360" w:lineRule="auto"/>
        <w:ind w:left="720"/>
        <w:rPr>
          <w:szCs w:val="28"/>
        </w:rPr>
      </w:pPr>
      <w:r w:rsidRPr="00A44834">
        <w:rPr>
          <w:szCs w:val="28"/>
        </w:rPr>
        <w:lastRenderedPageBreak/>
        <w:t xml:space="preserve"> </w:t>
      </w:r>
    </w:p>
    <w:p w:rsidR="00CE7DAB" w:rsidRPr="00A44834" w:rsidRDefault="00CE7DAB" w:rsidP="00CE7DAB">
      <w:pPr>
        <w:spacing w:line="360" w:lineRule="auto"/>
        <w:ind w:left="720"/>
        <w:rPr>
          <w:szCs w:val="28"/>
        </w:rPr>
      </w:pPr>
    </w:p>
    <w:p w:rsidR="00CE7DAB" w:rsidRPr="00DD563C" w:rsidRDefault="00285B97" w:rsidP="00CE7DAB">
      <w:pPr>
        <w:numPr>
          <w:ilvl w:val="0"/>
          <w:numId w:val="17"/>
        </w:numPr>
        <w:tabs>
          <w:tab w:val="clear" w:pos="4320"/>
          <w:tab w:val="clear" w:pos="9072"/>
        </w:tabs>
        <w:snapToGrid/>
        <w:spacing w:line="360" w:lineRule="auto"/>
        <w:ind w:left="0" w:right="61" w:firstLine="0"/>
        <w:jc w:val="both"/>
        <w:rPr>
          <w:szCs w:val="28"/>
        </w:rPr>
      </w:pPr>
      <w:r>
        <w:rPr>
          <w:szCs w:val="28"/>
        </w:rPr>
        <w:t>I also agree with the defendant that t</w:t>
      </w:r>
      <w:r w:rsidR="00CE7DAB" w:rsidRPr="00A44834">
        <w:rPr>
          <w:szCs w:val="28"/>
        </w:rPr>
        <w:t xml:space="preserve">he </w:t>
      </w:r>
      <w:r w:rsidR="009D65CC">
        <w:rPr>
          <w:szCs w:val="28"/>
        </w:rPr>
        <w:t>2</w:t>
      </w:r>
      <w:r w:rsidR="00CE7DAB" w:rsidRPr="00A44834">
        <w:rPr>
          <w:szCs w:val="28"/>
        </w:rPr>
        <w:t xml:space="preserve"> cases referred to in the </w:t>
      </w:r>
      <w:r w:rsidR="0046333F">
        <w:rPr>
          <w:szCs w:val="28"/>
        </w:rPr>
        <w:t>plaintiff</w:t>
      </w:r>
      <w:r>
        <w:rPr>
          <w:szCs w:val="28"/>
        </w:rPr>
        <w:t>’s s</w:t>
      </w:r>
      <w:r w:rsidR="00CE7DAB" w:rsidRPr="00A44834">
        <w:rPr>
          <w:szCs w:val="28"/>
        </w:rPr>
        <w:t xml:space="preserve">keleton </w:t>
      </w:r>
      <w:r>
        <w:rPr>
          <w:szCs w:val="28"/>
        </w:rPr>
        <w:t>a</w:t>
      </w:r>
      <w:r w:rsidR="00CE7DAB" w:rsidRPr="00A44834">
        <w:rPr>
          <w:szCs w:val="28"/>
        </w:rPr>
        <w:t xml:space="preserve">rguments, </w:t>
      </w:r>
      <w:r>
        <w:rPr>
          <w:szCs w:val="28"/>
        </w:rPr>
        <w:t xml:space="preserve">namely, </w:t>
      </w:r>
      <w:proofErr w:type="spellStart"/>
      <w:r w:rsidR="00CE7DAB" w:rsidRPr="00A44834">
        <w:rPr>
          <w:rFonts w:eastAsia="Times New Roman"/>
          <w:i/>
          <w:szCs w:val="28"/>
        </w:rPr>
        <w:t>Kwai</w:t>
      </w:r>
      <w:proofErr w:type="spellEnd"/>
      <w:r w:rsidR="00CE7DAB" w:rsidRPr="00A44834">
        <w:rPr>
          <w:rFonts w:eastAsia="Times New Roman"/>
          <w:i/>
          <w:szCs w:val="28"/>
        </w:rPr>
        <w:t xml:space="preserve"> Hung Realty Co Ltd v </w:t>
      </w:r>
      <w:proofErr w:type="spellStart"/>
      <w:r w:rsidR="00CE7DAB" w:rsidRPr="00A44834">
        <w:rPr>
          <w:rFonts w:eastAsia="Times New Roman"/>
          <w:i/>
          <w:szCs w:val="28"/>
        </w:rPr>
        <w:t>Lockia</w:t>
      </w:r>
      <w:proofErr w:type="spellEnd"/>
      <w:r w:rsidR="00CE7DAB" w:rsidRPr="00A44834">
        <w:rPr>
          <w:rFonts w:eastAsia="Times New Roman"/>
          <w:i/>
          <w:szCs w:val="28"/>
        </w:rPr>
        <w:t xml:space="preserve"> Development Ltd </w:t>
      </w:r>
      <w:r w:rsidR="00CE7DAB" w:rsidRPr="00A44834">
        <w:rPr>
          <w:rFonts w:eastAsia="Times New Roman"/>
          <w:szCs w:val="28"/>
        </w:rPr>
        <w:t xml:space="preserve">(unreported, </w:t>
      </w:r>
      <w:r w:rsidR="009D65CC" w:rsidRPr="00A44834">
        <w:rPr>
          <w:rFonts w:eastAsia="Times New Roman"/>
          <w:szCs w:val="28"/>
        </w:rPr>
        <w:t>HCA 3280/2001</w:t>
      </w:r>
      <w:r w:rsidR="009D65CC">
        <w:rPr>
          <w:rFonts w:eastAsia="Times New Roman"/>
          <w:szCs w:val="28"/>
        </w:rPr>
        <w:t>,</w:t>
      </w:r>
      <w:r w:rsidR="009D65CC" w:rsidRPr="00A44834">
        <w:rPr>
          <w:rFonts w:eastAsia="Times New Roman"/>
          <w:szCs w:val="28"/>
        </w:rPr>
        <w:t xml:space="preserve"> </w:t>
      </w:r>
      <w:r w:rsidR="00CE7DAB" w:rsidRPr="00A44834">
        <w:rPr>
          <w:rFonts w:eastAsia="Times New Roman"/>
          <w:szCs w:val="28"/>
        </w:rPr>
        <w:t>15 October 2003)</w:t>
      </w:r>
      <w:r>
        <w:rPr>
          <w:szCs w:val="28"/>
        </w:rPr>
        <w:t xml:space="preserve"> </w:t>
      </w:r>
      <w:r w:rsidR="00CE7DAB" w:rsidRPr="00A44834">
        <w:rPr>
          <w:szCs w:val="28"/>
        </w:rPr>
        <w:t xml:space="preserve">and </w:t>
      </w:r>
      <w:r w:rsidR="00CE7DAB" w:rsidRPr="00A44834">
        <w:rPr>
          <w:rFonts w:eastAsia="Times New Roman"/>
          <w:i/>
          <w:szCs w:val="28"/>
        </w:rPr>
        <w:t xml:space="preserve">Lam </w:t>
      </w:r>
      <w:proofErr w:type="spellStart"/>
      <w:r w:rsidR="00CE7DAB" w:rsidRPr="00A44834">
        <w:rPr>
          <w:rFonts w:eastAsia="Times New Roman"/>
          <w:i/>
          <w:szCs w:val="28"/>
        </w:rPr>
        <w:t>Chor</w:t>
      </w:r>
      <w:proofErr w:type="spellEnd"/>
      <w:r w:rsidR="00CE7DAB" w:rsidRPr="00A44834">
        <w:rPr>
          <w:rFonts w:eastAsia="Times New Roman"/>
          <w:i/>
          <w:szCs w:val="28"/>
        </w:rPr>
        <w:t xml:space="preserve"> Hang v Lau Ming </w:t>
      </w:r>
      <w:proofErr w:type="spellStart"/>
      <w:r w:rsidR="00CE7DAB" w:rsidRPr="00A44834">
        <w:rPr>
          <w:rFonts w:eastAsia="Times New Roman"/>
          <w:i/>
          <w:szCs w:val="28"/>
        </w:rPr>
        <w:t>Gu</w:t>
      </w:r>
      <w:proofErr w:type="spellEnd"/>
      <w:r w:rsidR="00CE7DAB" w:rsidRPr="00A44834">
        <w:rPr>
          <w:rFonts w:eastAsia="Times New Roman"/>
          <w:i/>
          <w:szCs w:val="28"/>
        </w:rPr>
        <w:t xml:space="preserve"> &amp; Anor </w:t>
      </w:r>
      <w:r w:rsidR="00CE7DAB" w:rsidRPr="00A44834">
        <w:rPr>
          <w:rFonts w:eastAsia="Times New Roman"/>
          <w:szCs w:val="28"/>
        </w:rPr>
        <w:t xml:space="preserve">[2018] </w:t>
      </w:r>
      <w:r w:rsidR="00CE7DAB" w:rsidRPr="00DD563C">
        <w:rPr>
          <w:rFonts w:eastAsia="Times New Roman"/>
          <w:szCs w:val="28"/>
        </w:rPr>
        <w:t xml:space="preserve">HKCFI 533 </w:t>
      </w:r>
      <w:r w:rsidR="00CE7DAB" w:rsidRPr="00DD563C">
        <w:rPr>
          <w:szCs w:val="28"/>
        </w:rPr>
        <w:t xml:space="preserve">do not assist the </w:t>
      </w:r>
      <w:r w:rsidR="0046333F">
        <w:rPr>
          <w:szCs w:val="28"/>
        </w:rPr>
        <w:t>plaintiff</w:t>
      </w:r>
      <w:r w:rsidR="00CE7DAB" w:rsidRPr="00DD563C">
        <w:rPr>
          <w:szCs w:val="28"/>
        </w:rPr>
        <w:t xml:space="preserve">’s case regarding the </w:t>
      </w:r>
      <w:r w:rsidR="009D65CC">
        <w:rPr>
          <w:szCs w:val="28"/>
        </w:rPr>
        <w:t xml:space="preserve">argument on </w:t>
      </w:r>
      <w:r w:rsidR="00CE7DAB" w:rsidRPr="00DD563C">
        <w:rPr>
          <w:szCs w:val="28"/>
        </w:rPr>
        <w:t xml:space="preserve">dissipation of assets.  </w:t>
      </w:r>
    </w:p>
    <w:p w:rsidR="00CE7DAB" w:rsidRPr="00A44834" w:rsidRDefault="00CE7DAB" w:rsidP="00CE7DAB">
      <w:pPr>
        <w:spacing w:line="360" w:lineRule="auto"/>
        <w:ind w:left="720"/>
        <w:rPr>
          <w:szCs w:val="28"/>
        </w:rPr>
      </w:pPr>
      <w:r w:rsidRPr="00A44834">
        <w:rPr>
          <w:szCs w:val="28"/>
        </w:rPr>
        <w:t xml:space="preserve"> </w:t>
      </w:r>
    </w:p>
    <w:p w:rsidR="00CE7DAB" w:rsidRPr="00A44834" w:rsidRDefault="009D65CC" w:rsidP="00CE7DAB">
      <w:pPr>
        <w:numPr>
          <w:ilvl w:val="0"/>
          <w:numId w:val="17"/>
        </w:numPr>
        <w:tabs>
          <w:tab w:val="clear" w:pos="4320"/>
          <w:tab w:val="clear" w:pos="9072"/>
        </w:tabs>
        <w:snapToGrid/>
        <w:spacing w:line="360" w:lineRule="auto"/>
        <w:ind w:left="0" w:right="61" w:firstLine="0"/>
        <w:jc w:val="both"/>
        <w:rPr>
          <w:szCs w:val="28"/>
        </w:rPr>
      </w:pPr>
      <w:r>
        <w:rPr>
          <w:szCs w:val="28"/>
        </w:rPr>
        <w:t>With respect, t</w:t>
      </w:r>
      <w:r w:rsidR="00CE7DAB" w:rsidRPr="00A44834">
        <w:rPr>
          <w:szCs w:val="28"/>
        </w:rPr>
        <w:t xml:space="preserve">he nature of </w:t>
      </w:r>
      <w:proofErr w:type="spellStart"/>
      <w:r w:rsidR="00CE7DAB" w:rsidRPr="00A44834">
        <w:rPr>
          <w:rFonts w:eastAsia="Times New Roman"/>
          <w:i/>
          <w:szCs w:val="28"/>
        </w:rPr>
        <w:t>Kwai</w:t>
      </w:r>
      <w:proofErr w:type="spellEnd"/>
      <w:r w:rsidR="00CE7DAB" w:rsidRPr="00A44834">
        <w:rPr>
          <w:rFonts w:eastAsia="Times New Roman"/>
          <w:i/>
          <w:szCs w:val="28"/>
        </w:rPr>
        <w:t xml:space="preserve"> Hung Realty</w:t>
      </w:r>
      <w:r w:rsidR="00285B97">
        <w:rPr>
          <w:rFonts w:eastAsia="Times New Roman"/>
          <w:i/>
          <w:szCs w:val="28"/>
        </w:rPr>
        <w:t>, supra,</w:t>
      </w:r>
      <w:r w:rsidR="00CE7DAB" w:rsidRPr="00A44834">
        <w:rPr>
          <w:szCs w:val="28"/>
        </w:rPr>
        <w:t xml:space="preserve"> being a case concerning monetary loans between </w:t>
      </w:r>
      <w:r>
        <w:rPr>
          <w:szCs w:val="28"/>
        </w:rPr>
        <w:t>2</w:t>
      </w:r>
      <w:r w:rsidR="00CE7DAB" w:rsidRPr="00A44834">
        <w:rPr>
          <w:szCs w:val="28"/>
        </w:rPr>
        <w:t xml:space="preserve"> companies, is </w:t>
      </w:r>
      <w:r w:rsidR="00285B97">
        <w:rPr>
          <w:szCs w:val="28"/>
        </w:rPr>
        <w:t>completely different from</w:t>
      </w:r>
      <w:r w:rsidR="00CE7DAB" w:rsidRPr="00A44834">
        <w:rPr>
          <w:szCs w:val="28"/>
        </w:rPr>
        <w:t xml:space="preserve"> the </w:t>
      </w:r>
      <w:r>
        <w:rPr>
          <w:szCs w:val="28"/>
        </w:rPr>
        <w:t>PI C</w:t>
      </w:r>
      <w:r w:rsidR="00CE7DAB" w:rsidRPr="00A44834">
        <w:rPr>
          <w:szCs w:val="28"/>
        </w:rPr>
        <w:t xml:space="preserve">ase we have before </w:t>
      </w:r>
      <w:r w:rsidR="00285B97">
        <w:rPr>
          <w:szCs w:val="28"/>
        </w:rPr>
        <w:t>me</w:t>
      </w:r>
      <w:r w:rsidR="00CE7DAB" w:rsidRPr="00A44834">
        <w:rPr>
          <w:szCs w:val="28"/>
        </w:rPr>
        <w:t xml:space="preserve"> </w:t>
      </w:r>
      <w:r w:rsidR="00285B97">
        <w:rPr>
          <w:szCs w:val="28"/>
        </w:rPr>
        <w:t>which involved the dispute of 2</w:t>
      </w:r>
      <w:r w:rsidR="00CE7DAB" w:rsidRPr="00A44834">
        <w:rPr>
          <w:szCs w:val="28"/>
        </w:rPr>
        <w:t xml:space="preserve"> individuals. </w:t>
      </w:r>
      <w:r w:rsidR="00285B97">
        <w:rPr>
          <w:szCs w:val="28"/>
        </w:rPr>
        <w:t xml:space="preserve"> </w:t>
      </w:r>
      <w:r w:rsidR="00CE7DAB" w:rsidRPr="00A44834">
        <w:rPr>
          <w:szCs w:val="28"/>
        </w:rPr>
        <w:t xml:space="preserve">Further, in no way </w:t>
      </w:r>
      <w:r w:rsidR="00285B97">
        <w:rPr>
          <w:szCs w:val="28"/>
        </w:rPr>
        <w:t xml:space="preserve">one can say that </w:t>
      </w:r>
      <w:r w:rsidR="00CE7DAB" w:rsidRPr="00A44834">
        <w:rPr>
          <w:szCs w:val="28"/>
        </w:rPr>
        <w:t xml:space="preserve">the </w:t>
      </w:r>
      <w:r w:rsidR="0046333F">
        <w:rPr>
          <w:szCs w:val="28"/>
        </w:rPr>
        <w:t>defendant</w:t>
      </w:r>
      <w:r w:rsidR="00285B97">
        <w:rPr>
          <w:szCs w:val="28"/>
        </w:rPr>
        <w:t xml:space="preserve"> is a “</w:t>
      </w:r>
      <w:r w:rsidR="00CE7DAB" w:rsidRPr="00A44834">
        <w:rPr>
          <w:szCs w:val="28"/>
        </w:rPr>
        <w:t>dormant company</w:t>
      </w:r>
      <w:r w:rsidR="00285B97">
        <w:rPr>
          <w:szCs w:val="28"/>
        </w:rPr>
        <w:t>”</w:t>
      </w:r>
      <w:r w:rsidR="00CE7DAB" w:rsidRPr="00A44834">
        <w:rPr>
          <w:szCs w:val="28"/>
        </w:rPr>
        <w:t xml:space="preserve"> with only the 2</w:t>
      </w:r>
      <w:r w:rsidR="00CE7DAB" w:rsidRPr="00A44834">
        <w:rPr>
          <w:szCs w:val="28"/>
          <w:vertAlign w:val="superscript"/>
        </w:rPr>
        <w:t>nd</w:t>
      </w:r>
      <w:r w:rsidR="00CE7DAB" w:rsidRPr="00A44834">
        <w:rPr>
          <w:szCs w:val="28"/>
        </w:rPr>
        <w:t xml:space="preserve"> Property being his only valuable asset. </w:t>
      </w:r>
      <w:r w:rsidR="00285B97">
        <w:rPr>
          <w:szCs w:val="28"/>
        </w:rPr>
        <w:t xml:space="preserve"> As the evidence disclosed by </w:t>
      </w:r>
      <w:r w:rsidR="00CE7DAB" w:rsidRPr="00A44834">
        <w:rPr>
          <w:szCs w:val="28"/>
        </w:rPr>
        <w:t xml:space="preserve">the </w:t>
      </w:r>
      <w:r w:rsidR="0046333F">
        <w:rPr>
          <w:szCs w:val="28"/>
        </w:rPr>
        <w:t>defendant</w:t>
      </w:r>
      <w:r>
        <w:rPr>
          <w:szCs w:val="28"/>
        </w:rPr>
        <w:t xml:space="preserve"> reveals</w:t>
      </w:r>
      <w:r w:rsidR="00285B97">
        <w:rPr>
          <w:szCs w:val="28"/>
        </w:rPr>
        <w:t xml:space="preserve">, he has more than </w:t>
      </w:r>
      <w:r w:rsidR="00CE7DAB" w:rsidRPr="00A44834">
        <w:rPr>
          <w:szCs w:val="28"/>
        </w:rPr>
        <w:t>sufficient funds as well as a share in the 1</w:t>
      </w:r>
      <w:r w:rsidR="00CE7DAB" w:rsidRPr="00A44834">
        <w:rPr>
          <w:szCs w:val="28"/>
          <w:vertAlign w:val="superscript"/>
        </w:rPr>
        <w:t>st</w:t>
      </w:r>
      <w:r w:rsidR="00CE7DAB" w:rsidRPr="00A44834">
        <w:rPr>
          <w:szCs w:val="28"/>
        </w:rPr>
        <w:t xml:space="preserve"> Property</w:t>
      </w:r>
      <w:r w:rsidR="00285B97">
        <w:rPr>
          <w:szCs w:val="28"/>
        </w:rPr>
        <w:t xml:space="preserve"> to satisfy any judgment that the plaintiff may able to obtain against him in the PI Case</w:t>
      </w:r>
      <w:r w:rsidR="00CE7DAB" w:rsidRPr="00A44834">
        <w:rPr>
          <w:szCs w:val="28"/>
        </w:rPr>
        <w:t>.</w:t>
      </w:r>
      <w:r w:rsidR="00285B97">
        <w:rPr>
          <w:szCs w:val="28"/>
        </w:rPr>
        <w:t xml:space="preserve">  The fact that the plaintiff may have to take a few </w:t>
      </w:r>
      <w:r w:rsidR="00E70906">
        <w:rPr>
          <w:szCs w:val="28"/>
        </w:rPr>
        <w:t xml:space="preserve">more </w:t>
      </w:r>
      <w:r w:rsidR="00285B97">
        <w:rPr>
          <w:szCs w:val="28"/>
        </w:rPr>
        <w:t xml:space="preserve">steps to execute any prospective judgment against the defendant is not a good reason to grant a </w:t>
      </w:r>
      <w:proofErr w:type="spellStart"/>
      <w:r w:rsidR="00285B97" w:rsidRPr="00285B97">
        <w:rPr>
          <w:i/>
          <w:szCs w:val="28"/>
        </w:rPr>
        <w:t>Mareva</w:t>
      </w:r>
      <w:proofErr w:type="spellEnd"/>
      <w:r w:rsidR="00285B97">
        <w:rPr>
          <w:szCs w:val="28"/>
        </w:rPr>
        <w:t xml:space="preserve"> injunction against him.   </w:t>
      </w:r>
      <w:r w:rsidR="00CE7DAB" w:rsidRPr="00A44834">
        <w:rPr>
          <w:szCs w:val="28"/>
        </w:rPr>
        <w:t xml:space="preserve">  </w:t>
      </w:r>
    </w:p>
    <w:p w:rsidR="00CE7DAB" w:rsidRPr="00A44834" w:rsidRDefault="00CE7DAB" w:rsidP="00CE7DAB">
      <w:pPr>
        <w:spacing w:line="360" w:lineRule="auto"/>
        <w:ind w:left="720"/>
        <w:rPr>
          <w:szCs w:val="28"/>
        </w:rPr>
      </w:pPr>
      <w:r w:rsidRPr="00A44834">
        <w:rPr>
          <w:szCs w:val="28"/>
        </w:rPr>
        <w:t xml:space="preserve"> </w:t>
      </w:r>
    </w:p>
    <w:p w:rsidR="00CE7DAB" w:rsidRPr="00A44834" w:rsidRDefault="00CE7DAB" w:rsidP="00CE7DAB">
      <w:pPr>
        <w:numPr>
          <w:ilvl w:val="0"/>
          <w:numId w:val="17"/>
        </w:numPr>
        <w:tabs>
          <w:tab w:val="clear" w:pos="4320"/>
          <w:tab w:val="clear" w:pos="9072"/>
        </w:tabs>
        <w:snapToGrid/>
        <w:spacing w:line="360" w:lineRule="auto"/>
        <w:ind w:left="0" w:right="61" w:firstLine="0"/>
        <w:jc w:val="both"/>
        <w:rPr>
          <w:szCs w:val="28"/>
        </w:rPr>
      </w:pPr>
      <w:r w:rsidRPr="00A44834">
        <w:rPr>
          <w:szCs w:val="28"/>
        </w:rPr>
        <w:t xml:space="preserve">Likewise, the </w:t>
      </w:r>
      <w:proofErr w:type="spellStart"/>
      <w:r w:rsidRPr="00A44834">
        <w:rPr>
          <w:rFonts w:eastAsia="Times New Roman"/>
          <w:i/>
          <w:szCs w:val="28"/>
        </w:rPr>
        <w:t>Mareva</w:t>
      </w:r>
      <w:proofErr w:type="spellEnd"/>
      <w:r w:rsidRPr="00A44834">
        <w:rPr>
          <w:rFonts w:eastAsia="Times New Roman"/>
          <w:i/>
          <w:szCs w:val="28"/>
        </w:rPr>
        <w:t xml:space="preserve"> </w:t>
      </w:r>
      <w:r w:rsidRPr="00A44834">
        <w:rPr>
          <w:szCs w:val="28"/>
        </w:rPr>
        <w:t xml:space="preserve">injunction application in </w:t>
      </w:r>
      <w:r w:rsidRPr="00A44834">
        <w:rPr>
          <w:rFonts w:eastAsia="Times New Roman"/>
          <w:i/>
          <w:szCs w:val="28"/>
        </w:rPr>
        <w:t xml:space="preserve">Lam </w:t>
      </w:r>
      <w:proofErr w:type="spellStart"/>
      <w:r w:rsidRPr="00A44834">
        <w:rPr>
          <w:rFonts w:eastAsia="Times New Roman"/>
          <w:i/>
          <w:szCs w:val="28"/>
        </w:rPr>
        <w:t>Chor</w:t>
      </w:r>
      <w:proofErr w:type="spellEnd"/>
      <w:r w:rsidRPr="00A44834">
        <w:rPr>
          <w:rFonts w:eastAsia="Times New Roman"/>
          <w:i/>
          <w:szCs w:val="28"/>
        </w:rPr>
        <w:t xml:space="preserve"> Hang</w:t>
      </w:r>
      <w:r w:rsidR="00285B97">
        <w:rPr>
          <w:rFonts w:eastAsia="Times New Roman"/>
          <w:i/>
          <w:szCs w:val="28"/>
        </w:rPr>
        <w:t>, supra,</w:t>
      </w:r>
      <w:r w:rsidRPr="00A44834">
        <w:rPr>
          <w:rFonts w:eastAsia="Times New Roman"/>
          <w:i/>
          <w:szCs w:val="28"/>
        </w:rPr>
        <w:t xml:space="preserve"> </w:t>
      </w:r>
      <w:r w:rsidRPr="00A44834">
        <w:rPr>
          <w:szCs w:val="28"/>
        </w:rPr>
        <w:t>was effectively a post</w:t>
      </w:r>
      <w:r w:rsidR="007D5DBD">
        <w:rPr>
          <w:szCs w:val="28"/>
        </w:rPr>
        <w:t>-</w:t>
      </w:r>
      <w:r w:rsidRPr="00A44834">
        <w:rPr>
          <w:szCs w:val="28"/>
        </w:rPr>
        <w:t xml:space="preserve">judgment </w:t>
      </w:r>
      <w:proofErr w:type="spellStart"/>
      <w:r w:rsidRPr="00A44834">
        <w:rPr>
          <w:rFonts w:eastAsia="Times New Roman"/>
          <w:i/>
          <w:szCs w:val="28"/>
        </w:rPr>
        <w:t>Mareva</w:t>
      </w:r>
      <w:proofErr w:type="spellEnd"/>
      <w:r w:rsidRPr="00A44834">
        <w:rPr>
          <w:rFonts w:eastAsia="Times New Roman"/>
          <w:i/>
          <w:szCs w:val="28"/>
        </w:rPr>
        <w:t xml:space="preserve"> </w:t>
      </w:r>
      <w:r w:rsidRPr="00A44834">
        <w:rPr>
          <w:szCs w:val="28"/>
        </w:rPr>
        <w:t xml:space="preserve">injunction as interlocutory judgment </w:t>
      </w:r>
      <w:r w:rsidR="00285B97">
        <w:rPr>
          <w:szCs w:val="28"/>
        </w:rPr>
        <w:t xml:space="preserve">had already been </w:t>
      </w:r>
      <w:r w:rsidRPr="00A44834">
        <w:rPr>
          <w:szCs w:val="28"/>
        </w:rPr>
        <w:t>entered against the 2</w:t>
      </w:r>
      <w:r w:rsidRPr="00A44834">
        <w:rPr>
          <w:szCs w:val="28"/>
          <w:vertAlign w:val="superscript"/>
        </w:rPr>
        <w:t>nd</w:t>
      </w:r>
      <w:r w:rsidRPr="00A44834">
        <w:rPr>
          <w:szCs w:val="28"/>
        </w:rPr>
        <w:t xml:space="preserve"> defendant. Hence, the court was no longer concerned whether there was a good arguable case against the 2</w:t>
      </w:r>
      <w:r w:rsidRPr="00A44834">
        <w:rPr>
          <w:szCs w:val="28"/>
          <w:vertAlign w:val="superscript"/>
        </w:rPr>
        <w:t>nd</w:t>
      </w:r>
      <w:r w:rsidRPr="00A44834">
        <w:rPr>
          <w:szCs w:val="28"/>
        </w:rPr>
        <w:t xml:space="preserve"> defendant, but rather only if there was a real risk of dissipation of assets: </w:t>
      </w:r>
      <w:r w:rsidRPr="00A44834">
        <w:rPr>
          <w:rFonts w:eastAsia="Times New Roman"/>
          <w:i/>
          <w:szCs w:val="28"/>
        </w:rPr>
        <w:t xml:space="preserve">Lam </w:t>
      </w:r>
      <w:proofErr w:type="spellStart"/>
      <w:r w:rsidRPr="00A44834">
        <w:rPr>
          <w:rFonts w:eastAsia="Times New Roman"/>
          <w:i/>
          <w:szCs w:val="28"/>
        </w:rPr>
        <w:t>Chor</w:t>
      </w:r>
      <w:proofErr w:type="spellEnd"/>
      <w:r w:rsidRPr="00A44834">
        <w:rPr>
          <w:rFonts w:eastAsia="Times New Roman"/>
          <w:i/>
          <w:szCs w:val="28"/>
        </w:rPr>
        <w:t xml:space="preserve"> Hang </w:t>
      </w:r>
      <w:r w:rsidRPr="00A44834">
        <w:rPr>
          <w:szCs w:val="28"/>
        </w:rPr>
        <w:t xml:space="preserve">at §10 per DHCJ Kent Yee.  </w:t>
      </w:r>
    </w:p>
    <w:p w:rsidR="00CE7DAB" w:rsidRPr="00A44834" w:rsidRDefault="00CE7DAB" w:rsidP="00CE7DAB">
      <w:pPr>
        <w:spacing w:line="360" w:lineRule="auto"/>
        <w:ind w:left="720"/>
        <w:rPr>
          <w:szCs w:val="28"/>
        </w:rPr>
      </w:pPr>
      <w:r w:rsidRPr="00A44834">
        <w:rPr>
          <w:szCs w:val="28"/>
        </w:rPr>
        <w:t xml:space="preserve"> </w:t>
      </w:r>
    </w:p>
    <w:p w:rsidR="00BA6071" w:rsidRDefault="00285B97" w:rsidP="00CE7DAB">
      <w:pPr>
        <w:numPr>
          <w:ilvl w:val="0"/>
          <w:numId w:val="17"/>
        </w:numPr>
        <w:tabs>
          <w:tab w:val="clear" w:pos="4320"/>
          <w:tab w:val="clear" w:pos="9072"/>
        </w:tabs>
        <w:snapToGrid/>
        <w:spacing w:line="360" w:lineRule="auto"/>
        <w:ind w:left="0" w:right="61" w:firstLine="0"/>
        <w:jc w:val="both"/>
        <w:rPr>
          <w:szCs w:val="28"/>
        </w:rPr>
      </w:pPr>
      <w:r>
        <w:rPr>
          <w:szCs w:val="28"/>
        </w:rPr>
        <w:t>In our present case, p</w:t>
      </w:r>
      <w:r w:rsidR="00CE7DAB" w:rsidRPr="00A44834">
        <w:rPr>
          <w:szCs w:val="28"/>
        </w:rPr>
        <w:t xml:space="preserve">ertinently, </w:t>
      </w:r>
      <w:r>
        <w:rPr>
          <w:szCs w:val="28"/>
        </w:rPr>
        <w:t>there</w:t>
      </w:r>
      <w:r w:rsidR="00CE7DAB" w:rsidRPr="00A44834">
        <w:rPr>
          <w:szCs w:val="28"/>
        </w:rPr>
        <w:t xml:space="preserve"> has not been any interlocutory judgment entered against the </w:t>
      </w:r>
      <w:r w:rsidR="0046333F">
        <w:rPr>
          <w:szCs w:val="28"/>
        </w:rPr>
        <w:t>defendant</w:t>
      </w:r>
      <w:r w:rsidR="00CE7DAB" w:rsidRPr="00A44834">
        <w:rPr>
          <w:szCs w:val="28"/>
        </w:rPr>
        <w:t xml:space="preserve">, let alone any </w:t>
      </w:r>
      <w:r w:rsidR="00CE7DAB" w:rsidRPr="00A44834">
        <w:rPr>
          <w:szCs w:val="28"/>
        </w:rPr>
        <w:lastRenderedPageBreak/>
        <w:t xml:space="preserve">judgment. </w:t>
      </w:r>
      <w:r>
        <w:rPr>
          <w:szCs w:val="28"/>
        </w:rPr>
        <w:t xml:space="preserve"> For the reasons I have given above under the discussion of contributory negligence, liability certainly remains a live issue in this case.  Hence, in my view, t</w:t>
      </w:r>
      <w:r w:rsidR="00CE7DAB" w:rsidRPr="00A44834">
        <w:rPr>
          <w:szCs w:val="28"/>
        </w:rPr>
        <w:t xml:space="preserve">he present </w:t>
      </w:r>
      <w:r>
        <w:rPr>
          <w:szCs w:val="28"/>
        </w:rPr>
        <w:t xml:space="preserve">case </w:t>
      </w:r>
      <w:r w:rsidR="00CE7DAB" w:rsidRPr="00A44834">
        <w:rPr>
          <w:szCs w:val="28"/>
        </w:rPr>
        <w:t xml:space="preserve">is </w:t>
      </w:r>
      <w:r>
        <w:rPr>
          <w:szCs w:val="28"/>
        </w:rPr>
        <w:t>very</w:t>
      </w:r>
      <w:r w:rsidR="00CE7DAB" w:rsidRPr="00A44834">
        <w:rPr>
          <w:szCs w:val="28"/>
        </w:rPr>
        <w:t xml:space="preserve"> different </w:t>
      </w:r>
      <w:r>
        <w:rPr>
          <w:szCs w:val="28"/>
        </w:rPr>
        <w:t xml:space="preserve">than the </w:t>
      </w:r>
      <w:r w:rsidR="00BA6071">
        <w:rPr>
          <w:szCs w:val="28"/>
        </w:rPr>
        <w:t xml:space="preserve">situation in </w:t>
      </w:r>
      <w:r w:rsidR="00CE7DAB" w:rsidRPr="00A44834">
        <w:rPr>
          <w:rFonts w:eastAsia="Times New Roman"/>
          <w:i/>
          <w:szCs w:val="28"/>
        </w:rPr>
        <w:t xml:space="preserve">Lam </w:t>
      </w:r>
      <w:proofErr w:type="spellStart"/>
      <w:r w:rsidR="00CE7DAB" w:rsidRPr="00A44834">
        <w:rPr>
          <w:rFonts w:eastAsia="Times New Roman"/>
          <w:i/>
          <w:szCs w:val="28"/>
        </w:rPr>
        <w:t>Chor</w:t>
      </w:r>
      <w:proofErr w:type="spellEnd"/>
      <w:r w:rsidR="00CE7DAB" w:rsidRPr="00A44834">
        <w:rPr>
          <w:rFonts w:eastAsia="Times New Roman"/>
          <w:i/>
          <w:szCs w:val="28"/>
        </w:rPr>
        <w:t xml:space="preserve"> Hang</w:t>
      </w:r>
      <w:r w:rsidR="00CE7DAB" w:rsidRPr="00A44834">
        <w:rPr>
          <w:szCs w:val="28"/>
        </w:rPr>
        <w:t xml:space="preserve">, </w:t>
      </w:r>
      <w:r w:rsidR="00BA6071">
        <w:rPr>
          <w:szCs w:val="28"/>
        </w:rPr>
        <w:t xml:space="preserve">in that </w:t>
      </w:r>
      <w:r w:rsidR="00CE7DAB" w:rsidRPr="00A44834">
        <w:rPr>
          <w:szCs w:val="28"/>
        </w:rPr>
        <w:t xml:space="preserve">the </w:t>
      </w:r>
      <w:r w:rsidR="0046333F">
        <w:rPr>
          <w:szCs w:val="28"/>
        </w:rPr>
        <w:t>plaintiff</w:t>
      </w:r>
      <w:r w:rsidR="00CE7DAB" w:rsidRPr="00A44834">
        <w:rPr>
          <w:szCs w:val="28"/>
        </w:rPr>
        <w:t xml:space="preserve"> is seeking a pre-judgment </w:t>
      </w:r>
      <w:proofErr w:type="spellStart"/>
      <w:r w:rsidR="00CE7DAB" w:rsidRPr="00A44834">
        <w:rPr>
          <w:rFonts w:eastAsia="Times New Roman"/>
          <w:i/>
          <w:szCs w:val="28"/>
        </w:rPr>
        <w:t>Mareva</w:t>
      </w:r>
      <w:proofErr w:type="spellEnd"/>
      <w:r w:rsidR="00CE7DAB" w:rsidRPr="00A44834">
        <w:rPr>
          <w:rFonts w:eastAsia="Times New Roman"/>
          <w:i/>
          <w:szCs w:val="28"/>
        </w:rPr>
        <w:t xml:space="preserve"> </w:t>
      </w:r>
      <w:r w:rsidR="00CE7DAB" w:rsidRPr="00A44834">
        <w:rPr>
          <w:szCs w:val="28"/>
        </w:rPr>
        <w:t xml:space="preserve">injunction to which </w:t>
      </w:r>
      <w:r w:rsidR="00BA6071">
        <w:rPr>
          <w:szCs w:val="28"/>
        </w:rPr>
        <w:t xml:space="preserve">he </w:t>
      </w:r>
      <w:r w:rsidR="00CE7DAB" w:rsidRPr="00A44834">
        <w:rPr>
          <w:szCs w:val="28"/>
        </w:rPr>
        <w:t>has no guarantee of success</w:t>
      </w:r>
      <w:r w:rsidR="00BA6071">
        <w:rPr>
          <w:szCs w:val="28"/>
        </w:rPr>
        <w:t xml:space="preserve"> at all</w:t>
      </w:r>
      <w:r w:rsidR="00CE7DAB" w:rsidRPr="00A44834">
        <w:rPr>
          <w:szCs w:val="28"/>
        </w:rPr>
        <w:t>.</w:t>
      </w:r>
    </w:p>
    <w:p w:rsidR="00BA6071" w:rsidRDefault="00BA6071" w:rsidP="00BA6071">
      <w:pPr>
        <w:pStyle w:val="ListParagraph"/>
        <w:rPr>
          <w:szCs w:val="28"/>
        </w:rPr>
      </w:pPr>
    </w:p>
    <w:p w:rsidR="00CE7DAB" w:rsidRPr="00A44834" w:rsidRDefault="00BA6071" w:rsidP="00CE7DAB">
      <w:pPr>
        <w:numPr>
          <w:ilvl w:val="0"/>
          <w:numId w:val="17"/>
        </w:numPr>
        <w:tabs>
          <w:tab w:val="clear" w:pos="4320"/>
          <w:tab w:val="clear" w:pos="9072"/>
        </w:tabs>
        <w:snapToGrid/>
        <w:spacing w:line="360" w:lineRule="auto"/>
        <w:ind w:left="0" w:right="61" w:firstLine="0"/>
        <w:jc w:val="both"/>
        <w:rPr>
          <w:szCs w:val="28"/>
        </w:rPr>
      </w:pPr>
      <w:r>
        <w:rPr>
          <w:szCs w:val="28"/>
        </w:rPr>
        <w:t>Thus, on the gro</w:t>
      </w:r>
      <w:r w:rsidR="009D65CC">
        <w:rPr>
          <w:szCs w:val="28"/>
        </w:rPr>
        <w:t>und of risk of dissipation</w:t>
      </w:r>
      <w:r>
        <w:rPr>
          <w:szCs w:val="28"/>
        </w:rPr>
        <w:t>, I would have dismissed the plaintiff’s application</w:t>
      </w:r>
      <w:r w:rsidR="009D65CC">
        <w:rPr>
          <w:szCs w:val="28"/>
        </w:rPr>
        <w:t xml:space="preserve"> also</w:t>
      </w:r>
      <w:r>
        <w:rPr>
          <w:szCs w:val="28"/>
        </w:rPr>
        <w:t>.</w:t>
      </w:r>
      <w:r w:rsidR="00CE7DAB" w:rsidRPr="00A44834">
        <w:rPr>
          <w:szCs w:val="28"/>
        </w:rPr>
        <w:t xml:space="preserve">  </w:t>
      </w:r>
    </w:p>
    <w:p w:rsidR="00CE7DAB" w:rsidRPr="00A44834" w:rsidRDefault="00CE7DAB" w:rsidP="00CE7DAB">
      <w:pPr>
        <w:spacing w:line="360" w:lineRule="auto"/>
        <w:rPr>
          <w:szCs w:val="28"/>
        </w:rPr>
      </w:pPr>
      <w:r w:rsidRPr="00A44834">
        <w:rPr>
          <w:szCs w:val="28"/>
        </w:rPr>
        <w:t xml:space="preserve"> </w:t>
      </w:r>
    </w:p>
    <w:p w:rsidR="00CE7DAB" w:rsidRPr="00653A53" w:rsidRDefault="00653A53" w:rsidP="00653A53">
      <w:pPr>
        <w:tabs>
          <w:tab w:val="clear" w:pos="1440"/>
          <w:tab w:val="clear" w:pos="4320"/>
          <w:tab w:val="clear" w:pos="9072"/>
        </w:tabs>
        <w:snapToGrid/>
        <w:spacing w:line="360" w:lineRule="auto"/>
        <w:rPr>
          <w:szCs w:val="28"/>
        </w:rPr>
      </w:pPr>
      <w:r w:rsidRPr="00653A53">
        <w:rPr>
          <w:rFonts w:eastAsia="Times New Roman"/>
          <w:i/>
          <w:szCs w:val="28"/>
        </w:rPr>
        <w:t xml:space="preserve">(III) </w:t>
      </w:r>
      <w:r w:rsidR="00CE7DAB" w:rsidRPr="00653A53">
        <w:rPr>
          <w:rFonts w:eastAsia="Times New Roman"/>
          <w:i/>
          <w:szCs w:val="28"/>
        </w:rPr>
        <w:t xml:space="preserve">The balance of convenience is not in </w:t>
      </w:r>
      <w:proofErr w:type="spellStart"/>
      <w:r w:rsidR="00CE7DAB" w:rsidRPr="00653A53">
        <w:rPr>
          <w:rFonts w:eastAsia="Times New Roman"/>
          <w:i/>
          <w:szCs w:val="28"/>
        </w:rPr>
        <w:t>favour</w:t>
      </w:r>
      <w:proofErr w:type="spellEnd"/>
      <w:r w:rsidR="00CE7DAB" w:rsidRPr="00653A53">
        <w:rPr>
          <w:rFonts w:eastAsia="Times New Roman"/>
          <w:i/>
          <w:szCs w:val="28"/>
        </w:rPr>
        <w:t xml:space="preserve"> of grant </w:t>
      </w:r>
    </w:p>
    <w:p w:rsidR="00CE7DAB" w:rsidRPr="00A44834" w:rsidRDefault="00CE7DAB" w:rsidP="00B429F1">
      <w:pPr>
        <w:spacing w:line="360" w:lineRule="auto"/>
        <w:rPr>
          <w:szCs w:val="28"/>
        </w:rPr>
      </w:pPr>
      <w:r w:rsidRPr="00A44834">
        <w:rPr>
          <w:szCs w:val="28"/>
        </w:rPr>
        <w:t xml:space="preserve"> </w:t>
      </w:r>
    </w:p>
    <w:p w:rsidR="009D65CC" w:rsidRDefault="00B429F1" w:rsidP="00CE7DAB">
      <w:pPr>
        <w:numPr>
          <w:ilvl w:val="0"/>
          <w:numId w:val="17"/>
        </w:numPr>
        <w:tabs>
          <w:tab w:val="clear" w:pos="4320"/>
          <w:tab w:val="clear" w:pos="9072"/>
        </w:tabs>
        <w:snapToGrid/>
        <w:spacing w:line="360" w:lineRule="auto"/>
        <w:ind w:left="0" w:right="61" w:firstLine="0"/>
        <w:jc w:val="both"/>
        <w:rPr>
          <w:szCs w:val="28"/>
        </w:rPr>
      </w:pPr>
      <w:r>
        <w:rPr>
          <w:szCs w:val="28"/>
        </w:rPr>
        <w:t>In my judgment, based on the evidence filed by the defendant and the Elder Son</w:t>
      </w:r>
      <w:r w:rsidR="009D65CC">
        <w:rPr>
          <w:szCs w:val="28"/>
        </w:rPr>
        <w:t>,</w:t>
      </w:r>
      <w:r>
        <w:rPr>
          <w:szCs w:val="28"/>
        </w:rPr>
        <w:t xml:space="preserve"> of which I accept, t</w:t>
      </w:r>
      <w:r w:rsidR="00CE7DAB" w:rsidRPr="00A44834">
        <w:rPr>
          <w:szCs w:val="28"/>
        </w:rPr>
        <w:t xml:space="preserve">here </w:t>
      </w:r>
      <w:r>
        <w:rPr>
          <w:szCs w:val="28"/>
        </w:rPr>
        <w:t>was</w:t>
      </w:r>
      <w:r w:rsidR="00CE7DAB" w:rsidRPr="00A44834">
        <w:rPr>
          <w:szCs w:val="28"/>
        </w:rPr>
        <w:t xml:space="preserve"> a higher risk of injustice caused to the </w:t>
      </w:r>
      <w:r w:rsidR="0046333F">
        <w:rPr>
          <w:szCs w:val="28"/>
        </w:rPr>
        <w:t>defendant</w:t>
      </w:r>
      <w:r w:rsidR="00CE7DAB" w:rsidRPr="00A44834">
        <w:rPr>
          <w:szCs w:val="28"/>
        </w:rPr>
        <w:t xml:space="preserve"> should the injunction be granted. </w:t>
      </w:r>
      <w:r>
        <w:rPr>
          <w:szCs w:val="28"/>
        </w:rPr>
        <w:t xml:space="preserve"> </w:t>
      </w:r>
    </w:p>
    <w:p w:rsidR="009D65CC" w:rsidRDefault="009D65CC" w:rsidP="009D65CC">
      <w:pPr>
        <w:tabs>
          <w:tab w:val="clear" w:pos="4320"/>
          <w:tab w:val="clear" w:pos="9072"/>
        </w:tabs>
        <w:snapToGrid/>
        <w:spacing w:line="360" w:lineRule="auto"/>
        <w:ind w:right="61"/>
        <w:jc w:val="both"/>
        <w:rPr>
          <w:szCs w:val="28"/>
        </w:rPr>
      </w:pPr>
    </w:p>
    <w:p w:rsidR="00CE7DAB" w:rsidRPr="00A44834" w:rsidRDefault="00B429F1" w:rsidP="00CE7DAB">
      <w:pPr>
        <w:numPr>
          <w:ilvl w:val="0"/>
          <w:numId w:val="17"/>
        </w:numPr>
        <w:tabs>
          <w:tab w:val="clear" w:pos="4320"/>
          <w:tab w:val="clear" w:pos="9072"/>
        </w:tabs>
        <w:snapToGrid/>
        <w:spacing w:line="360" w:lineRule="auto"/>
        <w:ind w:left="0" w:right="61" w:firstLine="0"/>
        <w:jc w:val="both"/>
        <w:rPr>
          <w:szCs w:val="28"/>
        </w:rPr>
      </w:pPr>
      <w:r>
        <w:rPr>
          <w:szCs w:val="28"/>
        </w:rPr>
        <w:t>On the evid</w:t>
      </w:r>
      <w:r w:rsidR="00716280">
        <w:rPr>
          <w:szCs w:val="28"/>
        </w:rPr>
        <w:t>e</w:t>
      </w:r>
      <w:r>
        <w:rPr>
          <w:szCs w:val="28"/>
        </w:rPr>
        <w:t xml:space="preserve">nce, I accept </w:t>
      </w:r>
      <w:r w:rsidR="00CE7DAB" w:rsidRPr="00A44834">
        <w:rPr>
          <w:szCs w:val="28"/>
        </w:rPr>
        <w:t>the refinancing of the 2</w:t>
      </w:r>
      <w:r w:rsidR="00CE7DAB" w:rsidRPr="00A44834">
        <w:rPr>
          <w:szCs w:val="28"/>
          <w:vertAlign w:val="superscript"/>
        </w:rPr>
        <w:t>nd</w:t>
      </w:r>
      <w:r w:rsidR="00CE7DAB" w:rsidRPr="00A44834">
        <w:rPr>
          <w:szCs w:val="28"/>
        </w:rPr>
        <w:t xml:space="preserve"> Property was not only</w:t>
      </w:r>
      <w:r w:rsidR="00716280">
        <w:rPr>
          <w:szCs w:val="28"/>
        </w:rPr>
        <w:t xml:space="preserve"> used to</w:t>
      </w:r>
      <w:r w:rsidR="00CE7DAB" w:rsidRPr="00A44834">
        <w:rPr>
          <w:szCs w:val="28"/>
        </w:rPr>
        <w:t xml:space="preserve"> cover the related expenses and costs in the EC Case, but also, amongst other things, to raise funds for </w:t>
      </w:r>
      <w:r w:rsidR="00716280">
        <w:rPr>
          <w:szCs w:val="28"/>
        </w:rPr>
        <w:t xml:space="preserve">defending </w:t>
      </w:r>
      <w:r w:rsidR="00CE7DAB" w:rsidRPr="00A44834">
        <w:rPr>
          <w:szCs w:val="28"/>
        </w:rPr>
        <w:t xml:space="preserve">the PI Case.  </w:t>
      </w:r>
    </w:p>
    <w:p w:rsidR="00CE7DAB" w:rsidRPr="00A44834" w:rsidRDefault="00CE7DAB" w:rsidP="00CE7DAB">
      <w:pPr>
        <w:spacing w:line="360" w:lineRule="auto"/>
        <w:rPr>
          <w:szCs w:val="28"/>
        </w:rPr>
      </w:pPr>
      <w:r w:rsidRPr="00A44834">
        <w:rPr>
          <w:szCs w:val="28"/>
        </w:rPr>
        <w:t xml:space="preserve"> </w:t>
      </w:r>
    </w:p>
    <w:p w:rsidR="00CE7DAB" w:rsidRPr="00A44834" w:rsidRDefault="00716280" w:rsidP="00CE7DAB">
      <w:pPr>
        <w:numPr>
          <w:ilvl w:val="0"/>
          <w:numId w:val="17"/>
        </w:numPr>
        <w:tabs>
          <w:tab w:val="clear" w:pos="4320"/>
          <w:tab w:val="clear" w:pos="9072"/>
        </w:tabs>
        <w:snapToGrid/>
        <w:spacing w:line="360" w:lineRule="auto"/>
        <w:ind w:left="0" w:right="61" w:firstLine="0"/>
        <w:jc w:val="both"/>
        <w:rPr>
          <w:szCs w:val="28"/>
        </w:rPr>
      </w:pPr>
      <w:r>
        <w:rPr>
          <w:szCs w:val="28"/>
        </w:rPr>
        <w:t>In this case, n</w:t>
      </w:r>
      <w:r w:rsidR="00CE7DAB" w:rsidRPr="00A44834">
        <w:rPr>
          <w:szCs w:val="28"/>
        </w:rPr>
        <w:t xml:space="preserve">either the </w:t>
      </w:r>
      <w:r w:rsidR="0046333F">
        <w:rPr>
          <w:szCs w:val="28"/>
        </w:rPr>
        <w:t>plaintiff</w:t>
      </w:r>
      <w:r w:rsidR="00CE7DAB" w:rsidRPr="00A44834">
        <w:rPr>
          <w:szCs w:val="28"/>
        </w:rPr>
        <w:t xml:space="preserve"> nor </w:t>
      </w:r>
      <w:r>
        <w:rPr>
          <w:szCs w:val="28"/>
        </w:rPr>
        <w:t xml:space="preserve">his legal aid assigned </w:t>
      </w:r>
      <w:r w:rsidR="0046333F">
        <w:rPr>
          <w:szCs w:val="28"/>
        </w:rPr>
        <w:t>solicitor</w:t>
      </w:r>
      <w:r w:rsidR="00CE7DAB" w:rsidRPr="00A44834">
        <w:rPr>
          <w:szCs w:val="28"/>
        </w:rPr>
        <w:t xml:space="preserve">s had given any warning, inquiry, or advance notice to the </w:t>
      </w:r>
      <w:r w:rsidR="0046333F">
        <w:rPr>
          <w:szCs w:val="28"/>
        </w:rPr>
        <w:t>defendant</w:t>
      </w:r>
      <w:r w:rsidR="00CE7DAB" w:rsidRPr="00A44834">
        <w:rPr>
          <w:szCs w:val="28"/>
        </w:rPr>
        <w:t xml:space="preserve"> or the </w:t>
      </w:r>
      <w:r w:rsidR="0046333F">
        <w:rPr>
          <w:szCs w:val="28"/>
        </w:rPr>
        <w:t>defendant</w:t>
      </w:r>
      <w:r w:rsidR="00CE7DAB" w:rsidRPr="00A44834">
        <w:rPr>
          <w:szCs w:val="28"/>
        </w:rPr>
        <w:t xml:space="preserve">’s legal representatives prior to </w:t>
      </w:r>
      <w:r>
        <w:rPr>
          <w:szCs w:val="28"/>
        </w:rPr>
        <w:t xml:space="preserve">taking out the </w:t>
      </w:r>
      <w:proofErr w:type="spellStart"/>
      <w:r w:rsidR="00CE7DAB" w:rsidRPr="00A44834">
        <w:rPr>
          <w:rFonts w:eastAsia="Times New Roman"/>
          <w:i/>
          <w:szCs w:val="28"/>
        </w:rPr>
        <w:t>Mareva</w:t>
      </w:r>
      <w:proofErr w:type="spellEnd"/>
      <w:r w:rsidR="00CE7DAB" w:rsidRPr="00A44834">
        <w:rPr>
          <w:rFonts w:eastAsia="Times New Roman"/>
          <w:i/>
          <w:szCs w:val="28"/>
        </w:rPr>
        <w:t xml:space="preserve"> </w:t>
      </w:r>
      <w:r w:rsidR="00CE7DAB" w:rsidRPr="00A44834">
        <w:rPr>
          <w:szCs w:val="28"/>
        </w:rPr>
        <w:t>injunction</w:t>
      </w:r>
      <w:r>
        <w:rPr>
          <w:szCs w:val="28"/>
        </w:rPr>
        <w:t xml:space="preserve"> application</w:t>
      </w:r>
      <w:r w:rsidR="00CE7DAB" w:rsidRPr="00A44834">
        <w:rPr>
          <w:szCs w:val="28"/>
        </w:rPr>
        <w:t xml:space="preserve">. </w:t>
      </w:r>
      <w:r>
        <w:rPr>
          <w:szCs w:val="28"/>
        </w:rPr>
        <w:t xml:space="preserve"> In my view, t</w:t>
      </w:r>
      <w:r w:rsidR="00CE7DAB" w:rsidRPr="00A44834">
        <w:rPr>
          <w:szCs w:val="28"/>
        </w:rPr>
        <w:t>h</w:t>
      </w:r>
      <w:r>
        <w:rPr>
          <w:szCs w:val="28"/>
        </w:rPr>
        <w:t>e</w:t>
      </w:r>
      <w:r w:rsidR="00CE7DAB" w:rsidRPr="00A44834">
        <w:rPr>
          <w:szCs w:val="28"/>
        </w:rPr>
        <w:t xml:space="preserve"> entire application was unnecessary and has needlessly increased the </w:t>
      </w:r>
      <w:r w:rsidR="0046333F">
        <w:rPr>
          <w:szCs w:val="28"/>
        </w:rPr>
        <w:t>defendant</w:t>
      </w:r>
      <w:r w:rsidR="00CE7DAB" w:rsidRPr="00A44834">
        <w:rPr>
          <w:szCs w:val="28"/>
        </w:rPr>
        <w:t xml:space="preserve">’s burden, including the risks and costs, in the conduct of the PI Case. </w:t>
      </w:r>
    </w:p>
    <w:p w:rsidR="00CE7DAB" w:rsidRPr="00A44834" w:rsidRDefault="00CE7DAB" w:rsidP="00CE7DAB">
      <w:pPr>
        <w:spacing w:line="360" w:lineRule="auto"/>
        <w:ind w:left="720"/>
        <w:rPr>
          <w:szCs w:val="28"/>
        </w:rPr>
      </w:pPr>
      <w:r w:rsidRPr="00A44834">
        <w:rPr>
          <w:szCs w:val="28"/>
        </w:rPr>
        <w:t xml:space="preserve"> </w:t>
      </w:r>
    </w:p>
    <w:p w:rsidR="00CE7DAB" w:rsidRDefault="009D65CC" w:rsidP="00716280">
      <w:pPr>
        <w:numPr>
          <w:ilvl w:val="0"/>
          <w:numId w:val="17"/>
        </w:numPr>
        <w:tabs>
          <w:tab w:val="clear" w:pos="4320"/>
          <w:tab w:val="clear" w:pos="9072"/>
        </w:tabs>
        <w:snapToGrid/>
        <w:spacing w:line="360" w:lineRule="auto"/>
        <w:ind w:left="0" w:right="61" w:firstLine="0"/>
        <w:jc w:val="both"/>
        <w:rPr>
          <w:szCs w:val="28"/>
        </w:rPr>
      </w:pPr>
      <w:r>
        <w:rPr>
          <w:szCs w:val="28"/>
        </w:rPr>
        <w:t xml:space="preserve">As I </w:t>
      </w:r>
      <w:r w:rsidR="00E70906">
        <w:rPr>
          <w:szCs w:val="28"/>
        </w:rPr>
        <w:t xml:space="preserve">have </w:t>
      </w:r>
      <w:r>
        <w:rPr>
          <w:szCs w:val="28"/>
        </w:rPr>
        <w:t>found above, t</w:t>
      </w:r>
      <w:r w:rsidR="00CE7DAB" w:rsidRPr="00A44834">
        <w:rPr>
          <w:szCs w:val="28"/>
        </w:rPr>
        <w:t>here is no dis</w:t>
      </w:r>
      <w:r>
        <w:rPr>
          <w:szCs w:val="28"/>
        </w:rPr>
        <w:t>sipation of assets in this case. T</w:t>
      </w:r>
      <w:r w:rsidR="00CE7DAB" w:rsidRPr="00A44834">
        <w:rPr>
          <w:szCs w:val="28"/>
        </w:rPr>
        <w:t xml:space="preserve">he transaction was for purely innocent reasons. </w:t>
      </w:r>
      <w:r w:rsidR="00716280">
        <w:rPr>
          <w:szCs w:val="28"/>
        </w:rPr>
        <w:t xml:space="preserve">Had </w:t>
      </w:r>
      <w:r w:rsidR="00CE7DAB" w:rsidRPr="00A44834">
        <w:rPr>
          <w:szCs w:val="28"/>
        </w:rPr>
        <w:t xml:space="preserve">the </w:t>
      </w:r>
      <w:r w:rsidR="0046333F">
        <w:rPr>
          <w:szCs w:val="28"/>
        </w:rPr>
        <w:t>plaintiff</w:t>
      </w:r>
      <w:r w:rsidR="00CE7DAB" w:rsidRPr="00A44834">
        <w:rPr>
          <w:szCs w:val="28"/>
        </w:rPr>
        <w:t xml:space="preserve"> </w:t>
      </w:r>
      <w:r w:rsidR="00716280">
        <w:rPr>
          <w:szCs w:val="28"/>
        </w:rPr>
        <w:t>raised</w:t>
      </w:r>
      <w:r w:rsidR="00CE7DAB" w:rsidRPr="00A44834">
        <w:rPr>
          <w:szCs w:val="28"/>
        </w:rPr>
        <w:t xml:space="preserve"> their concerns regarding the transaction of the 2</w:t>
      </w:r>
      <w:r w:rsidR="00CE7DAB" w:rsidRPr="00A44834">
        <w:rPr>
          <w:szCs w:val="28"/>
          <w:vertAlign w:val="superscript"/>
        </w:rPr>
        <w:t>nd</w:t>
      </w:r>
      <w:r w:rsidR="00CE7DAB" w:rsidRPr="00A44834">
        <w:rPr>
          <w:szCs w:val="28"/>
        </w:rPr>
        <w:t xml:space="preserve"> Property without </w:t>
      </w:r>
      <w:r w:rsidR="00CE7DAB" w:rsidRPr="00A44834">
        <w:rPr>
          <w:szCs w:val="28"/>
        </w:rPr>
        <w:lastRenderedPageBreak/>
        <w:t xml:space="preserve">first launching this </w:t>
      </w:r>
      <w:proofErr w:type="spellStart"/>
      <w:r w:rsidR="00CE7DAB" w:rsidRPr="00A44834">
        <w:rPr>
          <w:rFonts w:eastAsia="Times New Roman"/>
          <w:i/>
          <w:szCs w:val="28"/>
        </w:rPr>
        <w:t>Mareva</w:t>
      </w:r>
      <w:proofErr w:type="spellEnd"/>
      <w:r w:rsidR="00CE7DAB" w:rsidRPr="00A44834">
        <w:rPr>
          <w:szCs w:val="28"/>
        </w:rPr>
        <w:t xml:space="preserve"> injunction, </w:t>
      </w:r>
      <w:r w:rsidR="00716280">
        <w:rPr>
          <w:szCs w:val="28"/>
        </w:rPr>
        <w:t xml:space="preserve">I am sure that they would find that the Summons was unnecessary.  </w:t>
      </w:r>
    </w:p>
    <w:p w:rsidR="00716280" w:rsidRDefault="00716280" w:rsidP="00716280">
      <w:pPr>
        <w:pStyle w:val="ListParagraph"/>
        <w:rPr>
          <w:szCs w:val="28"/>
        </w:rPr>
      </w:pPr>
    </w:p>
    <w:p w:rsidR="00605631" w:rsidRDefault="00716280" w:rsidP="00CE7DAB">
      <w:pPr>
        <w:numPr>
          <w:ilvl w:val="0"/>
          <w:numId w:val="17"/>
        </w:numPr>
        <w:tabs>
          <w:tab w:val="clear" w:pos="4320"/>
          <w:tab w:val="clear" w:pos="9072"/>
        </w:tabs>
        <w:snapToGrid/>
        <w:spacing w:line="360" w:lineRule="auto"/>
        <w:ind w:left="0" w:right="61" w:firstLine="0"/>
        <w:jc w:val="both"/>
        <w:rPr>
          <w:szCs w:val="28"/>
        </w:rPr>
      </w:pPr>
      <w:r>
        <w:rPr>
          <w:szCs w:val="28"/>
        </w:rPr>
        <w:t xml:space="preserve">The plaintiff relied on a letter from the solicitors who represented the </w:t>
      </w:r>
      <w:r w:rsidR="00CE7DAB" w:rsidRPr="00A44834">
        <w:rPr>
          <w:szCs w:val="28"/>
        </w:rPr>
        <w:t>Employees Compensation Assistance Fund Board (</w:t>
      </w:r>
      <w:r>
        <w:rPr>
          <w:szCs w:val="28"/>
        </w:rPr>
        <w:t>“</w:t>
      </w:r>
      <w:r w:rsidR="00CE7DAB" w:rsidRPr="00A44834">
        <w:rPr>
          <w:szCs w:val="28"/>
        </w:rPr>
        <w:t xml:space="preserve">the </w:t>
      </w:r>
      <w:r>
        <w:rPr>
          <w:szCs w:val="28"/>
        </w:rPr>
        <w:t xml:space="preserve">Fund </w:t>
      </w:r>
      <w:r w:rsidR="00CE7DAB" w:rsidRPr="00A44834">
        <w:rPr>
          <w:rFonts w:eastAsia="Times New Roman"/>
          <w:szCs w:val="28"/>
        </w:rPr>
        <w:t>B</w:t>
      </w:r>
      <w:r>
        <w:rPr>
          <w:rFonts w:eastAsia="Times New Roman"/>
          <w:szCs w:val="28"/>
        </w:rPr>
        <w:t>oard</w:t>
      </w:r>
      <w:r w:rsidR="00CE7DAB" w:rsidRPr="00A44834">
        <w:rPr>
          <w:szCs w:val="28"/>
        </w:rPr>
        <w:t xml:space="preserve">”) </w:t>
      </w:r>
      <w:r>
        <w:rPr>
          <w:szCs w:val="28"/>
        </w:rPr>
        <w:t xml:space="preserve">dated 1 September 2020 </w:t>
      </w:r>
      <w:r w:rsidR="00605631">
        <w:rPr>
          <w:szCs w:val="28"/>
        </w:rPr>
        <w:t xml:space="preserve">in </w:t>
      </w:r>
      <w:r>
        <w:rPr>
          <w:szCs w:val="28"/>
        </w:rPr>
        <w:t>alerting them of the S&amp;P Agreement</w:t>
      </w:r>
      <w:r w:rsidR="00605631">
        <w:rPr>
          <w:szCs w:val="28"/>
        </w:rPr>
        <w:t xml:space="preserve"> as a reason to take out the Summons</w:t>
      </w:r>
      <w:r>
        <w:rPr>
          <w:szCs w:val="28"/>
        </w:rPr>
        <w:t xml:space="preserve">.  Allegedly, </w:t>
      </w:r>
      <w:r w:rsidR="00605631">
        <w:rPr>
          <w:szCs w:val="28"/>
        </w:rPr>
        <w:t>the Fund Board had mentioned in the letter that the defendant was uninsured and, by reason of the sale of the 2</w:t>
      </w:r>
      <w:r w:rsidR="00605631" w:rsidRPr="00605631">
        <w:rPr>
          <w:szCs w:val="28"/>
          <w:vertAlign w:val="superscript"/>
        </w:rPr>
        <w:t>nd</w:t>
      </w:r>
      <w:r w:rsidR="00605631">
        <w:rPr>
          <w:szCs w:val="28"/>
        </w:rPr>
        <w:t xml:space="preserve"> Property, there was a risk that the defendant was dissipating his assets to avoid his liability towards the plaintiff, which would affect the interest of the Fund</w:t>
      </w:r>
      <w:r w:rsidR="00E70906">
        <w:rPr>
          <w:szCs w:val="28"/>
        </w:rPr>
        <w:t xml:space="preserve"> Board.  Based on this letter, the plaintiff</w:t>
      </w:r>
      <w:r w:rsidR="00605631">
        <w:rPr>
          <w:szCs w:val="28"/>
        </w:rPr>
        <w:t xml:space="preserve"> submits that “the </w:t>
      </w:r>
      <w:r w:rsidR="009D65CC">
        <w:rPr>
          <w:szCs w:val="28"/>
        </w:rPr>
        <w:t>(</w:t>
      </w:r>
      <w:r w:rsidR="00605631">
        <w:rPr>
          <w:szCs w:val="28"/>
        </w:rPr>
        <w:t>Fund Board</w:t>
      </w:r>
      <w:r w:rsidR="009D65CC">
        <w:rPr>
          <w:szCs w:val="28"/>
        </w:rPr>
        <w:t>)</w:t>
      </w:r>
      <w:r w:rsidR="00605631">
        <w:rPr>
          <w:szCs w:val="28"/>
        </w:rPr>
        <w:t xml:space="preserve"> </w:t>
      </w:r>
      <w:r w:rsidR="00605631" w:rsidRPr="00605631">
        <w:rPr>
          <w:rFonts w:eastAsia="Times New Roman"/>
          <w:i/>
          <w:szCs w:val="28"/>
        </w:rPr>
        <w:t>suggested</w:t>
      </w:r>
      <w:r w:rsidR="009D65CC">
        <w:rPr>
          <w:rFonts w:eastAsia="Times New Roman"/>
          <w:szCs w:val="28"/>
        </w:rPr>
        <w:t xml:space="preserve"> that (the plaintiff’s solicitors) advise (the plaintiff)</w:t>
      </w:r>
      <w:r w:rsidR="00605631" w:rsidRPr="00605631">
        <w:rPr>
          <w:rFonts w:eastAsia="Times New Roman"/>
          <w:szCs w:val="28"/>
        </w:rPr>
        <w:t xml:space="preserve"> to seek an order from the court</w:t>
      </w:r>
      <w:r w:rsidR="009D65CC">
        <w:rPr>
          <w:rFonts w:eastAsia="Times New Roman"/>
          <w:szCs w:val="28"/>
        </w:rPr>
        <w:t xml:space="preserve"> to set aside a sum from (</w:t>
      </w:r>
      <w:r w:rsidR="00605631">
        <w:rPr>
          <w:rFonts w:eastAsia="Times New Roman"/>
          <w:szCs w:val="28"/>
        </w:rPr>
        <w:t>the</w:t>
      </w:r>
      <w:r w:rsidR="009D65CC">
        <w:rPr>
          <w:rFonts w:eastAsia="Times New Roman"/>
          <w:szCs w:val="28"/>
        </w:rPr>
        <w:t xml:space="preserve"> defendant’s)</w:t>
      </w:r>
      <w:r w:rsidR="00605631">
        <w:rPr>
          <w:rFonts w:eastAsia="Times New Roman"/>
          <w:szCs w:val="28"/>
        </w:rPr>
        <w:t xml:space="preserve"> sale of the 2</w:t>
      </w:r>
      <w:r w:rsidR="00605631" w:rsidRPr="00605631">
        <w:rPr>
          <w:rFonts w:eastAsia="Times New Roman"/>
          <w:szCs w:val="28"/>
          <w:vertAlign w:val="superscript"/>
        </w:rPr>
        <w:t>nd</w:t>
      </w:r>
      <w:r w:rsidR="00605631">
        <w:rPr>
          <w:rFonts w:eastAsia="Times New Roman"/>
          <w:szCs w:val="28"/>
        </w:rPr>
        <w:t xml:space="preserve"> Property</w:t>
      </w:r>
      <w:r w:rsidR="00605631" w:rsidRPr="00605631">
        <w:rPr>
          <w:rFonts w:eastAsia="Times New Roman"/>
          <w:szCs w:val="28"/>
        </w:rPr>
        <w:t>”.</w:t>
      </w:r>
      <w:r w:rsidR="00605631">
        <w:rPr>
          <w:rFonts w:eastAsia="Times New Roman"/>
          <w:i/>
          <w:szCs w:val="28"/>
        </w:rPr>
        <w:t xml:space="preserve">  </w:t>
      </w:r>
      <w:r w:rsidR="00605631" w:rsidRPr="00DD563C">
        <w:rPr>
          <w:szCs w:val="28"/>
        </w:rPr>
        <w:t xml:space="preserve"> </w:t>
      </w:r>
      <w:r w:rsidR="00605631">
        <w:rPr>
          <w:szCs w:val="28"/>
        </w:rPr>
        <w:t xml:space="preserve"> </w:t>
      </w:r>
    </w:p>
    <w:p w:rsidR="00605631" w:rsidRDefault="00605631" w:rsidP="00605631">
      <w:pPr>
        <w:pStyle w:val="ListParagraph"/>
        <w:rPr>
          <w:szCs w:val="28"/>
        </w:rPr>
      </w:pPr>
    </w:p>
    <w:p w:rsidR="00605631" w:rsidRDefault="00605631" w:rsidP="00605631">
      <w:pPr>
        <w:numPr>
          <w:ilvl w:val="0"/>
          <w:numId w:val="17"/>
        </w:numPr>
        <w:tabs>
          <w:tab w:val="clear" w:pos="4320"/>
          <w:tab w:val="clear" w:pos="9072"/>
        </w:tabs>
        <w:snapToGrid/>
        <w:spacing w:line="360" w:lineRule="auto"/>
        <w:ind w:left="0" w:right="61" w:firstLine="0"/>
        <w:jc w:val="both"/>
        <w:rPr>
          <w:szCs w:val="28"/>
        </w:rPr>
      </w:pPr>
      <w:r>
        <w:rPr>
          <w:szCs w:val="28"/>
        </w:rPr>
        <w:t xml:space="preserve">With respect, there was not what the Fund Board’s solicitors had stated in their letter.  They merely asked </w:t>
      </w:r>
      <w:r w:rsidRPr="00A44834">
        <w:rPr>
          <w:szCs w:val="28"/>
        </w:rPr>
        <w:t xml:space="preserve">the </w:t>
      </w:r>
      <w:r>
        <w:rPr>
          <w:szCs w:val="28"/>
        </w:rPr>
        <w:t>plaintiff</w:t>
      </w:r>
      <w:r w:rsidRPr="00A44834">
        <w:rPr>
          <w:szCs w:val="28"/>
        </w:rPr>
        <w:t xml:space="preserve">’s </w:t>
      </w:r>
      <w:r>
        <w:rPr>
          <w:szCs w:val="28"/>
        </w:rPr>
        <w:t>solicitor</w:t>
      </w:r>
      <w:r w:rsidRPr="00A44834">
        <w:rPr>
          <w:szCs w:val="28"/>
        </w:rPr>
        <w:t>s to consider and advise their client</w:t>
      </w:r>
      <w:r w:rsidR="004C565D">
        <w:rPr>
          <w:szCs w:val="28"/>
        </w:rPr>
        <w:t xml:space="preserve">, </w:t>
      </w:r>
      <w:proofErr w:type="spellStart"/>
      <w:r w:rsidR="004C565D">
        <w:rPr>
          <w:szCs w:val="28"/>
        </w:rPr>
        <w:t>ie</w:t>
      </w:r>
      <w:proofErr w:type="spellEnd"/>
      <w:r w:rsidRPr="004C565D">
        <w:rPr>
          <w:szCs w:val="28"/>
        </w:rPr>
        <w:t xml:space="preserve"> </w:t>
      </w:r>
      <w:r w:rsidR="009D65CC">
        <w:rPr>
          <w:rFonts w:eastAsia="Times New Roman"/>
          <w:szCs w:val="28"/>
        </w:rPr>
        <w:t>“… (Y)</w:t>
      </w:r>
      <w:proofErr w:type="spellStart"/>
      <w:r w:rsidRPr="004C565D">
        <w:rPr>
          <w:rFonts w:eastAsia="Times New Roman"/>
          <w:szCs w:val="28"/>
        </w:rPr>
        <w:t>ou</w:t>
      </w:r>
      <w:proofErr w:type="spellEnd"/>
      <w:r w:rsidRPr="004C565D">
        <w:rPr>
          <w:rFonts w:eastAsia="Times New Roman"/>
          <w:szCs w:val="28"/>
        </w:rPr>
        <w:t xml:space="preserve"> </w:t>
      </w:r>
      <w:r w:rsidRPr="004C565D">
        <w:rPr>
          <w:rFonts w:eastAsia="Times New Roman"/>
          <w:i/>
          <w:szCs w:val="28"/>
        </w:rPr>
        <w:t>may</w:t>
      </w:r>
      <w:r w:rsidRPr="004C565D">
        <w:rPr>
          <w:rFonts w:eastAsia="Times New Roman"/>
          <w:szCs w:val="28"/>
        </w:rPr>
        <w:t xml:space="preserve"> therefore wish </w:t>
      </w:r>
      <w:r w:rsidRPr="004C565D">
        <w:rPr>
          <w:rFonts w:eastAsia="Times New Roman"/>
          <w:i/>
          <w:szCs w:val="28"/>
        </w:rPr>
        <w:t>to consider and advise</w:t>
      </w:r>
      <w:r w:rsidRPr="004C565D">
        <w:rPr>
          <w:rFonts w:eastAsia="Times New Roman"/>
          <w:szCs w:val="28"/>
        </w:rPr>
        <w:t xml:space="preserve"> your client…”</w:t>
      </w:r>
      <w:r w:rsidRPr="00A44834">
        <w:rPr>
          <w:rFonts w:eastAsia="Times New Roman"/>
          <w:i/>
          <w:szCs w:val="28"/>
        </w:rPr>
        <w:t xml:space="preserve"> </w:t>
      </w:r>
      <w:r w:rsidRPr="00A44834">
        <w:rPr>
          <w:szCs w:val="28"/>
        </w:rPr>
        <w:t>(emphasis added)</w:t>
      </w:r>
      <w:r w:rsidRPr="00DD563C">
        <w:rPr>
          <w:szCs w:val="28"/>
        </w:rPr>
        <w:t>.</w:t>
      </w:r>
    </w:p>
    <w:p w:rsidR="00D21B8D" w:rsidRDefault="00D21B8D" w:rsidP="00D21B8D">
      <w:pPr>
        <w:pStyle w:val="ListParagraph"/>
        <w:rPr>
          <w:szCs w:val="28"/>
        </w:rPr>
      </w:pPr>
    </w:p>
    <w:p w:rsidR="00D21B8D" w:rsidRDefault="00D21B8D" w:rsidP="00CE7DAB">
      <w:pPr>
        <w:numPr>
          <w:ilvl w:val="0"/>
          <w:numId w:val="17"/>
        </w:numPr>
        <w:tabs>
          <w:tab w:val="clear" w:pos="4320"/>
          <w:tab w:val="clear" w:pos="9072"/>
        </w:tabs>
        <w:snapToGrid/>
        <w:spacing w:line="360" w:lineRule="auto"/>
        <w:ind w:left="0" w:right="61" w:firstLine="0"/>
        <w:jc w:val="both"/>
        <w:rPr>
          <w:szCs w:val="28"/>
        </w:rPr>
      </w:pPr>
      <w:r>
        <w:rPr>
          <w:szCs w:val="28"/>
        </w:rPr>
        <w:t xml:space="preserve">Thus, </w:t>
      </w:r>
      <w:r w:rsidR="009D65CC">
        <w:rPr>
          <w:szCs w:val="28"/>
        </w:rPr>
        <w:t xml:space="preserve">in my judgment, </w:t>
      </w:r>
      <w:r w:rsidR="00CE7DAB" w:rsidRPr="00A44834">
        <w:rPr>
          <w:szCs w:val="28"/>
        </w:rPr>
        <w:t xml:space="preserve">in no way does this amount to the </w:t>
      </w:r>
      <w:r w:rsidR="0046333F">
        <w:rPr>
          <w:szCs w:val="28"/>
        </w:rPr>
        <w:t>plaintiff</w:t>
      </w:r>
      <w:r w:rsidR="00CE7DAB" w:rsidRPr="00A44834">
        <w:rPr>
          <w:szCs w:val="28"/>
        </w:rPr>
        <w:t xml:space="preserve">’s </w:t>
      </w:r>
      <w:r w:rsidR="0046333F">
        <w:rPr>
          <w:szCs w:val="28"/>
        </w:rPr>
        <w:t>solicitor</w:t>
      </w:r>
      <w:r w:rsidR="00CE7DAB" w:rsidRPr="00A44834">
        <w:rPr>
          <w:szCs w:val="28"/>
        </w:rPr>
        <w:t xml:space="preserve">s being </w:t>
      </w:r>
      <w:r w:rsidR="00CE7DAB" w:rsidRPr="004C565D">
        <w:rPr>
          <w:rFonts w:eastAsia="Times New Roman"/>
          <w:szCs w:val="28"/>
        </w:rPr>
        <w:t>“</w:t>
      </w:r>
      <w:r w:rsidR="00CE7DAB" w:rsidRPr="004C565D">
        <w:rPr>
          <w:rFonts w:eastAsia="Times New Roman"/>
          <w:i/>
          <w:szCs w:val="28"/>
        </w:rPr>
        <w:t>duty-bound</w:t>
      </w:r>
      <w:r w:rsidR="00CE7DAB" w:rsidRPr="004C565D">
        <w:rPr>
          <w:rFonts w:eastAsia="Times New Roman"/>
          <w:szCs w:val="28"/>
        </w:rPr>
        <w:t xml:space="preserve"> to issue an injunction application”</w:t>
      </w:r>
      <w:r w:rsidR="004C565D">
        <w:rPr>
          <w:rFonts w:eastAsia="Times New Roman"/>
          <w:szCs w:val="28"/>
        </w:rPr>
        <w:t xml:space="preserve"> as </w:t>
      </w:r>
      <w:r>
        <w:rPr>
          <w:rFonts w:eastAsia="Times New Roman"/>
          <w:szCs w:val="28"/>
        </w:rPr>
        <w:t xml:space="preserve">suggested by the plaintiff’s assigned solicitor in his affirmation.  </w:t>
      </w:r>
      <w:r w:rsidR="00CE7DAB" w:rsidRPr="00A44834">
        <w:rPr>
          <w:szCs w:val="28"/>
        </w:rPr>
        <w:t xml:space="preserve"> </w:t>
      </w:r>
    </w:p>
    <w:p w:rsidR="00D21B8D" w:rsidRDefault="00D21B8D" w:rsidP="00D21B8D">
      <w:pPr>
        <w:pStyle w:val="ListParagraph"/>
        <w:rPr>
          <w:szCs w:val="28"/>
        </w:rPr>
      </w:pPr>
    </w:p>
    <w:p w:rsidR="00D21B8D" w:rsidRPr="009D65CC" w:rsidRDefault="00D21B8D" w:rsidP="009D65CC">
      <w:pPr>
        <w:rPr>
          <w:szCs w:val="28"/>
        </w:rPr>
      </w:pPr>
    </w:p>
    <w:p w:rsidR="00CE7DAB" w:rsidRPr="004D7B62" w:rsidRDefault="00D21B8D" w:rsidP="004D7B62">
      <w:pPr>
        <w:numPr>
          <w:ilvl w:val="0"/>
          <w:numId w:val="17"/>
        </w:numPr>
        <w:tabs>
          <w:tab w:val="clear" w:pos="4320"/>
          <w:tab w:val="clear" w:pos="9072"/>
        </w:tabs>
        <w:snapToGrid/>
        <w:spacing w:line="360" w:lineRule="auto"/>
        <w:ind w:left="0" w:right="61" w:firstLine="0"/>
        <w:jc w:val="both"/>
        <w:rPr>
          <w:szCs w:val="28"/>
        </w:rPr>
      </w:pPr>
      <w:r>
        <w:rPr>
          <w:szCs w:val="28"/>
        </w:rPr>
        <w:t xml:space="preserve">The fact that </w:t>
      </w:r>
      <w:r w:rsidR="004D7B62">
        <w:rPr>
          <w:szCs w:val="28"/>
        </w:rPr>
        <w:t xml:space="preserve">the plaintiff did not see the need to take out an </w:t>
      </w:r>
      <w:r w:rsidR="004D7B62" w:rsidRPr="009D65CC">
        <w:rPr>
          <w:i/>
          <w:szCs w:val="28"/>
        </w:rPr>
        <w:t>ex parte</w:t>
      </w:r>
      <w:r w:rsidR="004D7B62">
        <w:rPr>
          <w:szCs w:val="28"/>
        </w:rPr>
        <w:t xml:space="preserve"> </w:t>
      </w:r>
      <w:r w:rsidR="000078D8">
        <w:rPr>
          <w:szCs w:val="28"/>
        </w:rPr>
        <w:t>application suggests that he kne</w:t>
      </w:r>
      <w:bookmarkStart w:id="0" w:name="_GoBack"/>
      <w:bookmarkEnd w:id="0"/>
      <w:r w:rsidR="004D7B62">
        <w:rPr>
          <w:szCs w:val="28"/>
        </w:rPr>
        <w:t xml:space="preserve">w there was no urgency and that the risk of dissipation was not real.  In my judgment, </w:t>
      </w:r>
      <w:r w:rsidR="00CE7DAB" w:rsidRPr="004D7B62">
        <w:rPr>
          <w:szCs w:val="28"/>
        </w:rPr>
        <w:t xml:space="preserve">the </w:t>
      </w:r>
      <w:r w:rsidR="0046333F" w:rsidRPr="004D7B62">
        <w:rPr>
          <w:szCs w:val="28"/>
        </w:rPr>
        <w:t>plaintiff</w:t>
      </w:r>
      <w:r w:rsidR="00CE7DAB" w:rsidRPr="004D7B62">
        <w:rPr>
          <w:szCs w:val="28"/>
        </w:rPr>
        <w:t xml:space="preserve">’s </w:t>
      </w:r>
      <w:r w:rsidR="0046333F" w:rsidRPr="004D7B62">
        <w:rPr>
          <w:szCs w:val="28"/>
        </w:rPr>
        <w:t>solicitor</w:t>
      </w:r>
      <w:r w:rsidR="00CE7DAB" w:rsidRPr="004D7B62">
        <w:rPr>
          <w:szCs w:val="28"/>
        </w:rPr>
        <w:t xml:space="preserve">s </w:t>
      </w:r>
      <w:r w:rsidR="004D7B62">
        <w:rPr>
          <w:szCs w:val="28"/>
        </w:rPr>
        <w:t xml:space="preserve">could </w:t>
      </w:r>
      <w:r w:rsidR="009D65CC">
        <w:rPr>
          <w:szCs w:val="28"/>
        </w:rPr>
        <w:t>have mad</w:t>
      </w:r>
      <w:r w:rsidR="004D7B62">
        <w:rPr>
          <w:szCs w:val="28"/>
        </w:rPr>
        <w:t xml:space="preserve">e enquiry with </w:t>
      </w:r>
      <w:r w:rsidR="00CE7DAB" w:rsidRPr="004D7B62">
        <w:rPr>
          <w:szCs w:val="28"/>
        </w:rPr>
        <w:t xml:space="preserve">the </w:t>
      </w:r>
      <w:r w:rsidR="0046333F" w:rsidRPr="004D7B62">
        <w:rPr>
          <w:szCs w:val="28"/>
        </w:rPr>
        <w:t>defendant</w:t>
      </w:r>
      <w:r w:rsidR="004D7B62">
        <w:rPr>
          <w:szCs w:val="28"/>
        </w:rPr>
        <w:t xml:space="preserve"> or his </w:t>
      </w:r>
      <w:r w:rsidR="0046333F" w:rsidRPr="004D7B62">
        <w:rPr>
          <w:szCs w:val="28"/>
        </w:rPr>
        <w:t>solicitor</w:t>
      </w:r>
      <w:r w:rsidR="00CE7DAB" w:rsidRPr="004D7B62">
        <w:rPr>
          <w:szCs w:val="28"/>
        </w:rPr>
        <w:t>s</w:t>
      </w:r>
      <w:r w:rsidR="004D7B62">
        <w:rPr>
          <w:szCs w:val="28"/>
        </w:rPr>
        <w:t xml:space="preserve"> first before </w:t>
      </w:r>
      <w:r w:rsidR="009D65CC">
        <w:rPr>
          <w:szCs w:val="28"/>
        </w:rPr>
        <w:t>taking</w:t>
      </w:r>
      <w:r w:rsidR="004D7B62">
        <w:rPr>
          <w:szCs w:val="28"/>
        </w:rPr>
        <w:t xml:space="preserve"> out the Summons.  </w:t>
      </w:r>
      <w:r w:rsidR="00CE7DAB" w:rsidRPr="004D7B62">
        <w:rPr>
          <w:szCs w:val="28"/>
        </w:rPr>
        <w:t xml:space="preserve"> </w:t>
      </w:r>
    </w:p>
    <w:p w:rsidR="00CE7DAB" w:rsidRPr="00A44834" w:rsidRDefault="00CE7DAB" w:rsidP="00CE7DAB">
      <w:pPr>
        <w:spacing w:line="360" w:lineRule="auto"/>
        <w:ind w:left="720"/>
        <w:rPr>
          <w:szCs w:val="28"/>
        </w:rPr>
      </w:pPr>
      <w:r w:rsidRPr="00A44834">
        <w:rPr>
          <w:szCs w:val="28"/>
        </w:rPr>
        <w:lastRenderedPageBreak/>
        <w:t xml:space="preserve"> </w:t>
      </w:r>
    </w:p>
    <w:p w:rsidR="00CE7DAB" w:rsidRPr="00DD563C" w:rsidRDefault="004D7B62" w:rsidP="00CE7DAB">
      <w:pPr>
        <w:numPr>
          <w:ilvl w:val="0"/>
          <w:numId w:val="17"/>
        </w:numPr>
        <w:tabs>
          <w:tab w:val="clear" w:pos="4320"/>
          <w:tab w:val="clear" w:pos="9072"/>
        </w:tabs>
        <w:snapToGrid/>
        <w:spacing w:line="360" w:lineRule="auto"/>
        <w:ind w:left="0" w:right="61" w:firstLine="0"/>
        <w:jc w:val="both"/>
        <w:rPr>
          <w:szCs w:val="28"/>
        </w:rPr>
      </w:pPr>
      <w:r>
        <w:rPr>
          <w:szCs w:val="28"/>
        </w:rPr>
        <w:t>Significantly, in this case, t</w:t>
      </w:r>
      <w:r w:rsidR="00CE7DAB" w:rsidRPr="00A44834">
        <w:rPr>
          <w:szCs w:val="28"/>
        </w:rPr>
        <w:t xml:space="preserve">here has never been a risk of the public funds </w:t>
      </w:r>
      <w:r>
        <w:rPr>
          <w:szCs w:val="28"/>
        </w:rPr>
        <w:t xml:space="preserve">being used to enforce </w:t>
      </w:r>
      <w:r w:rsidR="00CE7DAB" w:rsidRPr="00DD563C">
        <w:rPr>
          <w:szCs w:val="28"/>
        </w:rPr>
        <w:t xml:space="preserve">the </w:t>
      </w:r>
      <w:r>
        <w:rPr>
          <w:szCs w:val="28"/>
        </w:rPr>
        <w:t>judgment or the interest and costs in the EC C</w:t>
      </w:r>
      <w:r w:rsidR="00CE7DAB" w:rsidRPr="00DD563C">
        <w:rPr>
          <w:szCs w:val="28"/>
        </w:rPr>
        <w:t xml:space="preserve">ase. There has been no evidence of </w:t>
      </w:r>
      <w:r>
        <w:rPr>
          <w:szCs w:val="28"/>
        </w:rPr>
        <w:t xml:space="preserve">the defendant in trying to </w:t>
      </w:r>
      <w:r w:rsidR="00CE7DAB" w:rsidRPr="00DD563C">
        <w:rPr>
          <w:szCs w:val="28"/>
        </w:rPr>
        <w:t>evad</w:t>
      </w:r>
      <w:r>
        <w:rPr>
          <w:szCs w:val="28"/>
        </w:rPr>
        <w:t>e</w:t>
      </w:r>
      <w:r w:rsidR="00CE7DAB" w:rsidRPr="00DD563C">
        <w:rPr>
          <w:szCs w:val="28"/>
        </w:rPr>
        <w:t xml:space="preserve"> </w:t>
      </w:r>
      <w:r>
        <w:rPr>
          <w:szCs w:val="28"/>
        </w:rPr>
        <w:t xml:space="preserve">the </w:t>
      </w:r>
      <w:r w:rsidR="00CE7DAB" w:rsidRPr="00DD563C">
        <w:rPr>
          <w:szCs w:val="28"/>
        </w:rPr>
        <w:t xml:space="preserve">judgment in the </w:t>
      </w:r>
      <w:r>
        <w:rPr>
          <w:szCs w:val="28"/>
        </w:rPr>
        <w:t xml:space="preserve">EC Case. As mentioned </w:t>
      </w:r>
      <w:r w:rsidR="00CE7DAB" w:rsidRPr="00DD563C">
        <w:rPr>
          <w:szCs w:val="28"/>
        </w:rPr>
        <w:t>above</w:t>
      </w:r>
      <w:r>
        <w:rPr>
          <w:szCs w:val="28"/>
        </w:rPr>
        <w:t>,</w:t>
      </w:r>
      <w:r w:rsidR="00CE7DAB" w:rsidRPr="00DD563C">
        <w:rPr>
          <w:szCs w:val="28"/>
        </w:rPr>
        <w:t xml:space="preserve"> the </w:t>
      </w:r>
      <w:r w:rsidR="0046333F">
        <w:rPr>
          <w:szCs w:val="28"/>
        </w:rPr>
        <w:t>defendant</w:t>
      </w:r>
      <w:r w:rsidR="00CE7DAB" w:rsidRPr="00DD563C">
        <w:rPr>
          <w:szCs w:val="28"/>
        </w:rPr>
        <w:t xml:space="preserve"> had in fact fully satisfied the </w:t>
      </w:r>
      <w:r>
        <w:rPr>
          <w:szCs w:val="28"/>
        </w:rPr>
        <w:t>j</w:t>
      </w:r>
      <w:r w:rsidR="00CE7DAB" w:rsidRPr="00DD563C">
        <w:rPr>
          <w:szCs w:val="28"/>
        </w:rPr>
        <w:t xml:space="preserve">udgment </w:t>
      </w:r>
      <w:r>
        <w:rPr>
          <w:szCs w:val="28"/>
        </w:rPr>
        <w:t>sum and interest on 31 July 2020</w:t>
      </w:r>
      <w:r w:rsidR="009D65CC">
        <w:rPr>
          <w:szCs w:val="28"/>
        </w:rPr>
        <w:t xml:space="preserve"> and </w:t>
      </w:r>
      <w:r w:rsidR="00E70906">
        <w:rPr>
          <w:szCs w:val="28"/>
        </w:rPr>
        <w:t xml:space="preserve">has </w:t>
      </w:r>
      <w:r w:rsidR="009D65CC">
        <w:rPr>
          <w:szCs w:val="28"/>
        </w:rPr>
        <w:t>made genuine</w:t>
      </w:r>
      <w:r w:rsidR="00E70906">
        <w:rPr>
          <w:szCs w:val="28"/>
        </w:rPr>
        <w:t xml:space="preserve"> attempts in</w:t>
      </w:r>
      <w:r w:rsidR="00CE7DAB" w:rsidRPr="00DD563C">
        <w:rPr>
          <w:szCs w:val="28"/>
        </w:rPr>
        <w:t xml:space="preserve"> offering to pay the </w:t>
      </w:r>
      <w:r w:rsidR="0046333F">
        <w:rPr>
          <w:szCs w:val="28"/>
        </w:rPr>
        <w:t>plaintiff</w:t>
      </w:r>
      <w:r>
        <w:rPr>
          <w:szCs w:val="28"/>
        </w:rPr>
        <w:t xml:space="preserve">’s costs </w:t>
      </w:r>
      <w:r w:rsidR="00CE7DAB" w:rsidRPr="00DD563C">
        <w:rPr>
          <w:szCs w:val="28"/>
        </w:rPr>
        <w:t>and disbursements in relation to the EC Case</w:t>
      </w:r>
      <w:r w:rsidR="009D65CC">
        <w:rPr>
          <w:szCs w:val="28"/>
        </w:rPr>
        <w:t xml:space="preserve"> through his solicitors</w:t>
      </w:r>
      <w:r w:rsidR="00CE7DAB" w:rsidRPr="00DD563C">
        <w:rPr>
          <w:szCs w:val="28"/>
        </w:rPr>
        <w:t>.</w:t>
      </w:r>
      <w:r>
        <w:rPr>
          <w:szCs w:val="28"/>
        </w:rPr>
        <w:t xml:space="preserve">  This all</w:t>
      </w:r>
      <w:r w:rsidR="009D65CC">
        <w:rPr>
          <w:szCs w:val="28"/>
        </w:rPr>
        <w:t xml:space="preserve"> happened before the letter sent by</w:t>
      </w:r>
      <w:r>
        <w:rPr>
          <w:szCs w:val="28"/>
        </w:rPr>
        <w:t xml:space="preserve"> the Fund Board</w:t>
      </w:r>
      <w:r w:rsidR="009D65CC">
        <w:rPr>
          <w:szCs w:val="28"/>
        </w:rPr>
        <w:t xml:space="preserve"> to the plaintiff’s solicitors</w:t>
      </w:r>
      <w:r>
        <w:rPr>
          <w:szCs w:val="28"/>
        </w:rPr>
        <w:t xml:space="preserve">.  </w:t>
      </w:r>
      <w:r w:rsidR="00CE7DAB" w:rsidRPr="00DD563C">
        <w:rPr>
          <w:szCs w:val="28"/>
        </w:rPr>
        <w:t xml:space="preserve">  </w:t>
      </w:r>
    </w:p>
    <w:p w:rsidR="00CE7DAB" w:rsidRPr="00A44834" w:rsidRDefault="00CE7DAB" w:rsidP="00CE7DAB">
      <w:pPr>
        <w:spacing w:line="360" w:lineRule="auto"/>
        <w:ind w:left="720"/>
        <w:rPr>
          <w:szCs w:val="28"/>
        </w:rPr>
      </w:pPr>
      <w:r w:rsidRPr="00A44834">
        <w:rPr>
          <w:szCs w:val="28"/>
        </w:rPr>
        <w:t xml:space="preserve"> </w:t>
      </w:r>
    </w:p>
    <w:p w:rsidR="004D7B62" w:rsidRDefault="004D7B62" w:rsidP="00CE7DAB">
      <w:pPr>
        <w:numPr>
          <w:ilvl w:val="0"/>
          <w:numId w:val="17"/>
        </w:numPr>
        <w:tabs>
          <w:tab w:val="clear" w:pos="4320"/>
          <w:tab w:val="clear" w:pos="9072"/>
        </w:tabs>
        <w:snapToGrid/>
        <w:spacing w:line="360" w:lineRule="auto"/>
        <w:ind w:left="0" w:right="61" w:firstLine="0"/>
        <w:jc w:val="both"/>
        <w:rPr>
          <w:szCs w:val="28"/>
        </w:rPr>
      </w:pPr>
      <w:r>
        <w:rPr>
          <w:szCs w:val="28"/>
        </w:rPr>
        <w:t xml:space="preserve">Thus, </w:t>
      </w:r>
      <w:r w:rsidR="009D65CC">
        <w:rPr>
          <w:szCs w:val="28"/>
        </w:rPr>
        <w:t xml:space="preserve">in my view, </w:t>
      </w:r>
      <w:r w:rsidR="00CE7DAB" w:rsidRPr="00A44834">
        <w:rPr>
          <w:szCs w:val="28"/>
        </w:rPr>
        <w:t xml:space="preserve">there has never been a need for the </w:t>
      </w:r>
      <w:r w:rsidR="0046333F">
        <w:rPr>
          <w:szCs w:val="28"/>
        </w:rPr>
        <w:t>plaintiff</w:t>
      </w:r>
      <w:r w:rsidR="00CE7DAB" w:rsidRPr="00A44834">
        <w:rPr>
          <w:szCs w:val="28"/>
        </w:rPr>
        <w:t xml:space="preserve"> to apply for relief payment under the provisions of the Employees Compens</w:t>
      </w:r>
      <w:r w:rsidR="00AC4325">
        <w:rPr>
          <w:szCs w:val="28"/>
        </w:rPr>
        <w:t>ation Assistance Ordinance</w:t>
      </w:r>
      <w:r>
        <w:rPr>
          <w:szCs w:val="28"/>
        </w:rPr>
        <w:t>,</w:t>
      </w:r>
      <w:r w:rsidR="00AC4325">
        <w:rPr>
          <w:szCs w:val="28"/>
        </w:rPr>
        <w:t xml:space="preserve"> Cap</w:t>
      </w:r>
      <w:r w:rsidR="00CE7DAB" w:rsidRPr="00A44834">
        <w:rPr>
          <w:szCs w:val="28"/>
        </w:rPr>
        <w:t xml:space="preserve"> 365 nor has the </w:t>
      </w:r>
      <w:r>
        <w:rPr>
          <w:szCs w:val="28"/>
        </w:rPr>
        <w:t>Fund Board ev</w:t>
      </w:r>
      <w:r w:rsidR="00CE7DAB" w:rsidRPr="00A44834">
        <w:rPr>
          <w:szCs w:val="28"/>
        </w:rPr>
        <w:t xml:space="preserve">er </w:t>
      </w:r>
      <w:r w:rsidR="009D65CC">
        <w:rPr>
          <w:szCs w:val="28"/>
        </w:rPr>
        <w:t xml:space="preserve">needed to intervene during the entirety of the </w:t>
      </w:r>
      <w:r w:rsidR="00CE7DAB" w:rsidRPr="00A44834">
        <w:rPr>
          <w:szCs w:val="28"/>
        </w:rPr>
        <w:t>EC Case</w:t>
      </w:r>
      <w:r w:rsidR="00CE7DAB" w:rsidRPr="00DD563C">
        <w:rPr>
          <w:szCs w:val="28"/>
        </w:rPr>
        <w:t>.</w:t>
      </w:r>
      <w:r>
        <w:rPr>
          <w:szCs w:val="28"/>
        </w:rPr>
        <w:t xml:space="preserve">  Thus, the reliance of the Fund Board’s letter as a reason to take out the Summons in my view is not sustainable.   </w:t>
      </w:r>
      <w:r w:rsidR="00CE7DAB" w:rsidRPr="00DD563C">
        <w:rPr>
          <w:szCs w:val="28"/>
        </w:rPr>
        <w:t xml:space="preserve"> </w:t>
      </w:r>
    </w:p>
    <w:p w:rsidR="004D7B62" w:rsidRDefault="004D7B62" w:rsidP="004D7B62">
      <w:pPr>
        <w:pStyle w:val="ListParagraph"/>
        <w:rPr>
          <w:szCs w:val="28"/>
        </w:rPr>
      </w:pPr>
    </w:p>
    <w:p w:rsidR="00F77E73" w:rsidRDefault="009D65CC" w:rsidP="00CE7DAB">
      <w:pPr>
        <w:numPr>
          <w:ilvl w:val="0"/>
          <w:numId w:val="17"/>
        </w:numPr>
        <w:tabs>
          <w:tab w:val="clear" w:pos="4320"/>
          <w:tab w:val="clear" w:pos="9072"/>
        </w:tabs>
        <w:snapToGrid/>
        <w:spacing w:line="360" w:lineRule="auto"/>
        <w:ind w:left="0" w:right="61" w:firstLine="0"/>
        <w:jc w:val="both"/>
        <w:rPr>
          <w:szCs w:val="28"/>
        </w:rPr>
      </w:pPr>
      <w:r>
        <w:rPr>
          <w:szCs w:val="28"/>
        </w:rPr>
        <w:t>In my judgment</w:t>
      </w:r>
      <w:r w:rsidR="004D7B62">
        <w:rPr>
          <w:szCs w:val="28"/>
        </w:rPr>
        <w:t>, the balance of convenience clearly lie</w:t>
      </w:r>
      <w:r>
        <w:rPr>
          <w:szCs w:val="28"/>
        </w:rPr>
        <w:t>s</w:t>
      </w:r>
      <w:r w:rsidR="004D7B62">
        <w:rPr>
          <w:szCs w:val="28"/>
        </w:rPr>
        <w:t xml:space="preserve"> in </w:t>
      </w:r>
      <w:proofErr w:type="spellStart"/>
      <w:r w:rsidR="004D7B62">
        <w:rPr>
          <w:szCs w:val="28"/>
        </w:rPr>
        <w:t>favour</w:t>
      </w:r>
      <w:proofErr w:type="spellEnd"/>
      <w:r w:rsidR="004D7B62">
        <w:rPr>
          <w:szCs w:val="28"/>
        </w:rPr>
        <w:t xml:space="preserve"> of the defendant </w:t>
      </w:r>
      <w:r w:rsidR="00F77E73">
        <w:rPr>
          <w:szCs w:val="28"/>
        </w:rPr>
        <w:t>in this case</w:t>
      </w:r>
      <w:r>
        <w:rPr>
          <w:szCs w:val="28"/>
        </w:rPr>
        <w:t xml:space="preserve"> in order</w:t>
      </w:r>
      <w:r w:rsidR="00F77E73">
        <w:rPr>
          <w:szCs w:val="28"/>
        </w:rPr>
        <w:t xml:space="preserve"> to allow him to complete the transaction of the 2</w:t>
      </w:r>
      <w:r w:rsidR="00F77E73" w:rsidRPr="00F77E73">
        <w:rPr>
          <w:szCs w:val="28"/>
          <w:vertAlign w:val="superscript"/>
        </w:rPr>
        <w:t>nd</w:t>
      </w:r>
      <w:r>
        <w:rPr>
          <w:szCs w:val="28"/>
        </w:rPr>
        <w:t xml:space="preserve"> Pro</w:t>
      </w:r>
      <w:r w:rsidR="00F77E73">
        <w:rPr>
          <w:szCs w:val="28"/>
        </w:rPr>
        <w:t>p</w:t>
      </w:r>
      <w:r>
        <w:rPr>
          <w:szCs w:val="28"/>
        </w:rPr>
        <w:t>e</w:t>
      </w:r>
      <w:r w:rsidR="00F77E73">
        <w:rPr>
          <w:szCs w:val="28"/>
        </w:rPr>
        <w:t>rty on 28 December 2020.</w:t>
      </w:r>
    </w:p>
    <w:p w:rsidR="009D65CC" w:rsidRDefault="009D65CC" w:rsidP="009D65CC">
      <w:pPr>
        <w:tabs>
          <w:tab w:val="clear" w:pos="4320"/>
          <w:tab w:val="clear" w:pos="9072"/>
        </w:tabs>
        <w:snapToGrid/>
        <w:spacing w:line="360" w:lineRule="auto"/>
        <w:ind w:right="61"/>
        <w:jc w:val="both"/>
        <w:rPr>
          <w:szCs w:val="28"/>
        </w:rPr>
      </w:pPr>
    </w:p>
    <w:p w:rsidR="00435CF0" w:rsidRPr="00947A6A" w:rsidRDefault="00D0454A" w:rsidP="00F77E73">
      <w:pPr>
        <w:tabs>
          <w:tab w:val="clear" w:pos="4320"/>
          <w:tab w:val="clear" w:pos="9072"/>
        </w:tabs>
        <w:snapToGrid/>
        <w:spacing w:line="360" w:lineRule="auto"/>
        <w:ind w:right="61"/>
        <w:jc w:val="both"/>
        <w:rPr>
          <w:i/>
        </w:rPr>
      </w:pPr>
      <w:r w:rsidRPr="00947A6A">
        <w:rPr>
          <w:i/>
        </w:rPr>
        <w:t>CONCLUSION</w:t>
      </w:r>
    </w:p>
    <w:p w:rsidR="001D48BB" w:rsidRPr="00947A6A" w:rsidRDefault="001D48BB" w:rsidP="001D48BB">
      <w:pPr>
        <w:pStyle w:val="ListParagraph"/>
        <w:spacing w:line="360" w:lineRule="auto"/>
        <w:ind w:left="0"/>
        <w:jc w:val="both"/>
      </w:pPr>
    </w:p>
    <w:p w:rsidR="00F77E73" w:rsidRDefault="00F77E73" w:rsidP="00A20727">
      <w:pPr>
        <w:pStyle w:val="ListParagraph"/>
        <w:numPr>
          <w:ilvl w:val="0"/>
          <w:numId w:val="17"/>
        </w:numPr>
        <w:spacing w:line="360" w:lineRule="auto"/>
        <w:ind w:left="0" w:firstLine="0"/>
        <w:jc w:val="both"/>
      </w:pPr>
      <w:r>
        <w:t xml:space="preserve">For the above reasons, I had dismissed </w:t>
      </w:r>
      <w:r w:rsidR="009D65CC">
        <w:t>the Summons</w:t>
      </w:r>
      <w:r w:rsidR="00E70906">
        <w:t xml:space="preserve"> on 9 December 2020</w:t>
      </w:r>
      <w:r w:rsidR="009D65CC">
        <w:t>.</w:t>
      </w:r>
    </w:p>
    <w:p w:rsidR="00F77E73" w:rsidRPr="00F77E73" w:rsidRDefault="00F77E73" w:rsidP="00F77E73">
      <w:pPr>
        <w:spacing w:line="360" w:lineRule="auto"/>
        <w:jc w:val="both"/>
        <w:rPr>
          <w:i/>
        </w:rPr>
      </w:pPr>
    </w:p>
    <w:p w:rsidR="00A20727" w:rsidRPr="00F77E73" w:rsidRDefault="000764BB" w:rsidP="00F77E73">
      <w:pPr>
        <w:spacing w:line="360" w:lineRule="auto"/>
        <w:jc w:val="both"/>
        <w:rPr>
          <w:i/>
        </w:rPr>
      </w:pPr>
      <w:r>
        <w:rPr>
          <w:i/>
        </w:rPr>
        <w:t>Summary assessment of c</w:t>
      </w:r>
      <w:r w:rsidR="00F77E73" w:rsidRPr="00F77E73">
        <w:rPr>
          <w:i/>
        </w:rPr>
        <w:t xml:space="preserve">osts </w:t>
      </w:r>
    </w:p>
    <w:p w:rsidR="00A20727" w:rsidRPr="00947A6A" w:rsidRDefault="00A20727" w:rsidP="00A20727">
      <w:pPr>
        <w:pStyle w:val="ListParagraph"/>
        <w:spacing w:line="360" w:lineRule="auto"/>
        <w:ind w:left="0"/>
        <w:jc w:val="both"/>
      </w:pPr>
    </w:p>
    <w:p w:rsidR="00A20727" w:rsidRPr="00947A6A" w:rsidRDefault="00F77E73" w:rsidP="00A20727">
      <w:pPr>
        <w:pStyle w:val="ListParagraph"/>
        <w:numPr>
          <w:ilvl w:val="0"/>
          <w:numId w:val="17"/>
        </w:numPr>
        <w:spacing w:line="360" w:lineRule="auto"/>
        <w:ind w:left="0" w:firstLine="0"/>
        <w:jc w:val="both"/>
      </w:pPr>
      <w:r>
        <w:lastRenderedPageBreak/>
        <w:t>For the costs of the defendant incurred as a result of defending the Summons, having perused the statement of costs prepared by the defendant</w:t>
      </w:r>
      <w:r w:rsidR="000764BB">
        <w:t xml:space="preserve">’s solicitors </w:t>
      </w:r>
      <w:r>
        <w:t>and the list of objections prepared by the plaintiff</w:t>
      </w:r>
      <w:r w:rsidR="000764BB">
        <w:t>’s solicitors</w:t>
      </w:r>
      <w:r>
        <w:t xml:space="preserve">, I have summarily assessed the </w:t>
      </w:r>
      <w:r w:rsidR="000764BB">
        <w:t xml:space="preserve">defendant’s </w:t>
      </w:r>
      <w:r>
        <w:t xml:space="preserve">costs at HK$120,000.   </w:t>
      </w:r>
    </w:p>
    <w:p w:rsidR="00A20727" w:rsidRPr="00947A6A" w:rsidRDefault="00A20727" w:rsidP="00A20727">
      <w:pPr>
        <w:pStyle w:val="ListParagraph"/>
        <w:spacing w:line="360" w:lineRule="auto"/>
        <w:ind w:left="0"/>
        <w:jc w:val="both"/>
      </w:pPr>
    </w:p>
    <w:p w:rsidR="00A20727" w:rsidRPr="00947A6A" w:rsidRDefault="00F77E73" w:rsidP="00A20727">
      <w:pPr>
        <w:pStyle w:val="ListParagraph"/>
        <w:numPr>
          <w:ilvl w:val="0"/>
          <w:numId w:val="17"/>
        </w:numPr>
        <w:spacing w:line="360" w:lineRule="auto"/>
        <w:ind w:left="0" w:firstLine="0"/>
        <w:jc w:val="both"/>
      </w:pPr>
      <w:r>
        <w:t xml:space="preserve">Given the fact that the plaintiff is on legal aid, the usual order of payment of the summarily assessed costs within 14 days will not apply in this case: see Order 62, rule 9B (1) &amp; (2) of the RDC.   </w:t>
      </w:r>
    </w:p>
    <w:p w:rsidR="00A20727" w:rsidRPr="00947A6A" w:rsidRDefault="00A20727" w:rsidP="00A20727">
      <w:pPr>
        <w:pStyle w:val="ListParagraph"/>
        <w:spacing w:line="360" w:lineRule="auto"/>
        <w:ind w:left="0"/>
        <w:jc w:val="both"/>
      </w:pPr>
    </w:p>
    <w:p w:rsidR="00200478" w:rsidRPr="00947A6A" w:rsidRDefault="00F77E73" w:rsidP="00A20727">
      <w:pPr>
        <w:pStyle w:val="ListParagraph"/>
        <w:numPr>
          <w:ilvl w:val="0"/>
          <w:numId w:val="17"/>
        </w:numPr>
        <w:spacing w:line="360" w:lineRule="auto"/>
        <w:ind w:left="0" w:firstLine="0"/>
        <w:jc w:val="both"/>
      </w:pPr>
      <w:r>
        <w:t>Lastly, I would like to thank counsel on both sides for their helpful submissions.</w:t>
      </w:r>
    </w:p>
    <w:p w:rsidR="00F30ADB" w:rsidRPr="00947A6A" w:rsidRDefault="00F30ADB" w:rsidP="00200478">
      <w:pPr>
        <w:pStyle w:val="ListParagraph"/>
        <w:spacing w:line="360" w:lineRule="auto"/>
        <w:ind w:left="0"/>
        <w:jc w:val="both"/>
      </w:pPr>
    </w:p>
    <w:p w:rsidR="003A09E8" w:rsidRPr="00947A6A" w:rsidRDefault="003A09E8" w:rsidP="007B1D44">
      <w:pPr>
        <w:tabs>
          <w:tab w:val="clear" w:pos="4320"/>
          <w:tab w:val="clear" w:pos="9072"/>
        </w:tabs>
        <w:spacing w:line="360" w:lineRule="auto"/>
        <w:ind w:right="-720"/>
        <w:jc w:val="both"/>
        <w:rPr>
          <w:szCs w:val="28"/>
        </w:rPr>
      </w:pPr>
    </w:p>
    <w:p w:rsidR="005964BA" w:rsidRPr="00947A6A" w:rsidRDefault="005964BA" w:rsidP="007B1D44">
      <w:pPr>
        <w:tabs>
          <w:tab w:val="clear" w:pos="4320"/>
          <w:tab w:val="clear" w:pos="9072"/>
          <w:tab w:val="center" w:pos="6480"/>
        </w:tabs>
        <w:ind w:right="-720"/>
        <w:jc w:val="both"/>
        <w:rPr>
          <w:iCs/>
          <w:szCs w:val="28"/>
        </w:rPr>
      </w:pPr>
      <w:r w:rsidRPr="00947A6A">
        <w:rPr>
          <w:iCs/>
          <w:szCs w:val="28"/>
        </w:rPr>
        <w:tab/>
      </w:r>
      <w:r w:rsidRPr="00947A6A">
        <w:rPr>
          <w:iCs/>
          <w:szCs w:val="28"/>
        </w:rPr>
        <w:tab/>
      </w:r>
      <w:proofErr w:type="gramStart"/>
      <w:r w:rsidRPr="00947A6A">
        <w:rPr>
          <w:iCs/>
          <w:szCs w:val="28"/>
        </w:rPr>
        <w:t xml:space="preserve">( </w:t>
      </w:r>
      <w:r w:rsidR="00093758" w:rsidRPr="00947A6A">
        <w:rPr>
          <w:iCs/>
          <w:szCs w:val="28"/>
        </w:rPr>
        <w:t>Andrew</w:t>
      </w:r>
      <w:proofErr w:type="gramEnd"/>
      <w:r w:rsidR="00093758" w:rsidRPr="00947A6A">
        <w:rPr>
          <w:iCs/>
          <w:szCs w:val="28"/>
        </w:rPr>
        <w:t xml:space="preserve"> </w:t>
      </w:r>
      <w:r w:rsidR="007F1C9A" w:rsidRPr="00947A6A">
        <w:rPr>
          <w:iCs/>
          <w:szCs w:val="28"/>
        </w:rPr>
        <w:t xml:space="preserve">SY </w:t>
      </w:r>
      <w:r w:rsidR="00093758" w:rsidRPr="00947A6A">
        <w:rPr>
          <w:iCs/>
          <w:szCs w:val="28"/>
        </w:rPr>
        <w:t>Li</w:t>
      </w:r>
      <w:r w:rsidRPr="00947A6A">
        <w:rPr>
          <w:iCs/>
          <w:szCs w:val="28"/>
        </w:rPr>
        <w:t xml:space="preserve"> )</w:t>
      </w:r>
    </w:p>
    <w:p w:rsidR="005964BA" w:rsidRPr="00947A6A" w:rsidRDefault="005964BA" w:rsidP="007B1D44">
      <w:pPr>
        <w:tabs>
          <w:tab w:val="clear" w:pos="4320"/>
          <w:tab w:val="clear" w:pos="9072"/>
          <w:tab w:val="center" w:pos="6480"/>
        </w:tabs>
        <w:ind w:right="-720"/>
        <w:jc w:val="both"/>
        <w:rPr>
          <w:szCs w:val="28"/>
          <w:lang w:eastAsia="zh-HK"/>
        </w:rPr>
      </w:pPr>
      <w:r w:rsidRPr="00947A6A">
        <w:rPr>
          <w:iCs/>
          <w:szCs w:val="28"/>
        </w:rPr>
        <w:tab/>
      </w:r>
      <w:r w:rsidRPr="00947A6A">
        <w:rPr>
          <w:iCs/>
          <w:szCs w:val="28"/>
        </w:rPr>
        <w:tab/>
        <w:t>District Judge</w:t>
      </w:r>
    </w:p>
    <w:p w:rsidR="008A1C7A" w:rsidRPr="00947A6A" w:rsidRDefault="008A1C7A" w:rsidP="007B1D44">
      <w:pPr>
        <w:ind w:right="-720"/>
        <w:rPr>
          <w:szCs w:val="28"/>
          <w:lang w:val="en-GB"/>
        </w:rPr>
      </w:pPr>
    </w:p>
    <w:p w:rsidR="008A1C7A" w:rsidRPr="00947A6A" w:rsidRDefault="008A1C7A" w:rsidP="007B1D44">
      <w:pPr>
        <w:ind w:right="-720"/>
        <w:rPr>
          <w:szCs w:val="28"/>
          <w:lang w:val="en-GB"/>
        </w:rPr>
      </w:pPr>
    </w:p>
    <w:p w:rsidR="00612FD9" w:rsidRPr="00947A6A" w:rsidRDefault="007E39FF" w:rsidP="007B1D44">
      <w:pPr>
        <w:ind w:right="-720"/>
        <w:rPr>
          <w:szCs w:val="28"/>
          <w:lang w:val="en-GB"/>
        </w:rPr>
      </w:pPr>
      <w:r w:rsidRPr="00947A6A">
        <w:rPr>
          <w:szCs w:val="28"/>
          <w:lang w:val="en-GB"/>
        </w:rPr>
        <w:t>Miss Alison Choy</w:t>
      </w:r>
      <w:r w:rsidR="00612FD9" w:rsidRPr="00947A6A">
        <w:rPr>
          <w:szCs w:val="28"/>
          <w:lang w:val="en-GB"/>
        </w:rPr>
        <w:t xml:space="preserve">, instructed by Messrs </w:t>
      </w:r>
      <w:proofErr w:type="gramStart"/>
      <w:r w:rsidRPr="00947A6A">
        <w:rPr>
          <w:szCs w:val="28"/>
          <w:lang w:val="en-GB"/>
        </w:rPr>
        <w:t>Or</w:t>
      </w:r>
      <w:proofErr w:type="gramEnd"/>
      <w:r w:rsidRPr="00947A6A">
        <w:rPr>
          <w:szCs w:val="28"/>
          <w:lang w:val="en-GB"/>
        </w:rPr>
        <w:t xml:space="preserve"> &amp; Lau</w:t>
      </w:r>
      <w:r w:rsidR="00612FD9" w:rsidRPr="00947A6A">
        <w:rPr>
          <w:szCs w:val="28"/>
          <w:lang w:val="en-GB"/>
        </w:rPr>
        <w:t>, for the plaintiff</w:t>
      </w:r>
      <w:r w:rsidR="00F77E73">
        <w:rPr>
          <w:szCs w:val="28"/>
          <w:lang w:val="en-GB"/>
        </w:rPr>
        <w:t>, assigned by the Director of Legal Aid</w:t>
      </w:r>
    </w:p>
    <w:p w:rsidR="00612FD9" w:rsidRPr="00947A6A" w:rsidRDefault="00612FD9" w:rsidP="007B1D44">
      <w:pPr>
        <w:ind w:right="-720"/>
        <w:rPr>
          <w:szCs w:val="28"/>
          <w:lang w:val="en-GB"/>
        </w:rPr>
      </w:pPr>
    </w:p>
    <w:p w:rsidR="00B45A3B" w:rsidRPr="00947A6A" w:rsidRDefault="00612FD9" w:rsidP="00E46AF4">
      <w:pPr>
        <w:ind w:right="-720"/>
        <w:rPr>
          <w:szCs w:val="28"/>
          <w:lang w:val="en-GB"/>
        </w:rPr>
      </w:pPr>
      <w:r w:rsidRPr="00947A6A">
        <w:rPr>
          <w:szCs w:val="28"/>
          <w:lang w:val="en-GB"/>
        </w:rPr>
        <w:t xml:space="preserve">Mr </w:t>
      </w:r>
      <w:r w:rsidR="007E39FF" w:rsidRPr="00947A6A">
        <w:rPr>
          <w:szCs w:val="28"/>
          <w:lang w:val="en-GB"/>
        </w:rPr>
        <w:t>Leon Chan</w:t>
      </w:r>
      <w:r w:rsidR="00BE4CAB" w:rsidRPr="00947A6A">
        <w:rPr>
          <w:szCs w:val="28"/>
          <w:lang w:val="en-GB"/>
        </w:rPr>
        <w:t>,</w:t>
      </w:r>
      <w:r w:rsidR="00D87F8B" w:rsidRPr="00947A6A">
        <w:rPr>
          <w:szCs w:val="28"/>
          <w:lang w:val="en-GB"/>
        </w:rPr>
        <w:t xml:space="preserve"> </w:t>
      </w:r>
      <w:r w:rsidR="007E39FF" w:rsidRPr="00947A6A">
        <w:rPr>
          <w:szCs w:val="28"/>
          <w:lang w:val="en-GB"/>
        </w:rPr>
        <w:t xml:space="preserve">instructed by Messrs </w:t>
      </w:r>
      <w:proofErr w:type="spellStart"/>
      <w:r w:rsidR="007E39FF" w:rsidRPr="00947A6A">
        <w:rPr>
          <w:szCs w:val="28"/>
          <w:lang w:val="en-GB"/>
        </w:rPr>
        <w:t>Boase</w:t>
      </w:r>
      <w:proofErr w:type="spellEnd"/>
      <w:r w:rsidR="007E39FF" w:rsidRPr="00947A6A">
        <w:rPr>
          <w:szCs w:val="28"/>
          <w:lang w:val="en-GB"/>
        </w:rPr>
        <w:t xml:space="preserve"> Cohen &amp; Collins</w:t>
      </w:r>
      <w:r w:rsidR="00BE4CAB" w:rsidRPr="00947A6A">
        <w:rPr>
          <w:szCs w:val="28"/>
          <w:lang w:val="en-GB"/>
        </w:rPr>
        <w:t>,</w:t>
      </w:r>
      <w:r w:rsidR="00D87F8B" w:rsidRPr="00947A6A">
        <w:rPr>
          <w:szCs w:val="28"/>
          <w:lang w:val="en-GB"/>
        </w:rPr>
        <w:t xml:space="preserve"> for the defendant</w:t>
      </w:r>
    </w:p>
    <w:p w:rsidR="009464D0" w:rsidRPr="00947A6A" w:rsidRDefault="009464D0" w:rsidP="00E46AF4">
      <w:pPr>
        <w:ind w:right="-720"/>
        <w:rPr>
          <w:szCs w:val="28"/>
          <w:lang w:val="en-GB"/>
        </w:rPr>
      </w:pPr>
    </w:p>
    <w:p w:rsidR="009464D0" w:rsidRPr="00947A6A" w:rsidRDefault="009464D0" w:rsidP="00E46AF4">
      <w:pPr>
        <w:ind w:right="-720"/>
        <w:rPr>
          <w:szCs w:val="28"/>
          <w:lang w:val="en-GB"/>
        </w:rPr>
      </w:pPr>
    </w:p>
    <w:sectPr w:rsidR="009464D0" w:rsidRPr="00947A6A" w:rsidSect="00435CF0">
      <w:headerReference w:type="default" r:id="rId11"/>
      <w:type w:val="continuous"/>
      <w:pgSz w:w="11906" w:h="16838" w:code="9"/>
      <w:pgMar w:top="1440" w:right="1800" w:bottom="1440" w:left="1800" w:header="720" w:footer="720"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6237" w:rsidRDefault="008E6237">
      <w:r>
        <w:separator/>
      </w:r>
    </w:p>
  </w:endnote>
  <w:endnote w:type="continuationSeparator" w:id="0">
    <w:p w:rsidR="008E6237" w:rsidRDefault="008E62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6237" w:rsidRDefault="008E623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E6237" w:rsidRDefault="008E623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6237" w:rsidRDefault="008E6237">
    <w:pPr>
      <w:pStyle w:val="Footer"/>
      <w:framePr w:wrap="around" w:vAnchor="text" w:hAnchor="margin" w:xAlign="right" w:y="1"/>
      <w:rPr>
        <w:rStyle w:val="PageNumber"/>
      </w:rPr>
    </w:pPr>
  </w:p>
  <w:p w:rsidR="008E6237" w:rsidRDefault="008E623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6237" w:rsidRDefault="008E6237">
      <w:r>
        <w:separator/>
      </w:r>
    </w:p>
  </w:footnote>
  <w:footnote w:type="continuationSeparator" w:id="0">
    <w:p w:rsidR="008E6237" w:rsidRDefault="008E6237">
      <w:r>
        <w:continuationSeparator/>
      </w:r>
    </w:p>
  </w:footnote>
  <w:footnote w:id="1">
    <w:p w:rsidR="008E6237" w:rsidRPr="002D6D1C" w:rsidRDefault="008E6237">
      <w:pPr>
        <w:pStyle w:val="FootnoteText"/>
        <w:rPr>
          <w:rFonts w:ascii="Times New Roman" w:eastAsiaTheme="minorEastAsia" w:hAnsi="Times New Roman"/>
          <w:sz w:val="20"/>
          <w:szCs w:val="20"/>
          <w:lang w:val="en-US" w:eastAsia="zh-CN"/>
        </w:rPr>
      </w:pPr>
      <w:r>
        <w:rPr>
          <w:rStyle w:val="FootnoteReference"/>
        </w:rPr>
        <w:footnoteRef/>
      </w:r>
      <w:r>
        <w:t xml:space="preserve"> </w:t>
      </w:r>
      <w:r w:rsidRPr="004C6D2B">
        <w:rPr>
          <w:rFonts w:ascii="Times New Roman" w:eastAsiaTheme="minorEastAsia" w:hAnsi="Times New Roman"/>
          <w:sz w:val="20"/>
          <w:szCs w:val="20"/>
          <w:lang w:eastAsia="zh-CN"/>
        </w:rPr>
        <w:t>See §49 of Chinese Judgment of HH Judge Harold Leong dated 11 June 2020,</w:t>
      </w:r>
      <w:r w:rsidRPr="00EB1927">
        <w:t xml:space="preserve"> </w:t>
      </w:r>
      <w:r w:rsidRPr="00EB1927">
        <w:rPr>
          <w:rFonts w:ascii="Times New Roman" w:hAnsi="Times New Roman"/>
          <w:sz w:val="20"/>
          <w:szCs w:val="20"/>
        </w:rPr>
        <w:t>DCEC 1352 of 2018, [2020] HKDC 408</w:t>
      </w:r>
      <w:r w:rsidR="002D6D1C">
        <w:rPr>
          <w:rFonts w:ascii="Times New Roman" w:hAnsi="Times New Roman"/>
          <w:sz w:val="20"/>
          <w:szCs w:val="20"/>
          <w:lang w:val="en-US"/>
        </w:rPr>
        <w:t xml:space="preserve"> (“the EC Case Judgment”)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6237" w:rsidRDefault="008E6237">
    <w:pPr>
      <w:pStyle w:val="Header"/>
    </w:pPr>
    <w:r>
      <w:rPr>
        <w:noProof/>
        <w:sz w:val="20"/>
        <w:lang w:val="en-US" w:eastAsia="zh-CN"/>
      </w:rPr>
      <mc:AlternateContent>
        <mc:Choice Requires="wps">
          <w:drawing>
            <wp:anchor distT="0" distB="0" distL="114300" distR="114300" simplePos="0" relativeHeight="251663360" behindDoc="0" locked="0" layoutInCell="0" allowOverlap="1" wp14:anchorId="65B681AF" wp14:editId="259A132F">
              <wp:simplePos x="0" y="0"/>
              <wp:positionH relativeFrom="column">
                <wp:posOffset>5843905</wp:posOffset>
              </wp:positionH>
              <wp:positionV relativeFrom="paragraph">
                <wp:posOffset>155575</wp:posOffset>
              </wp:positionV>
              <wp:extent cx="414020" cy="100584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E6237" w:rsidRDefault="008E6237">
                          <w:pPr>
                            <w:rPr>
                              <w:b/>
                              <w:sz w:val="20"/>
                            </w:rPr>
                          </w:pPr>
                          <w:r>
                            <w:rPr>
                              <w:rFonts w:hint="eastAsia"/>
                              <w:b/>
                              <w:sz w:val="20"/>
                            </w:rPr>
                            <w:t>A</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20"/>
                            </w:rPr>
                          </w:pPr>
                          <w:r>
                            <w:rPr>
                              <w:rFonts w:hint="eastAsia"/>
                              <w:b/>
                              <w:sz w:val="20"/>
                            </w:rPr>
                            <w:t>B</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C</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pStyle w:val="Heading2"/>
                            <w:rPr>
                              <w:sz w:val="16"/>
                            </w:rPr>
                          </w:pPr>
                          <w:r>
                            <w:rPr>
                              <w:rFonts w:hint="eastAsia"/>
                            </w:rPr>
                            <w:t>D</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E</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20"/>
                            </w:rPr>
                          </w:pPr>
                          <w:r>
                            <w:rPr>
                              <w:rFonts w:hint="eastAsia"/>
                              <w:b/>
                              <w:sz w:val="20"/>
                            </w:rPr>
                            <w:t>F</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G</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H</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I</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J</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K</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L</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M</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N</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O</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P</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Q</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R</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S</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T</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U</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B681AF" id="_x0000_t202" coordsize="21600,21600" o:spt="202" path="m,l,21600r21600,l21600,xe">
              <v:stroke joinstyle="miter"/>
              <v:path gradientshapeok="t" o:connecttype="rect"/>
            </v:shapetype>
            <v:shape id="Text Box 2" o:spid="_x0000_s1026" type="#_x0000_t202" style="position:absolute;left:0;text-align:left;margin-left:460.15pt;margin-top:12.25pt;width:32.6pt;height:1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" o:allowincell="f" stroked="f">
              <v:textbox>
                <w:txbxContent>
                  <w:p w:rsidR="008E6237" w:rsidRDefault="008E6237">
                    <w:pPr>
                      <w:rPr>
                        <w:b/>
                        <w:sz w:val="20"/>
                      </w:rPr>
                    </w:pPr>
                    <w:r>
                      <w:rPr>
                        <w:rFonts w:hint="eastAsia"/>
                        <w:b/>
                        <w:sz w:val="20"/>
                      </w:rPr>
                      <w:t>A</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20"/>
                      </w:rPr>
                    </w:pPr>
                    <w:r>
                      <w:rPr>
                        <w:rFonts w:hint="eastAsia"/>
                        <w:b/>
                        <w:sz w:val="20"/>
                      </w:rPr>
                      <w:t>B</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C</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pStyle w:val="Heading2"/>
                      <w:rPr>
                        <w:sz w:val="16"/>
                      </w:rPr>
                    </w:pPr>
                    <w:r>
                      <w:rPr>
                        <w:rFonts w:hint="eastAsia"/>
                      </w:rPr>
                      <w:t>D</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E</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20"/>
                      </w:rPr>
                    </w:pPr>
                    <w:r>
                      <w:rPr>
                        <w:rFonts w:hint="eastAsia"/>
                        <w:b/>
                        <w:sz w:val="20"/>
                      </w:rPr>
                      <w:t>F</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G</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H</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I</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J</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K</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L</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M</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N</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O</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P</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Q</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R</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S</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T</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U</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pStyle w:val="Heading3"/>
                      <w:jc w:val="left"/>
                    </w:pPr>
                    <w:r>
                      <w:rPr>
                        <w:rFonts w:hint="eastAsia"/>
                      </w:rPr>
                      <w:t>V</w:t>
                    </w:r>
                  </w:p>
                </w:txbxContent>
              </v:textbox>
            </v:shape>
          </w:pict>
        </mc:Fallback>
      </mc:AlternateContent>
    </w:r>
    <w:r>
      <w:rPr>
        <w:noProof/>
        <w:sz w:val="20"/>
        <w:lang w:val="en-US" w:eastAsia="zh-CN"/>
      </w:rPr>
      <mc:AlternateContent>
        <mc:Choice Requires="wps">
          <w:drawing>
            <wp:anchor distT="0" distB="0" distL="114300" distR="114300" simplePos="0" relativeHeight="251662336" behindDoc="0" locked="0" layoutInCell="0" allowOverlap="1" wp14:anchorId="22DEA82D" wp14:editId="52E67F5E">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E6237" w:rsidRDefault="008E6237">
                          <w:pPr>
                            <w:rPr>
                              <w:b/>
                              <w:sz w:val="20"/>
                            </w:rPr>
                          </w:pPr>
                          <w:r>
                            <w:rPr>
                              <w:rFonts w:hint="eastAsia"/>
                              <w:b/>
                              <w:sz w:val="20"/>
                            </w:rPr>
                            <w:t>A</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20"/>
                            </w:rPr>
                          </w:pPr>
                          <w:r>
                            <w:rPr>
                              <w:rFonts w:hint="eastAsia"/>
                              <w:b/>
                              <w:sz w:val="20"/>
                            </w:rPr>
                            <w:t>B</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C</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pStyle w:val="Heading2"/>
                            <w:rPr>
                              <w:sz w:val="16"/>
                            </w:rPr>
                          </w:pPr>
                          <w:r>
                            <w:rPr>
                              <w:rFonts w:hint="eastAsia"/>
                            </w:rPr>
                            <w:t>D</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E</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20"/>
                            </w:rPr>
                          </w:pPr>
                          <w:r>
                            <w:rPr>
                              <w:rFonts w:hint="eastAsia"/>
                              <w:b/>
                              <w:sz w:val="20"/>
                            </w:rPr>
                            <w:t>F</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G</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H</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I</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J</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K</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L</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M</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N</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O</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P</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Q</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R</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S</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T</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U</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DEA82D" id="Text Box 1" o:spid="_x0000_s1027" type="#_x0000_t202" style="position:absolute;left:0;text-align:left;margin-left:-63pt;margin-top:12.05pt;width:27pt;height:78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Dc&#10;tNfigwIAABYFAAAOAAAAAAAAAAAAAAAAAC4CAABkcnMvZTJvRG9jLnhtbFBLAQItABQABgAIAAAA&#10;IQDZFpfu4AAAAAwBAAAPAAAAAAAAAAAAAAAAAN0EAABkcnMvZG93bnJldi54bWxQSwUGAAAAAAQA&#10;BADzAAAA6gUAAAAA&#10;" o:allowincell="f" stroked="f">
              <v:textbox>
                <w:txbxContent>
                  <w:p w:rsidR="008E6237" w:rsidRDefault="008E6237">
                    <w:pPr>
                      <w:rPr>
                        <w:b/>
                        <w:sz w:val="20"/>
                      </w:rPr>
                    </w:pPr>
                    <w:r>
                      <w:rPr>
                        <w:rFonts w:hint="eastAsia"/>
                        <w:b/>
                        <w:sz w:val="20"/>
                      </w:rPr>
                      <w:t>A</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20"/>
                      </w:rPr>
                    </w:pPr>
                    <w:r>
                      <w:rPr>
                        <w:rFonts w:hint="eastAsia"/>
                        <w:b/>
                        <w:sz w:val="20"/>
                      </w:rPr>
                      <w:t>B</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C</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pStyle w:val="Heading2"/>
                      <w:rPr>
                        <w:sz w:val="16"/>
                      </w:rPr>
                    </w:pPr>
                    <w:r>
                      <w:rPr>
                        <w:rFonts w:hint="eastAsia"/>
                      </w:rPr>
                      <w:t>D</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E</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20"/>
                      </w:rPr>
                    </w:pPr>
                    <w:r>
                      <w:rPr>
                        <w:rFonts w:hint="eastAsia"/>
                        <w:b/>
                        <w:sz w:val="20"/>
                      </w:rPr>
                      <w:t>F</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G</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H</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I</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J</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K</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L</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M</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N</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O</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P</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Q</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R</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S</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T</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U</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pStyle w:val="Heading3"/>
                      <w:jc w:val="left"/>
                    </w:pPr>
                    <w:r>
                      <w:rPr>
                        <w:rFonts w:hint="eastAsia"/>
                      </w:rPr>
                      <w:t>V</w:t>
                    </w:r>
                  </w:p>
                </w:txbxContent>
              </v:textbox>
            </v:shape>
          </w:pict>
        </mc:Fallback>
      </mc:AlternateContent>
    </w:r>
    <w:r>
      <w:rPr>
        <w:noProof/>
        <w:sz w:val="20"/>
        <w:lang w:val="en-US" w:eastAsia="zh-CN"/>
      </w:rPr>
      <mc:AlternateContent>
        <mc:Choice Requires="wps">
          <w:drawing>
            <wp:anchor distT="0" distB="0" distL="114300" distR="114300" simplePos="0" relativeHeight="251664384" behindDoc="0" locked="0" layoutInCell="0" allowOverlap="1" wp14:anchorId="6FB11BC0" wp14:editId="78829673">
              <wp:simplePos x="0" y="0"/>
              <wp:positionH relativeFrom="column">
                <wp:posOffset>-800100</wp:posOffset>
              </wp:positionH>
              <wp:positionV relativeFrom="paragraph">
                <wp:posOffset>-243205</wp:posOffset>
              </wp:positionV>
              <wp:extent cx="571500" cy="29718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E6237" w:rsidRPr="00782869" w:rsidRDefault="008E6237" w:rsidP="001219F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B11BC0" id="Text Box 3" o:spid="_x0000_s1028" type="#_x0000_t202" style="position:absolute;left:0;text-align:left;margin-left:-63pt;margin-top:-19.15pt;width:45pt;height:2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cw5f8IUCAAAVBQAADgAAAAAAAAAAAAAAAAAuAgAAZHJzL2Uyb0RvYy54bWxQSwECLQAUAAYACAAA&#10;ACEAlPrghd8AAAAKAQAADwAAAAAAAAAAAAAAAADfBAAAZHJzL2Rvd25yZXYueG1sUEsFBgAAAAAE&#10;AAQA8wAAAOsFAAAAAA==&#10;" o:allowincell="f" stroked="f">
              <v:textbox>
                <w:txbxContent>
                  <w:p w:rsidR="008E6237" w:rsidRPr="00782869" w:rsidRDefault="008E6237" w:rsidP="001219F2"/>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6237" w:rsidRDefault="008E6237">
    <w:pPr>
      <w:pStyle w:val="Header"/>
      <w:rPr>
        <w:sz w:val="28"/>
      </w:rPr>
    </w:pPr>
    <w:r>
      <w:rPr>
        <w:noProof/>
        <w:sz w:val="28"/>
        <w:lang w:val="en-US" w:eastAsia="zh-CN"/>
      </w:rPr>
      <mc:AlternateContent>
        <mc:Choice Requires="wps">
          <w:drawing>
            <wp:anchor distT="0" distB="0" distL="114300" distR="114300" simplePos="0" relativeHeight="251659264" behindDoc="0" locked="0" layoutInCell="0" allowOverlap="1" wp14:anchorId="2302C914" wp14:editId="3CE8C2AE">
              <wp:simplePos x="0" y="0"/>
              <wp:positionH relativeFrom="column">
                <wp:posOffset>5777230</wp:posOffset>
              </wp:positionH>
              <wp:positionV relativeFrom="paragraph">
                <wp:posOffset>155575</wp:posOffset>
              </wp:positionV>
              <wp:extent cx="414020" cy="10058400"/>
              <wp:effectExtent l="0" t="3175"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E6237" w:rsidRDefault="008E6237">
                          <w:pPr>
                            <w:rPr>
                              <w:b/>
                              <w:sz w:val="20"/>
                            </w:rPr>
                          </w:pPr>
                          <w:r>
                            <w:rPr>
                              <w:rFonts w:hint="eastAsia"/>
                              <w:b/>
                              <w:sz w:val="20"/>
                            </w:rPr>
                            <w:t>A</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20"/>
                            </w:rPr>
                          </w:pPr>
                          <w:r>
                            <w:rPr>
                              <w:rFonts w:hint="eastAsia"/>
                              <w:b/>
                              <w:sz w:val="20"/>
                            </w:rPr>
                            <w:t>B</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C</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pStyle w:val="Heading2"/>
                            <w:rPr>
                              <w:sz w:val="16"/>
                            </w:rPr>
                          </w:pPr>
                          <w:r>
                            <w:rPr>
                              <w:rFonts w:hint="eastAsia"/>
                            </w:rPr>
                            <w:t>D</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E</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20"/>
                            </w:rPr>
                          </w:pPr>
                          <w:r>
                            <w:rPr>
                              <w:rFonts w:hint="eastAsia"/>
                              <w:b/>
                              <w:sz w:val="20"/>
                            </w:rPr>
                            <w:t>F</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G</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H</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I</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J</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K</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L</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M</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N</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O</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P</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Q</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R</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S</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T</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U</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02C914" id="_x0000_t202" coordsize="21600,21600" o:spt="202" path="m,l,21600r21600,l21600,xe">
              <v:stroke joinstyle="miter"/>
              <v:path gradientshapeok="t" o:connecttype="rect"/>
            </v:shapetype>
            <v:shape id="Text Box 5" o:spid="_x0000_s1029" type="#_x0000_t202" style="position:absolute;left:0;text-align:left;margin-left:454.9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" o:allowincell="f" stroked="f">
              <v:textbox>
                <w:txbxContent>
                  <w:p w:rsidR="008121FB" w:rsidRDefault="008121FB">
                    <w:pPr>
                      <w:rPr>
                        <w:b/>
                        <w:sz w:val="20"/>
                      </w:rPr>
                    </w:pPr>
                    <w:r>
                      <w:rPr>
                        <w:rFonts w:hint="eastAsia"/>
                        <w:b/>
                        <w:sz w:val="20"/>
                      </w:rPr>
                      <w:t>A</w:t>
                    </w:r>
                  </w:p>
                  <w:p w:rsidR="008121FB" w:rsidRDefault="008121FB">
                    <w:pPr>
                      <w:rPr>
                        <w:b/>
                        <w:sz w:val="10"/>
                      </w:rPr>
                    </w:pPr>
                  </w:p>
                  <w:p w:rsidR="008121FB" w:rsidRDefault="008121FB">
                    <w:pPr>
                      <w:rPr>
                        <w:b/>
                        <w:sz w:val="16"/>
                      </w:rPr>
                    </w:pPr>
                  </w:p>
                  <w:p w:rsidR="008121FB" w:rsidRDefault="008121FB">
                    <w:pPr>
                      <w:rPr>
                        <w:b/>
                        <w:sz w:val="16"/>
                      </w:rPr>
                    </w:pPr>
                  </w:p>
                  <w:p w:rsidR="008121FB" w:rsidRDefault="008121FB">
                    <w:pPr>
                      <w:rPr>
                        <w:b/>
                        <w:sz w:val="20"/>
                      </w:rPr>
                    </w:pPr>
                    <w:r>
                      <w:rPr>
                        <w:rFonts w:hint="eastAsia"/>
                        <w:b/>
                        <w:sz w:val="20"/>
                      </w:rPr>
                      <w:t>B</w:t>
                    </w:r>
                  </w:p>
                  <w:p w:rsidR="008121FB" w:rsidRDefault="008121FB">
                    <w:pPr>
                      <w:rPr>
                        <w:b/>
                        <w:sz w:val="10"/>
                      </w:rPr>
                    </w:pPr>
                  </w:p>
                  <w:p w:rsidR="008121FB" w:rsidRDefault="008121FB">
                    <w:pPr>
                      <w:rPr>
                        <w:b/>
                        <w:sz w:val="16"/>
                      </w:rPr>
                    </w:pPr>
                  </w:p>
                  <w:p w:rsidR="008121FB" w:rsidRDefault="008121FB">
                    <w:pPr>
                      <w:rPr>
                        <w:b/>
                        <w:sz w:val="16"/>
                      </w:rPr>
                    </w:pPr>
                  </w:p>
                  <w:p w:rsidR="008121FB" w:rsidRDefault="008121FB">
                    <w:pPr>
                      <w:rPr>
                        <w:b/>
                        <w:sz w:val="16"/>
                      </w:rPr>
                    </w:pPr>
                    <w:r>
                      <w:rPr>
                        <w:rFonts w:hint="eastAsia"/>
                        <w:b/>
                        <w:sz w:val="20"/>
                      </w:rPr>
                      <w:t>C</w:t>
                    </w:r>
                  </w:p>
                  <w:p w:rsidR="008121FB" w:rsidRDefault="008121FB">
                    <w:pPr>
                      <w:rPr>
                        <w:b/>
                        <w:sz w:val="10"/>
                      </w:rPr>
                    </w:pPr>
                  </w:p>
                  <w:p w:rsidR="008121FB" w:rsidRDefault="008121FB">
                    <w:pPr>
                      <w:rPr>
                        <w:b/>
                        <w:sz w:val="16"/>
                      </w:rPr>
                    </w:pPr>
                  </w:p>
                  <w:p w:rsidR="008121FB" w:rsidRDefault="008121FB">
                    <w:pPr>
                      <w:rPr>
                        <w:b/>
                        <w:sz w:val="16"/>
                      </w:rPr>
                    </w:pPr>
                  </w:p>
                  <w:p w:rsidR="008121FB" w:rsidRDefault="008121FB">
                    <w:pPr>
                      <w:pStyle w:val="Heading2"/>
                      <w:rPr>
                        <w:sz w:val="16"/>
                      </w:rPr>
                    </w:pPr>
                    <w:r>
                      <w:rPr>
                        <w:rFonts w:hint="eastAsia"/>
                      </w:rPr>
                      <w:t>D</w:t>
                    </w:r>
                  </w:p>
                  <w:p w:rsidR="008121FB" w:rsidRDefault="008121FB">
                    <w:pPr>
                      <w:rPr>
                        <w:b/>
                        <w:sz w:val="10"/>
                      </w:rPr>
                    </w:pPr>
                  </w:p>
                  <w:p w:rsidR="008121FB" w:rsidRDefault="008121FB">
                    <w:pPr>
                      <w:rPr>
                        <w:b/>
                        <w:sz w:val="16"/>
                      </w:rPr>
                    </w:pPr>
                  </w:p>
                  <w:p w:rsidR="008121FB" w:rsidRDefault="008121FB">
                    <w:pPr>
                      <w:rPr>
                        <w:b/>
                        <w:sz w:val="16"/>
                      </w:rPr>
                    </w:pPr>
                  </w:p>
                  <w:p w:rsidR="008121FB" w:rsidRDefault="008121FB">
                    <w:pPr>
                      <w:rPr>
                        <w:b/>
                        <w:sz w:val="16"/>
                      </w:rPr>
                    </w:pPr>
                    <w:r>
                      <w:rPr>
                        <w:rFonts w:hint="eastAsia"/>
                        <w:b/>
                        <w:sz w:val="20"/>
                      </w:rPr>
                      <w:t>E</w:t>
                    </w:r>
                  </w:p>
                  <w:p w:rsidR="008121FB" w:rsidRDefault="008121FB">
                    <w:pPr>
                      <w:rPr>
                        <w:b/>
                        <w:sz w:val="10"/>
                      </w:rPr>
                    </w:pPr>
                  </w:p>
                  <w:p w:rsidR="008121FB" w:rsidRDefault="008121FB">
                    <w:pPr>
                      <w:rPr>
                        <w:b/>
                        <w:sz w:val="16"/>
                      </w:rPr>
                    </w:pPr>
                  </w:p>
                  <w:p w:rsidR="008121FB" w:rsidRDefault="008121FB">
                    <w:pPr>
                      <w:rPr>
                        <w:b/>
                        <w:sz w:val="16"/>
                      </w:rPr>
                    </w:pPr>
                  </w:p>
                  <w:p w:rsidR="008121FB" w:rsidRDefault="008121FB">
                    <w:pPr>
                      <w:rPr>
                        <w:b/>
                        <w:sz w:val="20"/>
                      </w:rPr>
                    </w:pPr>
                    <w:r>
                      <w:rPr>
                        <w:rFonts w:hint="eastAsia"/>
                        <w:b/>
                        <w:sz w:val="20"/>
                      </w:rPr>
                      <w:t>F</w:t>
                    </w:r>
                  </w:p>
                  <w:p w:rsidR="008121FB" w:rsidRDefault="008121FB">
                    <w:pPr>
                      <w:rPr>
                        <w:b/>
                        <w:sz w:val="10"/>
                      </w:rPr>
                    </w:pPr>
                  </w:p>
                  <w:p w:rsidR="008121FB" w:rsidRDefault="008121FB">
                    <w:pPr>
                      <w:rPr>
                        <w:b/>
                        <w:sz w:val="16"/>
                      </w:rPr>
                    </w:pPr>
                  </w:p>
                  <w:p w:rsidR="008121FB" w:rsidRDefault="008121FB">
                    <w:pPr>
                      <w:rPr>
                        <w:b/>
                        <w:sz w:val="16"/>
                      </w:rPr>
                    </w:pPr>
                  </w:p>
                  <w:p w:rsidR="008121FB" w:rsidRDefault="008121FB">
                    <w:pPr>
                      <w:rPr>
                        <w:b/>
                        <w:sz w:val="16"/>
                      </w:rPr>
                    </w:pPr>
                    <w:r>
                      <w:rPr>
                        <w:rFonts w:hint="eastAsia"/>
                        <w:b/>
                        <w:sz w:val="20"/>
                      </w:rPr>
                      <w:t>G</w:t>
                    </w:r>
                  </w:p>
                  <w:p w:rsidR="008121FB" w:rsidRDefault="008121FB">
                    <w:pPr>
                      <w:rPr>
                        <w:b/>
                        <w:sz w:val="10"/>
                      </w:rPr>
                    </w:pPr>
                  </w:p>
                  <w:p w:rsidR="008121FB" w:rsidRDefault="008121FB">
                    <w:pPr>
                      <w:rPr>
                        <w:b/>
                        <w:sz w:val="16"/>
                      </w:rPr>
                    </w:pPr>
                  </w:p>
                  <w:p w:rsidR="008121FB" w:rsidRDefault="008121FB">
                    <w:pPr>
                      <w:rPr>
                        <w:b/>
                        <w:sz w:val="16"/>
                      </w:rPr>
                    </w:pPr>
                  </w:p>
                  <w:p w:rsidR="008121FB" w:rsidRDefault="008121FB">
                    <w:pPr>
                      <w:rPr>
                        <w:b/>
                        <w:sz w:val="16"/>
                      </w:rPr>
                    </w:pPr>
                    <w:r>
                      <w:rPr>
                        <w:rFonts w:hint="eastAsia"/>
                        <w:b/>
                        <w:sz w:val="20"/>
                      </w:rPr>
                      <w:t>H</w:t>
                    </w:r>
                  </w:p>
                  <w:p w:rsidR="008121FB" w:rsidRDefault="008121FB">
                    <w:pPr>
                      <w:rPr>
                        <w:b/>
                        <w:sz w:val="10"/>
                      </w:rPr>
                    </w:pPr>
                  </w:p>
                  <w:p w:rsidR="008121FB" w:rsidRDefault="008121FB">
                    <w:pPr>
                      <w:rPr>
                        <w:b/>
                        <w:sz w:val="16"/>
                      </w:rPr>
                    </w:pPr>
                  </w:p>
                  <w:p w:rsidR="008121FB" w:rsidRDefault="008121FB">
                    <w:pPr>
                      <w:rPr>
                        <w:b/>
                        <w:sz w:val="16"/>
                      </w:rPr>
                    </w:pPr>
                  </w:p>
                  <w:p w:rsidR="008121FB" w:rsidRDefault="008121FB">
                    <w:pPr>
                      <w:rPr>
                        <w:b/>
                        <w:sz w:val="16"/>
                      </w:rPr>
                    </w:pPr>
                    <w:r>
                      <w:rPr>
                        <w:rFonts w:hint="eastAsia"/>
                        <w:b/>
                        <w:sz w:val="20"/>
                      </w:rPr>
                      <w:t>I</w:t>
                    </w:r>
                  </w:p>
                  <w:p w:rsidR="008121FB" w:rsidRDefault="008121FB">
                    <w:pPr>
                      <w:rPr>
                        <w:b/>
                        <w:sz w:val="10"/>
                      </w:rPr>
                    </w:pPr>
                  </w:p>
                  <w:p w:rsidR="008121FB" w:rsidRDefault="008121FB">
                    <w:pPr>
                      <w:rPr>
                        <w:b/>
                        <w:sz w:val="16"/>
                      </w:rPr>
                    </w:pPr>
                  </w:p>
                  <w:p w:rsidR="008121FB" w:rsidRDefault="008121FB">
                    <w:pPr>
                      <w:rPr>
                        <w:b/>
                        <w:sz w:val="16"/>
                      </w:rPr>
                    </w:pPr>
                  </w:p>
                  <w:p w:rsidR="008121FB" w:rsidRDefault="008121FB">
                    <w:pPr>
                      <w:rPr>
                        <w:b/>
                        <w:sz w:val="16"/>
                      </w:rPr>
                    </w:pPr>
                    <w:r>
                      <w:rPr>
                        <w:rFonts w:hint="eastAsia"/>
                        <w:b/>
                        <w:sz w:val="20"/>
                      </w:rPr>
                      <w:t>J</w:t>
                    </w:r>
                  </w:p>
                  <w:p w:rsidR="008121FB" w:rsidRDefault="008121FB">
                    <w:pPr>
                      <w:rPr>
                        <w:b/>
                        <w:sz w:val="10"/>
                      </w:rPr>
                    </w:pPr>
                  </w:p>
                  <w:p w:rsidR="008121FB" w:rsidRDefault="008121FB">
                    <w:pPr>
                      <w:rPr>
                        <w:b/>
                        <w:sz w:val="16"/>
                      </w:rPr>
                    </w:pPr>
                  </w:p>
                  <w:p w:rsidR="008121FB" w:rsidRDefault="008121FB">
                    <w:pPr>
                      <w:rPr>
                        <w:b/>
                        <w:sz w:val="16"/>
                      </w:rPr>
                    </w:pPr>
                  </w:p>
                  <w:p w:rsidR="008121FB" w:rsidRDefault="008121FB">
                    <w:pPr>
                      <w:rPr>
                        <w:b/>
                        <w:sz w:val="16"/>
                      </w:rPr>
                    </w:pPr>
                    <w:r>
                      <w:rPr>
                        <w:rFonts w:hint="eastAsia"/>
                        <w:b/>
                        <w:sz w:val="20"/>
                      </w:rPr>
                      <w:t>K</w:t>
                    </w:r>
                  </w:p>
                  <w:p w:rsidR="008121FB" w:rsidRDefault="008121FB">
                    <w:pPr>
                      <w:rPr>
                        <w:b/>
                        <w:sz w:val="10"/>
                      </w:rPr>
                    </w:pPr>
                  </w:p>
                  <w:p w:rsidR="008121FB" w:rsidRDefault="008121FB">
                    <w:pPr>
                      <w:rPr>
                        <w:b/>
                        <w:sz w:val="16"/>
                      </w:rPr>
                    </w:pPr>
                  </w:p>
                  <w:p w:rsidR="008121FB" w:rsidRDefault="008121FB">
                    <w:pPr>
                      <w:rPr>
                        <w:b/>
                        <w:sz w:val="16"/>
                      </w:rPr>
                    </w:pPr>
                  </w:p>
                  <w:p w:rsidR="008121FB" w:rsidRDefault="008121FB">
                    <w:pPr>
                      <w:rPr>
                        <w:b/>
                        <w:sz w:val="16"/>
                      </w:rPr>
                    </w:pPr>
                    <w:r>
                      <w:rPr>
                        <w:rFonts w:hint="eastAsia"/>
                        <w:b/>
                        <w:sz w:val="20"/>
                      </w:rPr>
                      <w:t>L</w:t>
                    </w:r>
                  </w:p>
                  <w:p w:rsidR="008121FB" w:rsidRDefault="008121FB">
                    <w:pPr>
                      <w:rPr>
                        <w:b/>
                        <w:sz w:val="10"/>
                      </w:rPr>
                    </w:pPr>
                  </w:p>
                  <w:p w:rsidR="008121FB" w:rsidRDefault="008121FB">
                    <w:pPr>
                      <w:rPr>
                        <w:b/>
                        <w:sz w:val="16"/>
                      </w:rPr>
                    </w:pPr>
                  </w:p>
                  <w:p w:rsidR="008121FB" w:rsidRDefault="008121FB">
                    <w:pPr>
                      <w:rPr>
                        <w:b/>
                        <w:sz w:val="16"/>
                      </w:rPr>
                    </w:pPr>
                  </w:p>
                  <w:p w:rsidR="008121FB" w:rsidRDefault="008121FB">
                    <w:pPr>
                      <w:rPr>
                        <w:b/>
                        <w:sz w:val="16"/>
                      </w:rPr>
                    </w:pPr>
                    <w:r>
                      <w:rPr>
                        <w:rFonts w:hint="eastAsia"/>
                        <w:b/>
                        <w:sz w:val="20"/>
                      </w:rPr>
                      <w:t>M</w:t>
                    </w:r>
                  </w:p>
                  <w:p w:rsidR="008121FB" w:rsidRDefault="008121FB">
                    <w:pPr>
                      <w:rPr>
                        <w:b/>
                        <w:sz w:val="10"/>
                      </w:rPr>
                    </w:pPr>
                  </w:p>
                  <w:p w:rsidR="008121FB" w:rsidRDefault="008121FB">
                    <w:pPr>
                      <w:rPr>
                        <w:b/>
                        <w:sz w:val="16"/>
                      </w:rPr>
                    </w:pPr>
                  </w:p>
                  <w:p w:rsidR="008121FB" w:rsidRDefault="008121FB">
                    <w:pPr>
                      <w:rPr>
                        <w:b/>
                        <w:sz w:val="16"/>
                      </w:rPr>
                    </w:pPr>
                  </w:p>
                  <w:p w:rsidR="008121FB" w:rsidRDefault="008121FB">
                    <w:pPr>
                      <w:rPr>
                        <w:b/>
                        <w:sz w:val="16"/>
                      </w:rPr>
                    </w:pPr>
                    <w:r>
                      <w:rPr>
                        <w:rFonts w:hint="eastAsia"/>
                        <w:b/>
                        <w:sz w:val="20"/>
                      </w:rPr>
                      <w:t>N</w:t>
                    </w:r>
                  </w:p>
                  <w:p w:rsidR="008121FB" w:rsidRDefault="008121FB">
                    <w:pPr>
                      <w:rPr>
                        <w:b/>
                        <w:sz w:val="10"/>
                      </w:rPr>
                    </w:pPr>
                  </w:p>
                  <w:p w:rsidR="008121FB" w:rsidRDefault="008121FB">
                    <w:pPr>
                      <w:rPr>
                        <w:b/>
                        <w:sz w:val="16"/>
                      </w:rPr>
                    </w:pPr>
                  </w:p>
                  <w:p w:rsidR="008121FB" w:rsidRDefault="008121FB">
                    <w:pPr>
                      <w:rPr>
                        <w:b/>
                        <w:sz w:val="16"/>
                      </w:rPr>
                    </w:pPr>
                  </w:p>
                  <w:p w:rsidR="008121FB" w:rsidRDefault="008121FB">
                    <w:pPr>
                      <w:rPr>
                        <w:b/>
                        <w:sz w:val="16"/>
                      </w:rPr>
                    </w:pPr>
                    <w:r>
                      <w:rPr>
                        <w:rFonts w:hint="eastAsia"/>
                        <w:b/>
                        <w:sz w:val="20"/>
                      </w:rPr>
                      <w:t>O</w:t>
                    </w:r>
                  </w:p>
                  <w:p w:rsidR="008121FB" w:rsidRDefault="008121FB">
                    <w:pPr>
                      <w:rPr>
                        <w:b/>
                        <w:sz w:val="10"/>
                      </w:rPr>
                    </w:pPr>
                  </w:p>
                  <w:p w:rsidR="008121FB" w:rsidRDefault="008121FB">
                    <w:pPr>
                      <w:rPr>
                        <w:b/>
                        <w:sz w:val="16"/>
                      </w:rPr>
                    </w:pPr>
                  </w:p>
                  <w:p w:rsidR="008121FB" w:rsidRDefault="008121FB">
                    <w:pPr>
                      <w:rPr>
                        <w:b/>
                        <w:sz w:val="16"/>
                      </w:rPr>
                    </w:pPr>
                  </w:p>
                  <w:p w:rsidR="008121FB" w:rsidRDefault="008121FB">
                    <w:pPr>
                      <w:rPr>
                        <w:b/>
                        <w:sz w:val="16"/>
                      </w:rPr>
                    </w:pPr>
                    <w:r>
                      <w:rPr>
                        <w:rFonts w:hint="eastAsia"/>
                        <w:b/>
                        <w:sz w:val="20"/>
                      </w:rPr>
                      <w:t>P</w:t>
                    </w:r>
                  </w:p>
                  <w:p w:rsidR="008121FB" w:rsidRDefault="008121FB">
                    <w:pPr>
                      <w:rPr>
                        <w:b/>
                        <w:sz w:val="10"/>
                      </w:rPr>
                    </w:pPr>
                  </w:p>
                  <w:p w:rsidR="008121FB" w:rsidRDefault="008121FB">
                    <w:pPr>
                      <w:rPr>
                        <w:b/>
                        <w:sz w:val="16"/>
                      </w:rPr>
                    </w:pPr>
                  </w:p>
                  <w:p w:rsidR="008121FB" w:rsidRDefault="008121FB">
                    <w:pPr>
                      <w:rPr>
                        <w:b/>
                        <w:sz w:val="16"/>
                      </w:rPr>
                    </w:pPr>
                  </w:p>
                  <w:p w:rsidR="008121FB" w:rsidRDefault="008121FB">
                    <w:pPr>
                      <w:rPr>
                        <w:b/>
                        <w:sz w:val="16"/>
                      </w:rPr>
                    </w:pPr>
                    <w:r>
                      <w:rPr>
                        <w:rFonts w:hint="eastAsia"/>
                        <w:b/>
                        <w:sz w:val="20"/>
                      </w:rPr>
                      <w:t>Q</w:t>
                    </w:r>
                  </w:p>
                  <w:p w:rsidR="008121FB" w:rsidRDefault="008121FB">
                    <w:pPr>
                      <w:rPr>
                        <w:b/>
                        <w:sz w:val="10"/>
                      </w:rPr>
                    </w:pPr>
                  </w:p>
                  <w:p w:rsidR="008121FB" w:rsidRDefault="008121FB">
                    <w:pPr>
                      <w:rPr>
                        <w:b/>
                        <w:sz w:val="16"/>
                      </w:rPr>
                    </w:pPr>
                  </w:p>
                  <w:p w:rsidR="008121FB" w:rsidRDefault="008121FB">
                    <w:pPr>
                      <w:rPr>
                        <w:b/>
                        <w:sz w:val="16"/>
                      </w:rPr>
                    </w:pPr>
                  </w:p>
                  <w:p w:rsidR="008121FB" w:rsidRDefault="008121FB">
                    <w:pPr>
                      <w:rPr>
                        <w:b/>
                        <w:sz w:val="16"/>
                      </w:rPr>
                    </w:pPr>
                    <w:r>
                      <w:rPr>
                        <w:rFonts w:hint="eastAsia"/>
                        <w:b/>
                        <w:sz w:val="20"/>
                      </w:rPr>
                      <w:t>R</w:t>
                    </w:r>
                  </w:p>
                  <w:p w:rsidR="008121FB" w:rsidRDefault="008121FB">
                    <w:pPr>
                      <w:rPr>
                        <w:b/>
                        <w:sz w:val="10"/>
                      </w:rPr>
                    </w:pPr>
                  </w:p>
                  <w:p w:rsidR="008121FB" w:rsidRDefault="008121FB">
                    <w:pPr>
                      <w:rPr>
                        <w:b/>
                        <w:sz w:val="16"/>
                      </w:rPr>
                    </w:pPr>
                  </w:p>
                  <w:p w:rsidR="008121FB" w:rsidRDefault="008121FB">
                    <w:pPr>
                      <w:rPr>
                        <w:b/>
                        <w:sz w:val="16"/>
                      </w:rPr>
                    </w:pPr>
                  </w:p>
                  <w:p w:rsidR="008121FB" w:rsidRDefault="008121FB">
                    <w:pPr>
                      <w:rPr>
                        <w:b/>
                        <w:sz w:val="16"/>
                      </w:rPr>
                    </w:pPr>
                    <w:r>
                      <w:rPr>
                        <w:rFonts w:hint="eastAsia"/>
                        <w:b/>
                        <w:sz w:val="20"/>
                      </w:rPr>
                      <w:t>S</w:t>
                    </w:r>
                  </w:p>
                  <w:p w:rsidR="008121FB" w:rsidRDefault="008121FB">
                    <w:pPr>
                      <w:rPr>
                        <w:b/>
                        <w:sz w:val="10"/>
                      </w:rPr>
                    </w:pPr>
                  </w:p>
                  <w:p w:rsidR="008121FB" w:rsidRDefault="008121FB">
                    <w:pPr>
                      <w:rPr>
                        <w:b/>
                        <w:sz w:val="16"/>
                      </w:rPr>
                    </w:pPr>
                  </w:p>
                  <w:p w:rsidR="008121FB" w:rsidRDefault="008121FB">
                    <w:pPr>
                      <w:rPr>
                        <w:b/>
                        <w:sz w:val="16"/>
                      </w:rPr>
                    </w:pPr>
                  </w:p>
                  <w:p w:rsidR="008121FB" w:rsidRDefault="008121FB">
                    <w:pPr>
                      <w:rPr>
                        <w:b/>
                        <w:sz w:val="16"/>
                      </w:rPr>
                    </w:pPr>
                    <w:r>
                      <w:rPr>
                        <w:rFonts w:hint="eastAsia"/>
                        <w:b/>
                        <w:sz w:val="20"/>
                      </w:rPr>
                      <w:t>T</w:t>
                    </w:r>
                  </w:p>
                  <w:p w:rsidR="008121FB" w:rsidRDefault="008121FB">
                    <w:pPr>
                      <w:rPr>
                        <w:b/>
                        <w:sz w:val="10"/>
                      </w:rPr>
                    </w:pPr>
                  </w:p>
                  <w:p w:rsidR="008121FB" w:rsidRDefault="008121FB">
                    <w:pPr>
                      <w:rPr>
                        <w:b/>
                        <w:sz w:val="16"/>
                      </w:rPr>
                    </w:pPr>
                  </w:p>
                  <w:p w:rsidR="008121FB" w:rsidRDefault="008121FB">
                    <w:pPr>
                      <w:rPr>
                        <w:b/>
                        <w:sz w:val="16"/>
                      </w:rPr>
                    </w:pPr>
                  </w:p>
                  <w:p w:rsidR="008121FB" w:rsidRDefault="008121FB">
                    <w:pPr>
                      <w:rPr>
                        <w:b/>
                        <w:sz w:val="16"/>
                      </w:rPr>
                    </w:pPr>
                    <w:r>
                      <w:rPr>
                        <w:rFonts w:hint="eastAsia"/>
                        <w:b/>
                        <w:sz w:val="20"/>
                      </w:rPr>
                      <w:t>U</w:t>
                    </w:r>
                  </w:p>
                  <w:p w:rsidR="008121FB" w:rsidRDefault="008121FB">
                    <w:pPr>
                      <w:rPr>
                        <w:b/>
                        <w:sz w:val="10"/>
                      </w:rPr>
                    </w:pPr>
                  </w:p>
                  <w:p w:rsidR="008121FB" w:rsidRDefault="008121FB">
                    <w:pPr>
                      <w:rPr>
                        <w:b/>
                        <w:sz w:val="16"/>
                      </w:rPr>
                    </w:pPr>
                  </w:p>
                  <w:p w:rsidR="008121FB" w:rsidRDefault="008121FB">
                    <w:pPr>
                      <w:rPr>
                        <w:b/>
                        <w:sz w:val="16"/>
                      </w:rPr>
                    </w:pPr>
                  </w:p>
                  <w:p w:rsidR="008121FB" w:rsidRDefault="008121FB">
                    <w:pPr>
                      <w:pStyle w:val="Heading3"/>
                      <w:jc w:val="left"/>
                    </w:pPr>
                    <w:r>
                      <w:rPr>
                        <w:rFonts w:hint="eastAsia"/>
                      </w:rPr>
                      <w:t>V</w:t>
                    </w:r>
                  </w:p>
                </w:txbxContent>
              </v:textbox>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243DCC">
      <w:rPr>
        <w:rStyle w:val="PageNumber"/>
        <w:noProof/>
        <w:sz w:val="28"/>
      </w:rPr>
      <w:t>18</w:t>
    </w:r>
    <w:r>
      <w:rPr>
        <w:rStyle w:val="PageNumber"/>
        <w:sz w:val="28"/>
      </w:rPr>
      <w:fldChar w:fldCharType="end"/>
    </w:r>
    <w:r>
      <w:rPr>
        <w:rStyle w:val="PageNumber"/>
        <w:rFonts w:hint="eastAsia"/>
        <w:sz w:val="28"/>
      </w:rPr>
      <w:t xml:space="preserve"> -</w:t>
    </w:r>
    <w:r>
      <w:rPr>
        <w:noProof/>
        <w:sz w:val="28"/>
        <w:lang w:val="en-US" w:eastAsia="zh-CN"/>
      </w:rPr>
      <mc:AlternateContent>
        <mc:Choice Requires="wps">
          <w:drawing>
            <wp:anchor distT="0" distB="0" distL="114300" distR="114300" simplePos="0" relativeHeight="251658240" behindDoc="0" locked="0" layoutInCell="0" allowOverlap="1" wp14:anchorId="5165715D" wp14:editId="3BBAD547">
              <wp:simplePos x="0" y="0"/>
              <wp:positionH relativeFrom="column">
                <wp:posOffset>-800100</wp:posOffset>
              </wp:positionH>
              <wp:positionV relativeFrom="paragraph">
                <wp:posOffset>153035</wp:posOffset>
              </wp:positionV>
              <wp:extent cx="342900" cy="9944100"/>
              <wp:effectExtent l="0" t="635"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E6237" w:rsidRDefault="008E6237">
                          <w:pPr>
                            <w:rPr>
                              <w:b/>
                              <w:sz w:val="20"/>
                            </w:rPr>
                          </w:pPr>
                          <w:r>
                            <w:rPr>
                              <w:rFonts w:hint="eastAsia"/>
                              <w:b/>
                              <w:sz w:val="20"/>
                            </w:rPr>
                            <w:t>A</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20"/>
                            </w:rPr>
                          </w:pPr>
                          <w:r>
                            <w:rPr>
                              <w:rFonts w:hint="eastAsia"/>
                              <w:b/>
                              <w:sz w:val="20"/>
                            </w:rPr>
                            <w:t>B</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C</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pStyle w:val="Heading2"/>
                            <w:rPr>
                              <w:sz w:val="16"/>
                            </w:rPr>
                          </w:pPr>
                          <w:r>
                            <w:rPr>
                              <w:rFonts w:hint="eastAsia"/>
                            </w:rPr>
                            <w:t>D</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E</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20"/>
                            </w:rPr>
                          </w:pPr>
                          <w:r>
                            <w:rPr>
                              <w:rFonts w:hint="eastAsia"/>
                              <w:b/>
                              <w:sz w:val="20"/>
                            </w:rPr>
                            <w:t>F</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G</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H</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I</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J</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K</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L</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M</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N</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O</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P</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Q</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R</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S</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T</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rPr>
                              <w:b/>
                              <w:sz w:val="16"/>
                            </w:rPr>
                          </w:pPr>
                          <w:r>
                            <w:rPr>
                              <w:rFonts w:hint="eastAsia"/>
                              <w:b/>
                              <w:sz w:val="20"/>
                            </w:rPr>
                            <w:t>U</w:t>
                          </w:r>
                        </w:p>
                        <w:p w:rsidR="008E6237" w:rsidRDefault="008E6237">
                          <w:pPr>
                            <w:rPr>
                              <w:b/>
                              <w:sz w:val="10"/>
                            </w:rPr>
                          </w:pPr>
                        </w:p>
                        <w:p w:rsidR="008E6237" w:rsidRDefault="008E6237">
                          <w:pPr>
                            <w:rPr>
                              <w:b/>
                              <w:sz w:val="16"/>
                            </w:rPr>
                          </w:pPr>
                        </w:p>
                        <w:p w:rsidR="008E6237" w:rsidRDefault="008E6237">
                          <w:pPr>
                            <w:rPr>
                              <w:b/>
                              <w:sz w:val="16"/>
                            </w:rPr>
                          </w:pPr>
                        </w:p>
                        <w:p w:rsidR="008E6237" w:rsidRDefault="008E6237">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65715D"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Pbk&#10;gJmCAgAAFgUAAA4AAAAAAAAAAAAAAAAALgIAAGRycy9lMm9Eb2MueG1sUEsBAi0AFAAGAAgAAAAh&#10;ANkWl+7gAAAADAEAAA8AAAAAAAAAAAAAAAAA3AQAAGRycy9kb3ducmV2LnhtbFBLBQYAAAAABAAE&#10;APMAAADpBQAAAAA=&#10;" o:allowincell="f" stroked="f">
              <v:textbox>
                <w:txbxContent>
                  <w:p w:rsidR="008121FB" w:rsidRDefault="008121FB">
                    <w:pPr>
                      <w:rPr>
                        <w:b/>
                        <w:sz w:val="20"/>
                      </w:rPr>
                    </w:pPr>
                    <w:r>
                      <w:rPr>
                        <w:rFonts w:hint="eastAsia"/>
                        <w:b/>
                        <w:sz w:val="20"/>
                      </w:rPr>
                      <w:t>A</w:t>
                    </w:r>
                  </w:p>
                  <w:p w:rsidR="008121FB" w:rsidRDefault="008121FB">
                    <w:pPr>
                      <w:rPr>
                        <w:b/>
                        <w:sz w:val="10"/>
                      </w:rPr>
                    </w:pPr>
                  </w:p>
                  <w:p w:rsidR="008121FB" w:rsidRDefault="008121FB">
                    <w:pPr>
                      <w:rPr>
                        <w:b/>
                        <w:sz w:val="16"/>
                      </w:rPr>
                    </w:pPr>
                  </w:p>
                  <w:p w:rsidR="008121FB" w:rsidRDefault="008121FB">
                    <w:pPr>
                      <w:rPr>
                        <w:b/>
                        <w:sz w:val="16"/>
                      </w:rPr>
                    </w:pPr>
                  </w:p>
                  <w:p w:rsidR="008121FB" w:rsidRDefault="008121FB">
                    <w:pPr>
                      <w:rPr>
                        <w:b/>
                        <w:sz w:val="20"/>
                      </w:rPr>
                    </w:pPr>
                    <w:r>
                      <w:rPr>
                        <w:rFonts w:hint="eastAsia"/>
                        <w:b/>
                        <w:sz w:val="20"/>
                      </w:rPr>
                      <w:t>B</w:t>
                    </w:r>
                  </w:p>
                  <w:p w:rsidR="008121FB" w:rsidRDefault="008121FB">
                    <w:pPr>
                      <w:rPr>
                        <w:b/>
                        <w:sz w:val="10"/>
                      </w:rPr>
                    </w:pPr>
                  </w:p>
                  <w:p w:rsidR="008121FB" w:rsidRDefault="008121FB">
                    <w:pPr>
                      <w:rPr>
                        <w:b/>
                        <w:sz w:val="16"/>
                      </w:rPr>
                    </w:pPr>
                  </w:p>
                  <w:p w:rsidR="008121FB" w:rsidRDefault="008121FB">
                    <w:pPr>
                      <w:rPr>
                        <w:b/>
                        <w:sz w:val="16"/>
                      </w:rPr>
                    </w:pPr>
                  </w:p>
                  <w:p w:rsidR="008121FB" w:rsidRDefault="008121FB">
                    <w:pPr>
                      <w:rPr>
                        <w:b/>
                        <w:sz w:val="16"/>
                      </w:rPr>
                    </w:pPr>
                    <w:r>
                      <w:rPr>
                        <w:rFonts w:hint="eastAsia"/>
                        <w:b/>
                        <w:sz w:val="20"/>
                      </w:rPr>
                      <w:t>C</w:t>
                    </w:r>
                  </w:p>
                  <w:p w:rsidR="008121FB" w:rsidRDefault="008121FB">
                    <w:pPr>
                      <w:rPr>
                        <w:b/>
                        <w:sz w:val="10"/>
                      </w:rPr>
                    </w:pPr>
                  </w:p>
                  <w:p w:rsidR="008121FB" w:rsidRDefault="008121FB">
                    <w:pPr>
                      <w:rPr>
                        <w:b/>
                        <w:sz w:val="16"/>
                      </w:rPr>
                    </w:pPr>
                  </w:p>
                  <w:p w:rsidR="008121FB" w:rsidRDefault="008121FB">
                    <w:pPr>
                      <w:rPr>
                        <w:b/>
                        <w:sz w:val="16"/>
                      </w:rPr>
                    </w:pPr>
                  </w:p>
                  <w:p w:rsidR="008121FB" w:rsidRDefault="008121FB">
                    <w:pPr>
                      <w:pStyle w:val="Heading2"/>
                      <w:rPr>
                        <w:sz w:val="16"/>
                      </w:rPr>
                    </w:pPr>
                    <w:r>
                      <w:rPr>
                        <w:rFonts w:hint="eastAsia"/>
                      </w:rPr>
                      <w:t>D</w:t>
                    </w:r>
                  </w:p>
                  <w:p w:rsidR="008121FB" w:rsidRDefault="008121FB">
                    <w:pPr>
                      <w:rPr>
                        <w:b/>
                        <w:sz w:val="10"/>
                      </w:rPr>
                    </w:pPr>
                  </w:p>
                  <w:p w:rsidR="008121FB" w:rsidRDefault="008121FB">
                    <w:pPr>
                      <w:rPr>
                        <w:b/>
                        <w:sz w:val="16"/>
                      </w:rPr>
                    </w:pPr>
                  </w:p>
                  <w:p w:rsidR="008121FB" w:rsidRDefault="008121FB">
                    <w:pPr>
                      <w:rPr>
                        <w:b/>
                        <w:sz w:val="16"/>
                      </w:rPr>
                    </w:pPr>
                  </w:p>
                  <w:p w:rsidR="008121FB" w:rsidRDefault="008121FB">
                    <w:pPr>
                      <w:rPr>
                        <w:b/>
                        <w:sz w:val="16"/>
                      </w:rPr>
                    </w:pPr>
                    <w:r>
                      <w:rPr>
                        <w:rFonts w:hint="eastAsia"/>
                        <w:b/>
                        <w:sz w:val="20"/>
                      </w:rPr>
                      <w:t>E</w:t>
                    </w:r>
                  </w:p>
                  <w:p w:rsidR="008121FB" w:rsidRDefault="008121FB">
                    <w:pPr>
                      <w:rPr>
                        <w:b/>
                        <w:sz w:val="10"/>
                      </w:rPr>
                    </w:pPr>
                  </w:p>
                  <w:p w:rsidR="008121FB" w:rsidRDefault="008121FB">
                    <w:pPr>
                      <w:rPr>
                        <w:b/>
                        <w:sz w:val="16"/>
                      </w:rPr>
                    </w:pPr>
                  </w:p>
                  <w:p w:rsidR="008121FB" w:rsidRDefault="008121FB">
                    <w:pPr>
                      <w:rPr>
                        <w:b/>
                        <w:sz w:val="16"/>
                      </w:rPr>
                    </w:pPr>
                  </w:p>
                  <w:p w:rsidR="008121FB" w:rsidRDefault="008121FB">
                    <w:pPr>
                      <w:rPr>
                        <w:b/>
                        <w:sz w:val="20"/>
                      </w:rPr>
                    </w:pPr>
                    <w:r>
                      <w:rPr>
                        <w:rFonts w:hint="eastAsia"/>
                        <w:b/>
                        <w:sz w:val="20"/>
                      </w:rPr>
                      <w:t>F</w:t>
                    </w:r>
                  </w:p>
                  <w:p w:rsidR="008121FB" w:rsidRDefault="008121FB">
                    <w:pPr>
                      <w:rPr>
                        <w:b/>
                        <w:sz w:val="10"/>
                      </w:rPr>
                    </w:pPr>
                  </w:p>
                  <w:p w:rsidR="008121FB" w:rsidRDefault="008121FB">
                    <w:pPr>
                      <w:rPr>
                        <w:b/>
                        <w:sz w:val="16"/>
                      </w:rPr>
                    </w:pPr>
                  </w:p>
                  <w:p w:rsidR="008121FB" w:rsidRDefault="008121FB">
                    <w:pPr>
                      <w:rPr>
                        <w:b/>
                        <w:sz w:val="16"/>
                      </w:rPr>
                    </w:pPr>
                  </w:p>
                  <w:p w:rsidR="008121FB" w:rsidRDefault="008121FB">
                    <w:pPr>
                      <w:rPr>
                        <w:b/>
                        <w:sz w:val="16"/>
                      </w:rPr>
                    </w:pPr>
                    <w:r>
                      <w:rPr>
                        <w:rFonts w:hint="eastAsia"/>
                        <w:b/>
                        <w:sz w:val="20"/>
                      </w:rPr>
                      <w:t>G</w:t>
                    </w:r>
                  </w:p>
                  <w:p w:rsidR="008121FB" w:rsidRDefault="008121FB">
                    <w:pPr>
                      <w:rPr>
                        <w:b/>
                        <w:sz w:val="10"/>
                      </w:rPr>
                    </w:pPr>
                  </w:p>
                  <w:p w:rsidR="008121FB" w:rsidRDefault="008121FB">
                    <w:pPr>
                      <w:rPr>
                        <w:b/>
                        <w:sz w:val="16"/>
                      </w:rPr>
                    </w:pPr>
                  </w:p>
                  <w:p w:rsidR="008121FB" w:rsidRDefault="008121FB">
                    <w:pPr>
                      <w:rPr>
                        <w:b/>
                        <w:sz w:val="16"/>
                      </w:rPr>
                    </w:pPr>
                  </w:p>
                  <w:p w:rsidR="008121FB" w:rsidRDefault="008121FB">
                    <w:pPr>
                      <w:rPr>
                        <w:b/>
                        <w:sz w:val="16"/>
                      </w:rPr>
                    </w:pPr>
                    <w:r>
                      <w:rPr>
                        <w:rFonts w:hint="eastAsia"/>
                        <w:b/>
                        <w:sz w:val="20"/>
                      </w:rPr>
                      <w:t>H</w:t>
                    </w:r>
                  </w:p>
                  <w:p w:rsidR="008121FB" w:rsidRDefault="008121FB">
                    <w:pPr>
                      <w:rPr>
                        <w:b/>
                        <w:sz w:val="10"/>
                      </w:rPr>
                    </w:pPr>
                  </w:p>
                  <w:p w:rsidR="008121FB" w:rsidRDefault="008121FB">
                    <w:pPr>
                      <w:rPr>
                        <w:b/>
                        <w:sz w:val="16"/>
                      </w:rPr>
                    </w:pPr>
                  </w:p>
                  <w:p w:rsidR="008121FB" w:rsidRDefault="008121FB">
                    <w:pPr>
                      <w:rPr>
                        <w:b/>
                        <w:sz w:val="16"/>
                      </w:rPr>
                    </w:pPr>
                  </w:p>
                  <w:p w:rsidR="008121FB" w:rsidRDefault="008121FB">
                    <w:pPr>
                      <w:rPr>
                        <w:b/>
                        <w:sz w:val="16"/>
                      </w:rPr>
                    </w:pPr>
                    <w:r>
                      <w:rPr>
                        <w:rFonts w:hint="eastAsia"/>
                        <w:b/>
                        <w:sz w:val="20"/>
                      </w:rPr>
                      <w:t>I</w:t>
                    </w:r>
                  </w:p>
                  <w:p w:rsidR="008121FB" w:rsidRDefault="008121FB">
                    <w:pPr>
                      <w:rPr>
                        <w:b/>
                        <w:sz w:val="10"/>
                      </w:rPr>
                    </w:pPr>
                  </w:p>
                  <w:p w:rsidR="008121FB" w:rsidRDefault="008121FB">
                    <w:pPr>
                      <w:rPr>
                        <w:b/>
                        <w:sz w:val="16"/>
                      </w:rPr>
                    </w:pPr>
                  </w:p>
                  <w:p w:rsidR="008121FB" w:rsidRDefault="008121FB">
                    <w:pPr>
                      <w:rPr>
                        <w:b/>
                        <w:sz w:val="16"/>
                      </w:rPr>
                    </w:pPr>
                  </w:p>
                  <w:p w:rsidR="008121FB" w:rsidRDefault="008121FB">
                    <w:pPr>
                      <w:rPr>
                        <w:b/>
                        <w:sz w:val="16"/>
                      </w:rPr>
                    </w:pPr>
                    <w:r>
                      <w:rPr>
                        <w:rFonts w:hint="eastAsia"/>
                        <w:b/>
                        <w:sz w:val="20"/>
                      </w:rPr>
                      <w:t>J</w:t>
                    </w:r>
                  </w:p>
                  <w:p w:rsidR="008121FB" w:rsidRDefault="008121FB">
                    <w:pPr>
                      <w:rPr>
                        <w:b/>
                        <w:sz w:val="10"/>
                      </w:rPr>
                    </w:pPr>
                  </w:p>
                  <w:p w:rsidR="008121FB" w:rsidRDefault="008121FB">
                    <w:pPr>
                      <w:rPr>
                        <w:b/>
                        <w:sz w:val="16"/>
                      </w:rPr>
                    </w:pPr>
                  </w:p>
                  <w:p w:rsidR="008121FB" w:rsidRDefault="008121FB">
                    <w:pPr>
                      <w:rPr>
                        <w:b/>
                        <w:sz w:val="16"/>
                      </w:rPr>
                    </w:pPr>
                  </w:p>
                  <w:p w:rsidR="008121FB" w:rsidRDefault="008121FB">
                    <w:pPr>
                      <w:rPr>
                        <w:b/>
                        <w:sz w:val="16"/>
                      </w:rPr>
                    </w:pPr>
                    <w:r>
                      <w:rPr>
                        <w:rFonts w:hint="eastAsia"/>
                        <w:b/>
                        <w:sz w:val="20"/>
                      </w:rPr>
                      <w:t>K</w:t>
                    </w:r>
                  </w:p>
                  <w:p w:rsidR="008121FB" w:rsidRDefault="008121FB">
                    <w:pPr>
                      <w:rPr>
                        <w:b/>
                        <w:sz w:val="10"/>
                      </w:rPr>
                    </w:pPr>
                  </w:p>
                  <w:p w:rsidR="008121FB" w:rsidRDefault="008121FB">
                    <w:pPr>
                      <w:rPr>
                        <w:b/>
                        <w:sz w:val="16"/>
                      </w:rPr>
                    </w:pPr>
                  </w:p>
                  <w:p w:rsidR="008121FB" w:rsidRDefault="008121FB">
                    <w:pPr>
                      <w:rPr>
                        <w:b/>
                        <w:sz w:val="16"/>
                      </w:rPr>
                    </w:pPr>
                  </w:p>
                  <w:p w:rsidR="008121FB" w:rsidRDefault="008121FB">
                    <w:pPr>
                      <w:rPr>
                        <w:b/>
                        <w:sz w:val="16"/>
                      </w:rPr>
                    </w:pPr>
                    <w:r>
                      <w:rPr>
                        <w:rFonts w:hint="eastAsia"/>
                        <w:b/>
                        <w:sz w:val="20"/>
                      </w:rPr>
                      <w:t>L</w:t>
                    </w:r>
                  </w:p>
                  <w:p w:rsidR="008121FB" w:rsidRDefault="008121FB">
                    <w:pPr>
                      <w:rPr>
                        <w:b/>
                        <w:sz w:val="10"/>
                      </w:rPr>
                    </w:pPr>
                  </w:p>
                  <w:p w:rsidR="008121FB" w:rsidRDefault="008121FB">
                    <w:pPr>
                      <w:rPr>
                        <w:b/>
                        <w:sz w:val="16"/>
                      </w:rPr>
                    </w:pPr>
                  </w:p>
                  <w:p w:rsidR="008121FB" w:rsidRDefault="008121FB">
                    <w:pPr>
                      <w:rPr>
                        <w:b/>
                        <w:sz w:val="16"/>
                      </w:rPr>
                    </w:pPr>
                  </w:p>
                  <w:p w:rsidR="008121FB" w:rsidRDefault="008121FB">
                    <w:pPr>
                      <w:rPr>
                        <w:b/>
                        <w:sz w:val="16"/>
                      </w:rPr>
                    </w:pPr>
                    <w:r>
                      <w:rPr>
                        <w:rFonts w:hint="eastAsia"/>
                        <w:b/>
                        <w:sz w:val="20"/>
                      </w:rPr>
                      <w:t>M</w:t>
                    </w:r>
                  </w:p>
                  <w:p w:rsidR="008121FB" w:rsidRDefault="008121FB">
                    <w:pPr>
                      <w:rPr>
                        <w:b/>
                        <w:sz w:val="10"/>
                      </w:rPr>
                    </w:pPr>
                  </w:p>
                  <w:p w:rsidR="008121FB" w:rsidRDefault="008121FB">
                    <w:pPr>
                      <w:rPr>
                        <w:b/>
                        <w:sz w:val="16"/>
                      </w:rPr>
                    </w:pPr>
                  </w:p>
                  <w:p w:rsidR="008121FB" w:rsidRDefault="008121FB">
                    <w:pPr>
                      <w:rPr>
                        <w:b/>
                        <w:sz w:val="16"/>
                      </w:rPr>
                    </w:pPr>
                  </w:p>
                  <w:p w:rsidR="008121FB" w:rsidRDefault="008121FB">
                    <w:pPr>
                      <w:rPr>
                        <w:b/>
                        <w:sz w:val="16"/>
                      </w:rPr>
                    </w:pPr>
                    <w:r>
                      <w:rPr>
                        <w:rFonts w:hint="eastAsia"/>
                        <w:b/>
                        <w:sz w:val="20"/>
                      </w:rPr>
                      <w:t>N</w:t>
                    </w:r>
                  </w:p>
                  <w:p w:rsidR="008121FB" w:rsidRDefault="008121FB">
                    <w:pPr>
                      <w:rPr>
                        <w:b/>
                        <w:sz w:val="10"/>
                      </w:rPr>
                    </w:pPr>
                  </w:p>
                  <w:p w:rsidR="008121FB" w:rsidRDefault="008121FB">
                    <w:pPr>
                      <w:rPr>
                        <w:b/>
                        <w:sz w:val="16"/>
                      </w:rPr>
                    </w:pPr>
                  </w:p>
                  <w:p w:rsidR="008121FB" w:rsidRDefault="008121FB">
                    <w:pPr>
                      <w:rPr>
                        <w:b/>
                        <w:sz w:val="16"/>
                      </w:rPr>
                    </w:pPr>
                  </w:p>
                  <w:p w:rsidR="008121FB" w:rsidRDefault="008121FB">
                    <w:pPr>
                      <w:rPr>
                        <w:b/>
                        <w:sz w:val="16"/>
                      </w:rPr>
                    </w:pPr>
                    <w:r>
                      <w:rPr>
                        <w:rFonts w:hint="eastAsia"/>
                        <w:b/>
                        <w:sz w:val="20"/>
                      </w:rPr>
                      <w:t>O</w:t>
                    </w:r>
                  </w:p>
                  <w:p w:rsidR="008121FB" w:rsidRDefault="008121FB">
                    <w:pPr>
                      <w:rPr>
                        <w:b/>
                        <w:sz w:val="10"/>
                      </w:rPr>
                    </w:pPr>
                  </w:p>
                  <w:p w:rsidR="008121FB" w:rsidRDefault="008121FB">
                    <w:pPr>
                      <w:rPr>
                        <w:b/>
                        <w:sz w:val="16"/>
                      </w:rPr>
                    </w:pPr>
                  </w:p>
                  <w:p w:rsidR="008121FB" w:rsidRDefault="008121FB">
                    <w:pPr>
                      <w:rPr>
                        <w:b/>
                        <w:sz w:val="16"/>
                      </w:rPr>
                    </w:pPr>
                  </w:p>
                  <w:p w:rsidR="008121FB" w:rsidRDefault="008121FB">
                    <w:pPr>
                      <w:rPr>
                        <w:b/>
                        <w:sz w:val="16"/>
                      </w:rPr>
                    </w:pPr>
                    <w:r>
                      <w:rPr>
                        <w:rFonts w:hint="eastAsia"/>
                        <w:b/>
                        <w:sz w:val="20"/>
                      </w:rPr>
                      <w:t>P</w:t>
                    </w:r>
                  </w:p>
                  <w:p w:rsidR="008121FB" w:rsidRDefault="008121FB">
                    <w:pPr>
                      <w:rPr>
                        <w:b/>
                        <w:sz w:val="10"/>
                      </w:rPr>
                    </w:pPr>
                  </w:p>
                  <w:p w:rsidR="008121FB" w:rsidRDefault="008121FB">
                    <w:pPr>
                      <w:rPr>
                        <w:b/>
                        <w:sz w:val="16"/>
                      </w:rPr>
                    </w:pPr>
                  </w:p>
                  <w:p w:rsidR="008121FB" w:rsidRDefault="008121FB">
                    <w:pPr>
                      <w:rPr>
                        <w:b/>
                        <w:sz w:val="16"/>
                      </w:rPr>
                    </w:pPr>
                  </w:p>
                  <w:p w:rsidR="008121FB" w:rsidRDefault="008121FB">
                    <w:pPr>
                      <w:rPr>
                        <w:b/>
                        <w:sz w:val="16"/>
                      </w:rPr>
                    </w:pPr>
                    <w:r>
                      <w:rPr>
                        <w:rFonts w:hint="eastAsia"/>
                        <w:b/>
                        <w:sz w:val="20"/>
                      </w:rPr>
                      <w:t>Q</w:t>
                    </w:r>
                  </w:p>
                  <w:p w:rsidR="008121FB" w:rsidRDefault="008121FB">
                    <w:pPr>
                      <w:rPr>
                        <w:b/>
                        <w:sz w:val="10"/>
                      </w:rPr>
                    </w:pPr>
                  </w:p>
                  <w:p w:rsidR="008121FB" w:rsidRDefault="008121FB">
                    <w:pPr>
                      <w:rPr>
                        <w:b/>
                        <w:sz w:val="16"/>
                      </w:rPr>
                    </w:pPr>
                  </w:p>
                  <w:p w:rsidR="008121FB" w:rsidRDefault="008121FB">
                    <w:pPr>
                      <w:rPr>
                        <w:b/>
                        <w:sz w:val="16"/>
                      </w:rPr>
                    </w:pPr>
                  </w:p>
                  <w:p w:rsidR="008121FB" w:rsidRDefault="008121FB">
                    <w:pPr>
                      <w:rPr>
                        <w:b/>
                        <w:sz w:val="16"/>
                      </w:rPr>
                    </w:pPr>
                    <w:r>
                      <w:rPr>
                        <w:rFonts w:hint="eastAsia"/>
                        <w:b/>
                        <w:sz w:val="20"/>
                      </w:rPr>
                      <w:t>R</w:t>
                    </w:r>
                  </w:p>
                  <w:p w:rsidR="008121FB" w:rsidRDefault="008121FB">
                    <w:pPr>
                      <w:rPr>
                        <w:b/>
                        <w:sz w:val="10"/>
                      </w:rPr>
                    </w:pPr>
                  </w:p>
                  <w:p w:rsidR="008121FB" w:rsidRDefault="008121FB">
                    <w:pPr>
                      <w:rPr>
                        <w:b/>
                        <w:sz w:val="16"/>
                      </w:rPr>
                    </w:pPr>
                  </w:p>
                  <w:p w:rsidR="008121FB" w:rsidRDefault="008121FB">
                    <w:pPr>
                      <w:rPr>
                        <w:b/>
                        <w:sz w:val="16"/>
                      </w:rPr>
                    </w:pPr>
                  </w:p>
                  <w:p w:rsidR="008121FB" w:rsidRDefault="008121FB">
                    <w:pPr>
                      <w:rPr>
                        <w:b/>
                        <w:sz w:val="16"/>
                      </w:rPr>
                    </w:pPr>
                    <w:r>
                      <w:rPr>
                        <w:rFonts w:hint="eastAsia"/>
                        <w:b/>
                        <w:sz w:val="20"/>
                      </w:rPr>
                      <w:t>S</w:t>
                    </w:r>
                  </w:p>
                  <w:p w:rsidR="008121FB" w:rsidRDefault="008121FB">
                    <w:pPr>
                      <w:rPr>
                        <w:b/>
                        <w:sz w:val="10"/>
                      </w:rPr>
                    </w:pPr>
                  </w:p>
                  <w:p w:rsidR="008121FB" w:rsidRDefault="008121FB">
                    <w:pPr>
                      <w:rPr>
                        <w:b/>
                        <w:sz w:val="16"/>
                      </w:rPr>
                    </w:pPr>
                  </w:p>
                  <w:p w:rsidR="008121FB" w:rsidRDefault="008121FB">
                    <w:pPr>
                      <w:rPr>
                        <w:b/>
                        <w:sz w:val="16"/>
                      </w:rPr>
                    </w:pPr>
                  </w:p>
                  <w:p w:rsidR="008121FB" w:rsidRDefault="008121FB">
                    <w:pPr>
                      <w:rPr>
                        <w:b/>
                        <w:sz w:val="16"/>
                      </w:rPr>
                    </w:pPr>
                    <w:r>
                      <w:rPr>
                        <w:rFonts w:hint="eastAsia"/>
                        <w:b/>
                        <w:sz w:val="20"/>
                      </w:rPr>
                      <w:t>T</w:t>
                    </w:r>
                  </w:p>
                  <w:p w:rsidR="008121FB" w:rsidRDefault="008121FB">
                    <w:pPr>
                      <w:rPr>
                        <w:b/>
                        <w:sz w:val="10"/>
                      </w:rPr>
                    </w:pPr>
                  </w:p>
                  <w:p w:rsidR="008121FB" w:rsidRDefault="008121FB">
                    <w:pPr>
                      <w:rPr>
                        <w:b/>
                        <w:sz w:val="16"/>
                      </w:rPr>
                    </w:pPr>
                  </w:p>
                  <w:p w:rsidR="008121FB" w:rsidRDefault="008121FB">
                    <w:pPr>
                      <w:rPr>
                        <w:b/>
                        <w:sz w:val="16"/>
                      </w:rPr>
                    </w:pPr>
                  </w:p>
                  <w:p w:rsidR="008121FB" w:rsidRDefault="008121FB">
                    <w:pPr>
                      <w:rPr>
                        <w:b/>
                        <w:sz w:val="16"/>
                      </w:rPr>
                    </w:pPr>
                    <w:r>
                      <w:rPr>
                        <w:rFonts w:hint="eastAsia"/>
                        <w:b/>
                        <w:sz w:val="20"/>
                      </w:rPr>
                      <w:t>U</w:t>
                    </w:r>
                  </w:p>
                  <w:p w:rsidR="008121FB" w:rsidRDefault="008121FB">
                    <w:pPr>
                      <w:rPr>
                        <w:b/>
                        <w:sz w:val="10"/>
                      </w:rPr>
                    </w:pPr>
                  </w:p>
                  <w:p w:rsidR="008121FB" w:rsidRDefault="008121FB">
                    <w:pPr>
                      <w:rPr>
                        <w:b/>
                        <w:sz w:val="16"/>
                      </w:rPr>
                    </w:pPr>
                  </w:p>
                  <w:p w:rsidR="008121FB" w:rsidRDefault="008121FB">
                    <w:pPr>
                      <w:rPr>
                        <w:b/>
                        <w:sz w:val="16"/>
                      </w:rPr>
                    </w:pPr>
                  </w:p>
                  <w:p w:rsidR="008121FB" w:rsidRDefault="008121FB">
                    <w:pPr>
                      <w:pStyle w:val="Heading3"/>
                      <w:jc w:val="left"/>
                    </w:pPr>
                    <w:r>
                      <w:rPr>
                        <w:rFonts w:hint="eastAsia"/>
                      </w:rPr>
                      <w:t>V</w:t>
                    </w:r>
                  </w:p>
                </w:txbxContent>
              </v:textbox>
            </v:shape>
          </w:pict>
        </mc:Fallback>
      </mc:AlternateContent>
    </w:r>
    <w:r>
      <w:rPr>
        <w:noProof/>
        <w:sz w:val="28"/>
        <w:lang w:val="en-US" w:eastAsia="zh-CN"/>
      </w:rPr>
      <mc:AlternateContent>
        <mc:Choice Requires="wps">
          <w:drawing>
            <wp:anchor distT="0" distB="0" distL="114300" distR="114300" simplePos="0" relativeHeight="251660288" behindDoc="0" locked="0" layoutInCell="0" allowOverlap="1" wp14:anchorId="0994CC21" wp14:editId="2C67BE78">
              <wp:simplePos x="0" y="0"/>
              <wp:positionH relativeFrom="column">
                <wp:posOffset>-800100</wp:posOffset>
              </wp:positionH>
              <wp:positionV relativeFrom="paragraph">
                <wp:posOffset>-243205</wp:posOffset>
              </wp:positionV>
              <wp:extent cx="571500" cy="297180"/>
              <wp:effectExtent l="0" t="4445" r="0" b="3175"/>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E6237" w:rsidRDefault="008E6237">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94CC21" id="Text Box 6"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" o:allowincell="f" stroked="f">
              <v:textbox>
                <w:txbxContent>
                  <w:p w:rsidR="008121FB" w:rsidRDefault="008121FB">
                    <w:pPr>
                      <w:rPr>
                        <w:rFonts w:eastAsia="黑体"/>
                        <w:b/>
                        <w:sz w:val="18"/>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3435F"/>
    <w:multiLevelType w:val="hybridMultilevel"/>
    <w:tmpl w:val="D1B00E3C"/>
    <w:lvl w:ilvl="0" w:tplc="D17CF9A2">
      <w:start w:val="1"/>
      <w:numFmt w:val="lowerLetter"/>
      <w:lvlText w:val="(%1)"/>
      <w:lvlJc w:val="left"/>
      <w:pPr>
        <w:ind w:left="2160" w:hanging="360"/>
      </w:pPr>
      <w:rPr>
        <w:rFonts w:hint="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0720693"/>
    <w:multiLevelType w:val="hybridMultilevel"/>
    <w:tmpl w:val="B96AA25C"/>
    <w:lvl w:ilvl="0" w:tplc="D17CF9A2">
      <w:start w:val="1"/>
      <w:numFmt w:val="lowerLetter"/>
      <w:lvlText w:val="(%1)"/>
      <w:lvlJc w:val="left"/>
      <w:pPr>
        <w:ind w:left="2160" w:hanging="360"/>
      </w:pPr>
      <w:rPr>
        <w:rFonts w:hint="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43604E4"/>
    <w:multiLevelType w:val="hybridMultilevel"/>
    <w:tmpl w:val="FF5C3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EC7DC4"/>
    <w:multiLevelType w:val="hybridMultilevel"/>
    <w:tmpl w:val="91F00FE8"/>
    <w:lvl w:ilvl="0" w:tplc="5DC846A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62469AB"/>
    <w:multiLevelType w:val="singleLevel"/>
    <w:tmpl w:val="F1D04760"/>
    <w:lvl w:ilvl="0">
      <w:start w:val="1"/>
      <w:numFmt w:val="decimal"/>
      <w:pStyle w:val="para"/>
      <w:lvlText w:val="%1."/>
      <w:lvlJc w:val="left"/>
      <w:pPr>
        <w:tabs>
          <w:tab w:val="num" w:pos="360"/>
        </w:tabs>
        <w:ind w:left="0" w:firstLine="0"/>
      </w:pPr>
      <w:rPr>
        <w:rFonts w:hint="eastAsia"/>
      </w:rPr>
    </w:lvl>
  </w:abstractNum>
  <w:abstractNum w:abstractNumId="5" w15:restartNumberingAfterBreak="0">
    <w:nsid w:val="26B811D9"/>
    <w:multiLevelType w:val="hybridMultilevel"/>
    <w:tmpl w:val="328203E4"/>
    <w:lvl w:ilvl="0" w:tplc="367C945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85A30CA"/>
    <w:multiLevelType w:val="hybridMultilevel"/>
    <w:tmpl w:val="72E41BFE"/>
    <w:lvl w:ilvl="0" w:tplc="3DD6A568">
      <w:start w:val="1"/>
      <w:numFmt w:val="decimal"/>
      <w:lvlText w:val="(%1)"/>
      <w:lvlJc w:val="left"/>
      <w:pPr>
        <w:ind w:left="450" w:hanging="360"/>
      </w:pPr>
      <w:rPr>
        <w:rFonts w:hint="default"/>
      </w:rPr>
    </w:lvl>
    <w:lvl w:ilvl="1" w:tplc="3DD6A568">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AF47EE1"/>
    <w:multiLevelType w:val="hybridMultilevel"/>
    <w:tmpl w:val="6CBCD3C2"/>
    <w:lvl w:ilvl="0" w:tplc="D484819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D235CD6"/>
    <w:multiLevelType w:val="hybridMultilevel"/>
    <w:tmpl w:val="8D0EF040"/>
    <w:lvl w:ilvl="0" w:tplc="BF5239F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34555C18"/>
    <w:multiLevelType w:val="hybridMultilevel"/>
    <w:tmpl w:val="AFC8044E"/>
    <w:lvl w:ilvl="0" w:tplc="801C3D9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51A7560">
      <w:start w:val="1"/>
      <w:numFmt w:val="lowerRoman"/>
      <w:lvlText w:val="(%2)"/>
      <w:lvlJc w:val="left"/>
      <w:pPr>
        <w:ind w:left="10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7B09652">
      <w:start w:val="1"/>
      <w:numFmt w:val="lowerRoman"/>
      <w:lvlText w:val="%3"/>
      <w:lvlJc w:val="left"/>
      <w:pPr>
        <w:ind w:left="17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D10AC8C">
      <w:start w:val="1"/>
      <w:numFmt w:val="decimal"/>
      <w:lvlText w:val="%4"/>
      <w:lvlJc w:val="left"/>
      <w:pPr>
        <w:ind w:left="24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0CEF57C">
      <w:start w:val="1"/>
      <w:numFmt w:val="lowerLetter"/>
      <w:lvlText w:val="%5"/>
      <w:lvlJc w:val="left"/>
      <w:pPr>
        <w:ind w:left="31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40641C4">
      <w:start w:val="1"/>
      <w:numFmt w:val="lowerRoman"/>
      <w:lvlText w:val="%6"/>
      <w:lvlJc w:val="left"/>
      <w:pPr>
        <w:ind w:left="39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6A02638">
      <w:start w:val="1"/>
      <w:numFmt w:val="decimal"/>
      <w:lvlText w:val="%7"/>
      <w:lvlJc w:val="left"/>
      <w:pPr>
        <w:ind w:left="46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162B336">
      <w:start w:val="1"/>
      <w:numFmt w:val="lowerLetter"/>
      <w:lvlText w:val="%8"/>
      <w:lvlJc w:val="left"/>
      <w:pPr>
        <w:ind w:left="53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122F2AC">
      <w:start w:val="1"/>
      <w:numFmt w:val="lowerRoman"/>
      <w:lvlText w:val="%9"/>
      <w:lvlJc w:val="left"/>
      <w:pPr>
        <w:ind w:left="60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7DA5E45"/>
    <w:multiLevelType w:val="hybridMultilevel"/>
    <w:tmpl w:val="A0E26A2E"/>
    <w:lvl w:ilvl="0" w:tplc="4EB279BC">
      <w:start w:val="24"/>
      <w:numFmt w:val="decimal"/>
      <w:lvlText w:val="%1."/>
      <w:lvlJc w:val="left"/>
      <w:pPr>
        <w:ind w:left="14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E60662A">
      <w:start w:val="1"/>
      <w:numFmt w:val="lowerLetter"/>
      <w:lvlText w:val="%2"/>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D0EEA88">
      <w:start w:val="1"/>
      <w:numFmt w:val="lowerRoman"/>
      <w:lvlText w:val="%3"/>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1DC9672">
      <w:start w:val="1"/>
      <w:numFmt w:val="decimal"/>
      <w:lvlText w:val="%4"/>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85030A2">
      <w:start w:val="1"/>
      <w:numFmt w:val="lowerLetter"/>
      <w:lvlText w:val="%5"/>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CA2A074">
      <w:start w:val="1"/>
      <w:numFmt w:val="lowerRoman"/>
      <w:lvlText w:val="%6"/>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BDC1A96">
      <w:start w:val="1"/>
      <w:numFmt w:val="decimal"/>
      <w:lvlText w:val="%7"/>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4D25434">
      <w:start w:val="1"/>
      <w:numFmt w:val="lowerLetter"/>
      <w:lvlText w:val="%8"/>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5A8EF72">
      <w:start w:val="1"/>
      <w:numFmt w:val="lowerRoman"/>
      <w:lvlText w:val="%9"/>
      <w:lvlJc w:val="left"/>
      <w:pPr>
        <w:ind w:left="7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A2D13A9"/>
    <w:multiLevelType w:val="hybridMultilevel"/>
    <w:tmpl w:val="E3500AD0"/>
    <w:lvl w:ilvl="0" w:tplc="D17CF9A2">
      <w:start w:val="1"/>
      <w:numFmt w:val="lowerLetter"/>
      <w:lvlText w:val="(%1)"/>
      <w:lvlJc w:val="left"/>
      <w:pPr>
        <w:ind w:left="2160" w:hanging="360"/>
      </w:pPr>
      <w:rPr>
        <w:rFonts w:hint="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3B9B620C"/>
    <w:multiLevelType w:val="hybridMultilevel"/>
    <w:tmpl w:val="00BEFB8E"/>
    <w:lvl w:ilvl="0" w:tplc="B75A7E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025BE2"/>
    <w:multiLevelType w:val="hybridMultilevel"/>
    <w:tmpl w:val="6296A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D67148"/>
    <w:multiLevelType w:val="hybridMultilevel"/>
    <w:tmpl w:val="05C262DA"/>
    <w:lvl w:ilvl="0" w:tplc="8048DB7E">
      <w:start w:val="1"/>
      <w:numFmt w:val="decimal"/>
      <w:lvlText w:val="%1"/>
      <w:lvlJc w:val="left"/>
      <w:pPr>
        <w:ind w:left="3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FAA06660">
      <w:start w:val="1"/>
      <w:numFmt w:val="lowerLetter"/>
      <w:lvlText w:val="%2"/>
      <w:lvlJc w:val="left"/>
      <w:pPr>
        <w:ind w:left="12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CDEEB150">
      <w:start w:val="1"/>
      <w:numFmt w:val="decimal"/>
      <w:lvlRestart w:val="0"/>
      <w:lvlText w:val="(%3)"/>
      <w:lvlJc w:val="left"/>
      <w:pPr>
        <w:ind w:left="2484"/>
      </w:pPr>
      <w:rPr>
        <w:rFonts w:ascii="Times New Roman" w:eastAsia="Times New Roman" w:hAnsi="Times New Roman" w:cs="Times New Roman"/>
        <w:b w:val="0"/>
        <w:i w:val="0"/>
        <w:iCs/>
        <w:strike w:val="0"/>
        <w:dstrike w:val="0"/>
        <w:color w:val="000000"/>
        <w:sz w:val="24"/>
        <w:szCs w:val="24"/>
        <w:u w:val="none" w:color="000000"/>
        <w:bdr w:val="none" w:sz="0" w:space="0" w:color="auto"/>
        <w:shd w:val="clear" w:color="auto" w:fill="auto"/>
        <w:vertAlign w:val="baseline"/>
      </w:rPr>
    </w:lvl>
    <w:lvl w:ilvl="3" w:tplc="FA58CAE0">
      <w:start w:val="1"/>
      <w:numFmt w:val="decimal"/>
      <w:lvlText w:val="%4"/>
      <w:lvlJc w:val="left"/>
      <w:pPr>
        <w:ind w:left="288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8046A544">
      <w:start w:val="1"/>
      <w:numFmt w:val="lowerLetter"/>
      <w:lvlText w:val="%5"/>
      <w:lvlJc w:val="left"/>
      <w:pPr>
        <w:ind w:left="360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910E685C">
      <w:start w:val="1"/>
      <w:numFmt w:val="lowerRoman"/>
      <w:lvlText w:val="%6"/>
      <w:lvlJc w:val="left"/>
      <w:pPr>
        <w:ind w:left="432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2DFEF00A">
      <w:start w:val="1"/>
      <w:numFmt w:val="decimal"/>
      <w:lvlText w:val="%7"/>
      <w:lvlJc w:val="left"/>
      <w:pPr>
        <w:ind w:left="504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63D41872">
      <w:start w:val="1"/>
      <w:numFmt w:val="lowerLetter"/>
      <w:lvlText w:val="%8"/>
      <w:lvlJc w:val="left"/>
      <w:pPr>
        <w:ind w:left="576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4B5C65EC">
      <w:start w:val="1"/>
      <w:numFmt w:val="lowerRoman"/>
      <w:lvlText w:val="%9"/>
      <w:lvlJc w:val="left"/>
      <w:pPr>
        <w:ind w:left="648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4441465"/>
    <w:multiLevelType w:val="hybridMultilevel"/>
    <w:tmpl w:val="CDC468CA"/>
    <w:lvl w:ilvl="0" w:tplc="657E2D8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CC432D7"/>
    <w:multiLevelType w:val="hybridMultilevel"/>
    <w:tmpl w:val="A3EE78AA"/>
    <w:lvl w:ilvl="0" w:tplc="B5261F60">
      <w:start w:val="1"/>
      <w:numFmt w:val="decimal"/>
      <w:lvlText w:val="%1."/>
      <w:lvlJc w:val="left"/>
      <w:pPr>
        <w:ind w:left="630" w:hanging="360"/>
      </w:pPr>
      <w:rPr>
        <w:rFonts w:ascii="Times New Roman" w:hAnsi="Times New Roman" w:hint="default"/>
        <w:b w:val="0"/>
        <w:i w:val="0"/>
        <w:sz w:val="28"/>
      </w:rPr>
    </w:lvl>
    <w:lvl w:ilvl="1" w:tplc="3DD6A568">
      <w:start w:val="1"/>
      <w:numFmt w:val="decimal"/>
      <w:lvlText w:val="(%2)"/>
      <w:lvlJc w:val="left"/>
      <w:pPr>
        <w:ind w:left="1815" w:hanging="375"/>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B258D4"/>
    <w:multiLevelType w:val="hybridMultilevel"/>
    <w:tmpl w:val="08C2577A"/>
    <w:lvl w:ilvl="0" w:tplc="4360418E">
      <w:start w:val="35"/>
      <w:numFmt w:val="decimal"/>
      <w:lvlText w:val="%1."/>
      <w:lvlJc w:val="left"/>
      <w:pPr>
        <w:ind w:left="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BE414CE">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5B028BE">
      <w:start w:val="1"/>
      <w:numFmt w:val="lowerRoman"/>
      <w:lvlText w:val="%3"/>
      <w:lvlJc w:val="left"/>
      <w:pPr>
        <w:ind w:left="18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48E37C8">
      <w:start w:val="1"/>
      <w:numFmt w:val="decimal"/>
      <w:lvlText w:val="%4"/>
      <w:lvlJc w:val="left"/>
      <w:pPr>
        <w:ind w:left="25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BF616A0">
      <w:start w:val="1"/>
      <w:numFmt w:val="lowerLetter"/>
      <w:lvlText w:val="%5"/>
      <w:lvlJc w:val="left"/>
      <w:pPr>
        <w:ind w:left="32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E8A0ADE">
      <w:start w:val="1"/>
      <w:numFmt w:val="lowerRoman"/>
      <w:lvlText w:val="%6"/>
      <w:lvlJc w:val="left"/>
      <w:pPr>
        <w:ind w:left="39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CA415CA">
      <w:start w:val="1"/>
      <w:numFmt w:val="decimal"/>
      <w:lvlText w:val="%7"/>
      <w:lvlJc w:val="left"/>
      <w:pPr>
        <w:ind w:left="46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0786646">
      <w:start w:val="1"/>
      <w:numFmt w:val="lowerLetter"/>
      <w:lvlText w:val="%8"/>
      <w:lvlJc w:val="left"/>
      <w:pPr>
        <w:ind w:left="54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F7AA430">
      <w:start w:val="1"/>
      <w:numFmt w:val="lowerRoman"/>
      <w:lvlText w:val="%9"/>
      <w:lvlJc w:val="left"/>
      <w:pPr>
        <w:ind w:left="61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51805663"/>
    <w:multiLevelType w:val="hybridMultilevel"/>
    <w:tmpl w:val="056A2CB2"/>
    <w:lvl w:ilvl="0" w:tplc="6CE283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53A81ABA"/>
    <w:multiLevelType w:val="hybridMultilevel"/>
    <w:tmpl w:val="9D0C77D4"/>
    <w:lvl w:ilvl="0" w:tplc="FFA4D89E">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56250E59"/>
    <w:multiLevelType w:val="hybridMultilevel"/>
    <w:tmpl w:val="465CBFCA"/>
    <w:lvl w:ilvl="0" w:tplc="27B6DF96">
      <w:start w:val="2"/>
      <w:numFmt w:val="upperRoman"/>
      <w:lvlText w:val="%1)"/>
      <w:lvlJc w:val="left"/>
      <w:pPr>
        <w:ind w:left="377"/>
      </w:pPr>
      <w:rPr>
        <w:rFonts w:ascii="Times New Roman" w:eastAsia="Times New Roman" w:hAnsi="Times New Roman" w:cs="Times New Roman"/>
        <w:b w:val="0"/>
        <w:i/>
        <w:iCs/>
        <w:strike w:val="0"/>
        <w:dstrike w:val="0"/>
        <w:color w:val="000000"/>
        <w:sz w:val="24"/>
        <w:szCs w:val="24"/>
        <w:u w:val="single" w:color="000000"/>
        <w:bdr w:val="none" w:sz="0" w:space="0" w:color="auto"/>
        <w:shd w:val="clear" w:color="auto" w:fill="auto"/>
        <w:vertAlign w:val="baseline"/>
      </w:rPr>
    </w:lvl>
    <w:lvl w:ilvl="1" w:tplc="3736899A">
      <w:start w:val="48"/>
      <w:numFmt w:val="decimal"/>
      <w:lvlRestart w:val="0"/>
      <w:lvlText w:val="%2."/>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9F692BA">
      <w:start w:val="1"/>
      <w:numFmt w:val="lowerRoman"/>
      <w:lvlText w:val="%3"/>
      <w:lvlJc w:val="left"/>
      <w:pPr>
        <w:ind w:left="13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0AA992">
      <w:start w:val="1"/>
      <w:numFmt w:val="decimal"/>
      <w:lvlText w:val="%4"/>
      <w:lvlJc w:val="left"/>
      <w:pPr>
        <w:ind w:left="20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23EF56C">
      <w:start w:val="1"/>
      <w:numFmt w:val="lowerLetter"/>
      <w:lvlText w:val="%5"/>
      <w:lvlJc w:val="left"/>
      <w:pPr>
        <w:ind w:left="27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5DE1D08">
      <w:start w:val="1"/>
      <w:numFmt w:val="lowerRoman"/>
      <w:lvlText w:val="%6"/>
      <w:lvlJc w:val="left"/>
      <w:pPr>
        <w:ind w:left="34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5326110">
      <w:start w:val="1"/>
      <w:numFmt w:val="decimal"/>
      <w:lvlText w:val="%7"/>
      <w:lvlJc w:val="left"/>
      <w:pPr>
        <w:ind w:left="42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C5C16E8">
      <w:start w:val="1"/>
      <w:numFmt w:val="lowerLetter"/>
      <w:lvlText w:val="%8"/>
      <w:lvlJc w:val="left"/>
      <w:pPr>
        <w:ind w:left="49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97887EE">
      <w:start w:val="1"/>
      <w:numFmt w:val="lowerRoman"/>
      <w:lvlText w:val="%9"/>
      <w:lvlJc w:val="left"/>
      <w:pPr>
        <w:ind w:left="56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D0E3E5F"/>
    <w:multiLevelType w:val="multilevel"/>
    <w:tmpl w:val="B8D41442"/>
    <w:lvl w:ilvl="0">
      <w:start w:val="1"/>
      <w:numFmt w:val="decimal"/>
      <w:pStyle w:val="Bob1"/>
      <w:lvlText w:val="%1."/>
      <w:lvlJc w:val="left"/>
      <w:pPr>
        <w:tabs>
          <w:tab w:val="num" w:pos="360"/>
        </w:tabs>
        <w:ind w:left="0" w:firstLine="0"/>
      </w:pPr>
      <w:rPr>
        <w:rFonts w:ascii="Times New Roman" w:hAnsi="Times New Roman" w:hint="default"/>
        <w:b w:val="0"/>
        <w:i w:val="0"/>
        <w:caps w:val="0"/>
        <w:strike w:val="0"/>
        <w:dstrike w:val="0"/>
        <w:vanish w:val="0"/>
        <w:color w:val="auto"/>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0" w:firstLine="0"/>
      </w:pPr>
      <w:rPr>
        <w:rFonts w:ascii="Garamond" w:hAnsi="Garamond" w:hint="default"/>
        <w:b w:val="0"/>
        <w:i w:val="0"/>
        <w:sz w:val="28"/>
      </w:rPr>
    </w:lvl>
    <w:lvl w:ilvl="2">
      <w:start w:val="1"/>
      <w:numFmt w:val="lowerLetter"/>
      <w:lvlText w:val="(%3)"/>
      <w:lvlJc w:val="left"/>
      <w:pPr>
        <w:tabs>
          <w:tab w:val="num" w:pos="2592"/>
        </w:tabs>
        <w:ind w:left="2592" w:hanging="720"/>
      </w:pPr>
      <w:rPr>
        <w:rFonts w:ascii="Garamond" w:hAnsi="Garamond" w:hint="default"/>
        <w:b w:val="0"/>
        <w:i w:val="0"/>
        <w:sz w:val="28"/>
      </w:rPr>
    </w:lvl>
    <w:lvl w:ilvl="3">
      <w:start w:val="1"/>
      <w:numFmt w:val="lowerRoman"/>
      <w:lvlText w:val="(%4)"/>
      <w:lvlJc w:val="left"/>
      <w:pPr>
        <w:tabs>
          <w:tab w:val="num" w:pos="2880"/>
        </w:tabs>
        <w:ind w:left="2880" w:hanging="720"/>
      </w:pPr>
      <w:rPr>
        <w:rFonts w:ascii="Garamond" w:hAnsi="Garamond" w:hint="default"/>
        <w:b w:val="0"/>
        <w:i w:val="0"/>
        <w:sz w:val="28"/>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ascii="Garamond" w:hAnsi="Garamond" w:hint="default"/>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2" w15:restartNumberingAfterBreak="0">
    <w:nsid w:val="60771263"/>
    <w:multiLevelType w:val="hybridMultilevel"/>
    <w:tmpl w:val="1F8CB9C8"/>
    <w:lvl w:ilvl="0" w:tplc="D17CF9A2">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530795"/>
    <w:multiLevelType w:val="hybridMultilevel"/>
    <w:tmpl w:val="72E41BFE"/>
    <w:lvl w:ilvl="0" w:tplc="3DD6A568">
      <w:start w:val="1"/>
      <w:numFmt w:val="decimal"/>
      <w:lvlText w:val="(%1)"/>
      <w:lvlJc w:val="left"/>
      <w:pPr>
        <w:ind w:left="450" w:hanging="360"/>
      </w:pPr>
      <w:rPr>
        <w:rFonts w:hint="default"/>
      </w:rPr>
    </w:lvl>
    <w:lvl w:ilvl="1" w:tplc="3DD6A568">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652878F2"/>
    <w:multiLevelType w:val="hybridMultilevel"/>
    <w:tmpl w:val="399A5AFE"/>
    <w:lvl w:ilvl="0" w:tplc="A4A86FFC">
      <w:start w:val="1"/>
      <w:numFmt w:val="decimal"/>
      <w:pStyle w:val="T-Draft"/>
      <w:lvlText w:val="%1."/>
      <w:lvlJc w:val="left"/>
      <w:pPr>
        <w:ind w:left="450" w:hanging="360"/>
      </w:pPr>
      <w:rPr>
        <w:rFonts w:hint="default"/>
      </w:rPr>
    </w:lvl>
    <w:lvl w:ilvl="1" w:tplc="04090019" w:tentative="1">
      <w:start w:val="1"/>
      <w:numFmt w:val="ideographTraditional"/>
      <w:lvlText w:val="%2、"/>
      <w:lvlJc w:val="left"/>
      <w:pPr>
        <w:ind w:left="1050" w:hanging="480"/>
      </w:pPr>
    </w:lvl>
    <w:lvl w:ilvl="2" w:tplc="0409001B" w:tentative="1">
      <w:start w:val="1"/>
      <w:numFmt w:val="lowerRoman"/>
      <w:lvlText w:val="%3."/>
      <w:lvlJc w:val="right"/>
      <w:pPr>
        <w:ind w:left="1530" w:hanging="480"/>
      </w:pPr>
    </w:lvl>
    <w:lvl w:ilvl="3" w:tplc="0409000F" w:tentative="1">
      <w:start w:val="1"/>
      <w:numFmt w:val="decimal"/>
      <w:lvlText w:val="%4."/>
      <w:lvlJc w:val="left"/>
      <w:pPr>
        <w:ind w:left="2010" w:hanging="480"/>
      </w:pPr>
    </w:lvl>
    <w:lvl w:ilvl="4" w:tplc="04090019" w:tentative="1">
      <w:start w:val="1"/>
      <w:numFmt w:val="ideographTraditional"/>
      <w:lvlText w:val="%5、"/>
      <w:lvlJc w:val="left"/>
      <w:pPr>
        <w:ind w:left="2490" w:hanging="480"/>
      </w:pPr>
    </w:lvl>
    <w:lvl w:ilvl="5" w:tplc="0409001B" w:tentative="1">
      <w:start w:val="1"/>
      <w:numFmt w:val="lowerRoman"/>
      <w:lvlText w:val="%6."/>
      <w:lvlJc w:val="right"/>
      <w:pPr>
        <w:ind w:left="2970" w:hanging="480"/>
      </w:pPr>
    </w:lvl>
    <w:lvl w:ilvl="6" w:tplc="0409000F" w:tentative="1">
      <w:start w:val="1"/>
      <w:numFmt w:val="decimal"/>
      <w:lvlText w:val="%7."/>
      <w:lvlJc w:val="left"/>
      <w:pPr>
        <w:ind w:left="3450" w:hanging="480"/>
      </w:pPr>
    </w:lvl>
    <w:lvl w:ilvl="7" w:tplc="04090019" w:tentative="1">
      <w:start w:val="1"/>
      <w:numFmt w:val="ideographTraditional"/>
      <w:lvlText w:val="%8、"/>
      <w:lvlJc w:val="left"/>
      <w:pPr>
        <w:ind w:left="3930" w:hanging="480"/>
      </w:pPr>
    </w:lvl>
    <w:lvl w:ilvl="8" w:tplc="0409001B" w:tentative="1">
      <w:start w:val="1"/>
      <w:numFmt w:val="lowerRoman"/>
      <w:lvlText w:val="%9."/>
      <w:lvlJc w:val="right"/>
      <w:pPr>
        <w:ind w:left="4410" w:hanging="480"/>
      </w:pPr>
    </w:lvl>
  </w:abstractNum>
  <w:abstractNum w:abstractNumId="25" w15:restartNumberingAfterBreak="0">
    <w:nsid w:val="6F4E5F91"/>
    <w:multiLevelType w:val="hybridMultilevel"/>
    <w:tmpl w:val="27181300"/>
    <w:lvl w:ilvl="0" w:tplc="075A756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6"/>
  </w:num>
  <w:num w:numId="2">
    <w:abstractNumId w:val="21"/>
  </w:num>
  <w:num w:numId="3">
    <w:abstractNumId w:val="4"/>
  </w:num>
  <w:num w:numId="4">
    <w:abstractNumId w:val="24"/>
  </w:num>
  <w:num w:numId="5">
    <w:abstractNumId w:val="8"/>
  </w:num>
  <w:num w:numId="6">
    <w:abstractNumId w:val="25"/>
  </w:num>
  <w:num w:numId="7">
    <w:abstractNumId w:val="19"/>
  </w:num>
  <w:num w:numId="8">
    <w:abstractNumId w:val="18"/>
  </w:num>
  <w:num w:numId="9">
    <w:abstractNumId w:val="7"/>
  </w:num>
  <w:num w:numId="10">
    <w:abstractNumId w:val="3"/>
  </w:num>
  <w:num w:numId="11">
    <w:abstractNumId w:val="12"/>
  </w:num>
  <w:num w:numId="12">
    <w:abstractNumId w:val="6"/>
  </w:num>
  <w:num w:numId="13">
    <w:abstractNumId w:val="23"/>
  </w:num>
  <w:num w:numId="14">
    <w:abstractNumId w:val="17"/>
  </w:num>
  <w:num w:numId="15">
    <w:abstractNumId w:val="9"/>
  </w:num>
  <w:num w:numId="16">
    <w:abstractNumId w:val="13"/>
  </w:num>
  <w:num w:numId="17">
    <w:abstractNumId w:val="2"/>
  </w:num>
  <w:num w:numId="18">
    <w:abstractNumId w:val="15"/>
  </w:num>
  <w:num w:numId="19">
    <w:abstractNumId w:val="11"/>
  </w:num>
  <w:num w:numId="20">
    <w:abstractNumId w:val="22"/>
  </w:num>
  <w:num w:numId="21">
    <w:abstractNumId w:val="1"/>
  </w:num>
  <w:num w:numId="22">
    <w:abstractNumId w:val="0"/>
  </w:num>
  <w:num w:numId="23">
    <w:abstractNumId w:val="10"/>
  </w:num>
  <w:num w:numId="24">
    <w:abstractNumId w:val="14"/>
  </w:num>
  <w:num w:numId="25">
    <w:abstractNumId w:val="20"/>
  </w:num>
  <w:num w:numId="26">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DCF"/>
    <w:rsid w:val="00001516"/>
    <w:rsid w:val="000017A3"/>
    <w:rsid w:val="000018C8"/>
    <w:rsid w:val="000035DB"/>
    <w:rsid w:val="00003C12"/>
    <w:rsid w:val="000048E7"/>
    <w:rsid w:val="00004A13"/>
    <w:rsid w:val="00004CCF"/>
    <w:rsid w:val="0000732A"/>
    <w:rsid w:val="000078D8"/>
    <w:rsid w:val="00014B3F"/>
    <w:rsid w:val="00016DF7"/>
    <w:rsid w:val="000172BD"/>
    <w:rsid w:val="00017BBF"/>
    <w:rsid w:val="0002479B"/>
    <w:rsid w:val="0002524E"/>
    <w:rsid w:val="000273CF"/>
    <w:rsid w:val="00031E7D"/>
    <w:rsid w:val="00033D71"/>
    <w:rsid w:val="00035C9E"/>
    <w:rsid w:val="00036067"/>
    <w:rsid w:val="00040291"/>
    <w:rsid w:val="000422AC"/>
    <w:rsid w:val="00046437"/>
    <w:rsid w:val="00047090"/>
    <w:rsid w:val="00050A92"/>
    <w:rsid w:val="00050BFF"/>
    <w:rsid w:val="00051382"/>
    <w:rsid w:val="00052E23"/>
    <w:rsid w:val="00053E26"/>
    <w:rsid w:val="00055F9C"/>
    <w:rsid w:val="00056848"/>
    <w:rsid w:val="000600F2"/>
    <w:rsid w:val="00061710"/>
    <w:rsid w:val="0006197E"/>
    <w:rsid w:val="00061F33"/>
    <w:rsid w:val="000629ED"/>
    <w:rsid w:val="00063B7F"/>
    <w:rsid w:val="00065986"/>
    <w:rsid w:val="00066074"/>
    <w:rsid w:val="00066208"/>
    <w:rsid w:val="0006785D"/>
    <w:rsid w:val="00067F66"/>
    <w:rsid w:val="00070353"/>
    <w:rsid w:val="0007470C"/>
    <w:rsid w:val="000748B4"/>
    <w:rsid w:val="00074D59"/>
    <w:rsid w:val="00075367"/>
    <w:rsid w:val="000764BB"/>
    <w:rsid w:val="0007684C"/>
    <w:rsid w:val="00076F86"/>
    <w:rsid w:val="00076FDE"/>
    <w:rsid w:val="000776CB"/>
    <w:rsid w:val="00077D0C"/>
    <w:rsid w:val="00081A74"/>
    <w:rsid w:val="00082D40"/>
    <w:rsid w:val="000831F5"/>
    <w:rsid w:val="00084060"/>
    <w:rsid w:val="0008494B"/>
    <w:rsid w:val="00085927"/>
    <w:rsid w:val="00086B0C"/>
    <w:rsid w:val="00091149"/>
    <w:rsid w:val="0009140B"/>
    <w:rsid w:val="00091CAD"/>
    <w:rsid w:val="00092922"/>
    <w:rsid w:val="00093758"/>
    <w:rsid w:val="00094227"/>
    <w:rsid w:val="000943A1"/>
    <w:rsid w:val="00094541"/>
    <w:rsid w:val="000946CF"/>
    <w:rsid w:val="00094DC3"/>
    <w:rsid w:val="000959B8"/>
    <w:rsid w:val="00096616"/>
    <w:rsid w:val="000A07BD"/>
    <w:rsid w:val="000A1DA9"/>
    <w:rsid w:val="000A48F3"/>
    <w:rsid w:val="000A7FA3"/>
    <w:rsid w:val="000B02A6"/>
    <w:rsid w:val="000B0613"/>
    <w:rsid w:val="000B1F07"/>
    <w:rsid w:val="000B28A0"/>
    <w:rsid w:val="000B30B8"/>
    <w:rsid w:val="000B4661"/>
    <w:rsid w:val="000B56E2"/>
    <w:rsid w:val="000B7DC5"/>
    <w:rsid w:val="000C1A58"/>
    <w:rsid w:val="000C5DCF"/>
    <w:rsid w:val="000C7167"/>
    <w:rsid w:val="000D2117"/>
    <w:rsid w:val="000D5265"/>
    <w:rsid w:val="000D5DA9"/>
    <w:rsid w:val="000D7829"/>
    <w:rsid w:val="000E0B3E"/>
    <w:rsid w:val="000E2127"/>
    <w:rsid w:val="000E2BF9"/>
    <w:rsid w:val="000E4D96"/>
    <w:rsid w:val="000E58F6"/>
    <w:rsid w:val="000E5A37"/>
    <w:rsid w:val="000E6969"/>
    <w:rsid w:val="000F0D04"/>
    <w:rsid w:val="000F30D3"/>
    <w:rsid w:val="000F47BA"/>
    <w:rsid w:val="000F4F65"/>
    <w:rsid w:val="000F5E27"/>
    <w:rsid w:val="000F6F78"/>
    <w:rsid w:val="001044A1"/>
    <w:rsid w:val="00105A28"/>
    <w:rsid w:val="00106CB8"/>
    <w:rsid w:val="001071F1"/>
    <w:rsid w:val="001103EC"/>
    <w:rsid w:val="00110660"/>
    <w:rsid w:val="001115A6"/>
    <w:rsid w:val="00111A4B"/>
    <w:rsid w:val="00112DA1"/>
    <w:rsid w:val="00112EDE"/>
    <w:rsid w:val="0011336B"/>
    <w:rsid w:val="001133AB"/>
    <w:rsid w:val="00114C61"/>
    <w:rsid w:val="00115768"/>
    <w:rsid w:val="00116159"/>
    <w:rsid w:val="001166E5"/>
    <w:rsid w:val="00120422"/>
    <w:rsid w:val="00120AE8"/>
    <w:rsid w:val="001219F2"/>
    <w:rsid w:val="001225D1"/>
    <w:rsid w:val="001233B4"/>
    <w:rsid w:val="0012382C"/>
    <w:rsid w:val="00124CA8"/>
    <w:rsid w:val="0012725E"/>
    <w:rsid w:val="001328F9"/>
    <w:rsid w:val="0013453B"/>
    <w:rsid w:val="00134E4F"/>
    <w:rsid w:val="001359DC"/>
    <w:rsid w:val="00136331"/>
    <w:rsid w:val="00136D06"/>
    <w:rsid w:val="00137AD4"/>
    <w:rsid w:val="00137EBF"/>
    <w:rsid w:val="001410BE"/>
    <w:rsid w:val="00141AD3"/>
    <w:rsid w:val="00141E3B"/>
    <w:rsid w:val="00142CEF"/>
    <w:rsid w:val="00143222"/>
    <w:rsid w:val="0014696A"/>
    <w:rsid w:val="00146D60"/>
    <w:rsid w:val="00146FAC"/>
    <w:rsid w:val="00147312"/>
    <w:rsid w:val="00150644"/>
    <w:rsid w:val="00152F7E"/>
    <w:rsid w:val="001535B2"/>
    <w:rsid w:val="0015361F"/>
    <w:rsid w:val="001542B6"/>
    <w:rsid w:val="001546DC"/>
    <w:rsid w:val="00156BB6"/>
    <w:rsid w:val="001570D6"/>
    <w:rsid w:val="00162848"/>
    <w:rsid w:val="00163D1C"/>
    <w:rsid w:val="0016498E"/>
    <w:rsid w:val="0016788D"/>
    <w:rsid w:val="00167FA5"/>
    <w:rsid w:val="001741B1"/>
    <w:rsid w:val="0017441B"/>
    <w:rsid w:val="001744D0"/>
    <w:rsid w:val="0017776A"/>
    <w:rsid w:val="001778CD"/>
    <w:rsid w:val="00177F6B"/>
    <w:rsid w:val="00180417"/>
    <w:rsid w:val="0018055F"/>
    <w:rsid w:val="00182B38"/>
    <w:rsid w:val="0018403A"/>
    <w:rsid w:val="00184B02"/>
    <w:rsid w:val="00187CDF"/>
    <w:rsid w:val="00192623"/>
    <w:rsid w:val="00193CAB"/>
    <w:rsid w:val="00194982"/>
    <w:rsid w:val="00196940"/>
    <w:rsid w:val="00197D8B"/>
    <w:rsid w:val="001A0E94"/>
    <w:rsid w:val="001A1100"/>
    <w:rsid w:val="001A2AAA"/>
    <w:rsid w:val="001A31AB"/>
    <w:rsid w:val="001A3B25"/>
    <w:rsid w:val="001A3B7C"/>
    <w:rsid w:val="001A42C1"/>
    <w:rsid w:val="001A5240"/>
    <w:rsid w:val="001A6A94"/>
    <w:rsid w:val="001A6FEB"/>
    <w:rsid w:val="001B011E"/>
    <w:rsid w:val="001B4314"/>
    <w:rsid w:val="001B4491"/>
    <w:rsid w:val="001B5869"/>
    <w:rsid w:val="001B7EC7"/>
    <w:rsid w:val="001C0113"/>
    <w:rsid w:val="001C0CAE"/>
    <w:rsid w:val="001C255F"/>
    <w:rsid w:val="001C40A7"/>
    <w:rsid w:val="001C481E"/>
    <w:rsid w:val="001C54F9"/>
    <w:rsid w:val="001C5BA1"/>
    <w:rsid w:val="001C79AE"/>
    <w:rsid w:val="001D0987"/>
    <w:rsid w:val="001D1DE3"/>
    <w:rsid w:val="001D1E7E"/>
    <w:rsid w:val="001D278F"/>
    <w:rsid w:val="001D3B1B"/>
    <w:rsid w:val="001D42FB"/>
    <w:rsid w:val="001D48BB"/>
    <w:rsid w:val="001D4A12"/>
    <w:rsid w:val="001D4B5D"/>
    <w:rsid w:val="001D7C28"/>
    <w:rsid w:val="001E022A"/>
    <w:rsid w:val="001E2E00"/>
    <w:rsid w:val="001E39D6"/>
    <w:rsid w:val="001E4562"/>
    <w:rsid w:val="001E5204"/>
    <w:rsid w:val="001E52D0"/>
    <w:rsid w:val="001E5C01"/>
    <w:rsid w:val="001E5EB9"/>
    <w:rsid w:val="001E6690"/>
    <w:rsid w:val="001E72D7"/>
    <w:rsid w:val="001E79AC"/>
    <w:rsid w:val="001E7BA9"/>
    <w:rsid w:val="001F34CF"/>
    <w:rsid w:val="001F3B0A"/>
    <w:rsid w:val="001F48DC"/>
    <w:rsid w:val="001F4ECE"/>
    <w:rsid w:val="001F57AD"/>
    <w:rsid w:val="00200478"/>
    <w:rsid w:val="002006E5"/>
    <w:rsid w:val="002016FD"/>
    <w:rsid w:val="00201A3B"/>
    <w:rsid w:val="002049D9"/>
    <w:rsid w:val="00207877"/>
    <w:rsid w:val="00207B82"/>
    <w:rsid w:val="00207FD2"/>
    <w:rsid w:val="00212B04"/>
    <w:rsid w:val="002139AA"/>
    <w:rsid w:val="00213F77"/>
    <w:rsid w:val="002145D6"/>
    <w:rsid w:val="00216AA6"/>
    <w:rsid w:val="00223D71"/>
    <w:rsid w:val="00224DA0"/>
    <w:rsid w:val="00224F35"/>
    <w:rsid w:val="0022510E"/>
    <w:rsid w:val="00227818"/>
    <w:rsid w:val="00227FA7"/>
    <w:rsid w:val="00232A16"/>
    <w:rsid w:val="002354C2"/>
    <w:rsid w:val="0023788A"/>
    <w:rsid w:val="002407C3"/>
    <w:rsid w:val="002419A1"/>
    <w:rsid w:val="00242BE5"/>
    <w:rsid w:val="00243DCC"/>
    <w:rsid w:val="002441DA"/>
    <w:rsid w:val="00244A97"/>
    <w:rsid w:val="00245244"/>
    <w:rsid w:val="00246689"/>
    <w:rsid w:val="00246B8D"/>
    <w:rsid w:val="002478BF"/>
    <w:rsid w:val="00250593"/>
    <w:rsid w:val="00251D00"/>
    <w:rsid w:val="00253992"/>
    <w:rsid w:val="00253ED6"/>
    <w:rsid w:val="00255194"/>
    <w:rsid w:val="00255562"/>
    <w:rsid w:val="00261B45"/>
    <w:rsid w:val="00262402"/>
    <w:rsid w:val="0026325B"/>
    <w:rsid w:val="00263F69"/>
    <w:rsid w:val="00266436"/>
    <w:rsid w:val="00266F96"/>
    <w:rsid w:val="00267F73"/>
    <w:rsid w:val="00271D16"/>
    <w:rsid w:val="002721E8"/>
    <w:rsid w:val="00275709"/>
    <w:rsid w:val="002774D1"/>
    <w:rsid w:val="00283B1F"/>
    <w:rsid w:val="0028486A"/>
    <w:rsid w:val="00285666"/>
    <w:rsid w:val="00285B97"/>
    <w:rsid w:val="00286EE5"/>
    <w:rsid w:val="00287239"/>
    <w:rsid w:val="00287F9D"/>
    <w:rsid w:val="00290C18"/>
    <w:rsid w:val="00291B46"/>
    <w:rsid w:val="0029341F"/>
    <w:rsid w:val="002937F1"/>
    <w:rsid w:val="00294282"/>
    <w:rsid w:val="00294805"/>
    <w:rsid w:val="00294E01"/>
    <w:rsid w:val="0029712F"/>
    <w:rsid w:val="002A01DF"/>
    <w:rsid w:val="002A088A"/>
    <w:rsid w:val="002A0C16"/>
    <w:rsid w:val="002A0FCD"/>
    <w:rsid w:val="002A105C"/>
    <w:rsid w:val="002A1714"/>
    <w:rsid w:val="002A186F"/>
    <w:rsid w:val="002A7ED2"/>
    <w:rsid w:val="002B06BB"/>
    <w:rsid w:val="002B2A6E"/>
    <w:rsid w:val="002B2B3D"/>
    <w:rsid w:val="002B3313"/>
    <w:rsid w:val="002B3497"/>
    <w:rsid w:val="002B3A47"/>
    <w:rsid w:val="002B6B1E"/>
    <w:rsid w:val="002B6CB1"/>
    <w:rsid w:val="002B7DA1"/>
    <w:rsid w:val="002C097F"/>
    <w:rsid w:val="002C1927"/>
    <w:rsid w:val="002C1FCF"/>
    <w:rsid w:val="002C3464"/>
    <w:rsid w:val="002C3C80"/>
    <w:rsid w:val="002C3DDB"/>
    <w:rsid w:val="002C45F4"/>
    <w:rsid w:val="002C5729"/>
    <w:rsid w:val="002C7210"/>
    <w:rsid w:val="002D05AE"/>
    <w:rsid w:val="002D08F8"/>
    <w:rsid w:val="002D36D0"/>
    <w:rsid w:val="002D5371"/>
    <w:rsid w:val="002D5E37"/>
    <w:rsid w:val="002D629D"/>
    <w:rsid w:val="002D63E8"/>
    <w:rsid w:val="002D6D1C"/>
    <w:rsid w:val="002E0453"/>
    <w:rsid w:val="002E0BE9"/>
    <w:rsid w:val="002E10F2"/>
    <w:rsid w:val="002E1533"/>
    <w:rsid w:val="002E63A0"/>
    <w:rsid w:val="002E6AD2"/>
    <w:rsid w:val="002F0EC7"/>
    <w:rsid w:val="002F148E"/>
    <w:rsid w:val="002F2F5A"/>
    <w:rsid w:val="002F42EC"/>
    <w:rsid w:val="002F62E5"/>
    <w:rsid w:val="002F6440"/>
    <w:rsid w:val="0030147E"/>
    <w:rsid w:val="00301D17"/>
    <w:rsid w:val="003023EC"/>
    <w:rsid w:val="00302764"/>
    <w:rsid w:val="0030424E"/>
    <w:rsid w:val="0030434E"/>
    <w:rsid w:val="0030755C"/>
    <w:rsid w:val="00310898"/>
    <w:rsid w:val="00311232"/>
    <w:rsid w:val="003164FD"/>
    <w:rsid w:val="00316C40"/>
    <w:rsid w:val="00317903"/>
    <w:rsid w:val="00320B4B"/>
    <w:rsid w:val="003237D5"/>
    <w:rsid w:val="00323DD7"/>
    <w:rsid w:val="003252A3"/>
    <w:rsid w:val="00326E12"/>
    <w:rsid w:val="00330699"/>
    <w:rsid w:val="00330748"/>
    <w:rsid w:val="00330B0C"/>
    <w:rsid w:val="00330FBB"/>
    <w:rsid w:val="00331814"/>
    <w:rsid w:val="003328D3"/>
    <w:rsid w:val="00332E8D"/>
    <w:rsid w:val="00332EC2"/>
    <w:rsid w:val="003411D6"/>
    <w:rsid w:val="003419B7"/>
    <w:rsid w:val="003422D1"/>
    <w:rsid w:val="00342421"/>
    <w:rsid w:val="00342782"/>
    <w:rsid w:val="003430EB"/>
    <w:rsid w:val="003445F5"/>
    <w:rsid w:val="003445FA"/>
    <w:rsid w:val="00344A06"/>
    <w:rsid w:val="003458FA"/>
    <w:rsid w:val="00345E7F"/>
    <w:rsid w:val="00347FDD"/>
    <w:rsid w:val="0035131F"/>
    <w:rsid w:val="003514DE"/>
    <w:rsid w:val="0035167C"/>
    <w:rsid w:val="003537D6"/>
    <w:rsid w:val="00353CB7"/>
    <w:rsid w:val="003545A8"/>
    <w:rsid w:val="00354DC7"/>
    <w:rsid w:val="0035532F"/>
    <w:rsid w:val="003565FC"/>
    <w:rsid w:val="003608B3"/>
    <w:rsid w:val="00362226"/>
    <w:rsid w:val="0036240B"/>
    <w:rsid w:val="003637CD"/>
    <w:rsid w:val="00365127"/>
    <w:rsid w:val="00366398"/>
    <w:rsid w:val="00370B0E"/>
    <w:rsid w:val="00373674"/>
    <w:rsid w:val="00373741"/>
    <w:rsid w:val="003745EC"/>
    <w:rsid w:val="00376E5F"/>
    <w:rsid w:val="003776AF"/>
    <w:rsid w:val="00377B19"/>
    <w:rsid w:val="00377BD3"/>
    <w:rsid w:val="00380601"/>
    <w:rsid w:val="0038314E"/>
    <w:rsid w:val="00386101"/>
    <w:rsid w:val="00387360"/>
    <w:rsid w:val="00390604"/>
    <w:rsid w:val="003922C5"/>
    <w:rsid w:val="0039246E"/>
    <w:rsid w:val="00394D24"/>
    <w:rsid w:val="00394F32"/>
    <w:rsid w:val="00395E1F"/>
    <w:rsid w:val="00397FC0"/>
    <w:rsid w:val="003A0306"/>
    <w:rsid w:val="003A0590"/>
    <w:rsid w:val="003A09E8"/>
    <w:rsid w:val="003A1137"/>
    <w:rsid w:val="003A2BD2"/>
    <w:rsid w:val="003A37C6"/>
    <w:rsid w:val="003A4686"/>
    <w:rsid w:val="003A5C56"/>
    <w:rsid w:val="003A6429"/>
    <w:rsid w:val="003A6A78"/>
    <w:rsid w:val="003A6AB5"/>
    <w:rsid w:val="003B0D07"/>
    <w:rsid w:val="003B14FA"/>
    <w:rsid w:val="003B1A17"/>
    <w:rsid w:val="003B2659"/>
    <w:rsid w:val="003B4AFE"/>
    <w:rsid w:val="003B5F00"/>
    <w:rsid w:val="003B63B3"/>
    <w:rsid w:val="003C0D33"/>
    <w:rsid w:val="003C1027"/>
    <w:rsid w:val="003C19A2"/>
    <w:rsid w:val="003C2243"/>
    <w:rsid w:val="003C33E4"/>
    <w:rsid w:val="003C6339"/>
    <w:rsid w:val="003C73F9"/>
    <w:rsid w:val="003C7929"/>
    <w:rsid w:val="003D07B3"/>
    <w:rsid w:val="003D0C6E"/>
    <w:rsid w:val="003D23D6"/>
    <w:rsid w:val="003D35B3"/>
    <w:rsid w:val="003D3621"/>
    <w:rsid w:val="003D4FED"/>
    <w:rsid w:val="003D6C5D"/>
    <w:rsid w:val="003E3B99"/>
    <w:rsid w:val="003E4E6E"/>
    <w:rsid w:val="003E52E0"/>
    <w:rsid w:val="003E7614"/>
    <w:rsid w:val="003E7CDF"/>
    <w:rsid w:val="003F2EA5"/>
    <w:rsid w:val="003F65B2"/>
    <w:rsid w:val="003F7ACB"/>
    <w:rsid w:val="00401C72"/>
    <w:rsid w:val="0040327B"/>
    <w:rsid w:val="00403365"/>
    <w:rsid w:val="0040350A"/>
    <w:rsid w:val="0040452D"/>
    <w:rsid w:val="0040596F"/>
    <w:rsid w:val="0040773B"/>
    <w:rsid w:val="00407DDE"/>
    <w:rsid w:val="004106BF"/>
    <w:rsid w:val="004115FC"/>
    <w:rsid w:val="00412918"/>
    <w:rsid w:val="00414EE9"/>
    <w:rsid w:val="0041598F"/>
    <w:rsid w:val="0041740E"/>
    <w:rsid w:val="00417752"/>
    <w:rsid w:val="00417ECB"/>
    <w:rsid w:val="00420D29"/>
    <w:rsid w:val="00421DB0"/>
    <w:rsid w:val="00422F09"/>
    <w:rsid w:val="004239B9"/>
    <w:rsid w:val="00425C49"/>
    <w:rsid w:val="00426003"/>
    <w:rsid w:val="004272BF"/>
    <w:rsid w:val="004303B9"/>
    <w:rsid w:val="004312CB"/>
    <w:rsid w:val="00431712"/>
    <w:rsid w:val="00432A86"/>
    <w:rsid w:val="004331FC"/>
    <w:rsid w:val="00435CF0"/>
    <w:rsid w:val="00436D16"/>
    <w:rsid w:val="004417E1"/>
    <w:rsid w:val="00441B83"/>
    <w:rsid w:val="0044210F"/>
    <w:rsid w:val="004424DA"/>
    <w:rsid w:val="004444AD"/>
    <w:rsid w:val="00445C62"/>
    <w:rsid w:val="00447225"/>
    <w:rsid w:val="00450035"/>
    <w:rsid w:val="00450C59"/>
    <w:rsid w:val="00450EF0"/>
    <w:rsid w:val="004520B5"/>
    <w:rsid w:val="00452A89"/>
    <w:rsid w:val="00455017"/>
    <w:rsid w:val="0045668C"/>
    <w:rsid w:val="004578F0"/>
    <w:rsid w:val="0045796B"/>
    <w:rsid w:val="00457CBD"/>
    <w:rsid w:val="00461317"/>
    <w:rsid w:val="0046169D"/>
    <w:rsid w:val="0046182D"/>
    <w:rsid w:val="00461BE2"/>
    <w:rsid w:val="004620F5"/>
    <w:rsid w:val="004629E3"/>
    <w:rsid w:val="0046333F"/>
    <w:rsid w:val="004639F1"/>
    <w:rsid w:val="00464EA8"/>
    <w:rsid w:val="00466397"/>
    <w:rsid w:val="00467F0D"/>
    <w:rsid w:val="00470016"/>
    <w:rsid w:val="004707FB"/>
    <w:rsid w:val="00470851"/>
    <w:rsid w:val="00471595"/>
    <w:rsid w:val="0047640D"/>
    <w:rsid w:val="0047652C"/>
    <w:rsid w:val="004766EA"/>
    <w:rsid w:val="00481359"/>
    <w:rsid w:val="00481CCA"/>
    <w:rsid w:val="00483FAF"/>
    <w:rsid w:val="00486DAC"/>
    <w:rsid w:val="00487006"/>
    <w:rsid w:val="004872F6"/>
    <w:rsid w:val="00487FF6"/>
    <w:rsid w:val="0049169A"/>
    <w:rsid w:val="0049209D"/>
    <w:rsid w:val="00493CCE"/>
    <w:rsid w:val="00493F40"/>
    <w:rsid w:val="00494889"/>
    <w:rsid w:val="00494EC7"/>
    <w:rsid w:val="004953D3"/>
    <w:rsid w:val="0049705C"/>
    <w:rsid w:val="0049768A"/>
    <w:rsid w:val="004A081C"/>
    <w:rsid w:val="004A255D"/>
    <w:rsid w:val="004A2763"/>
    <w:rsid w:val="004A296E"/>
    <w:rsid w:val="004A2BA8"/>
    <w:rsid w:val="004A32EA"/>
    <w:rsid w:val="004A3764"/>
    <w:rsid w:val="004A4ED0"/>
    <w:rsid w:val="004A7AA6"/>
    <w:rsid w:val="004B12F7"/>
    <w:rsid w:val="004B138C"/>
    <w:rsid w:val="004B296F"/>
    <w:rsid w:val="004B2AF9"/>
    <w:rsid w:val="004B4712"/>
    <w:rsid w:val="004B77BB"/>
    <w:rsid w:val="004C1612"/>
    <w:rsid w:val="004C2858"/>
    <w:rsid w:val="004C3423"/>
    <w:rsid w:val="004C3BE1"/>
    <w:rsid w:val="004C4162"/>
    <w:rsid w:val="004C492A"/>
    <w:rsid w:val="004C4C71"/>
    <w:rsid w:val="004C503A"/>
    <w:rsid w:val="004C565D"/>
    <w:rsid w:val="004C5906"/>
    <w:rsid w:val="004C6012"/>
    <w:rsid w:val="004C6333"/>
    <w:rsid w:val="004C6D2B"/>
    <w:rsid w:val="004D2CCD"/>
    <w:rsid w:val="004D2EB4"/>
    <w:rsid w:val="004D348C"/>
    <w:rsid w:val="004D5400"/>
    <w:rsid w:val="004D5A82"/>
    <w:rsid w:val="004D6EAB"/>
    <w:rsid w:val="004D7B62"/>
    <w:rsid w:val="004E047F"/>
    <w:rsid w:val="004E0972"/>
    <w:rsid w:val="004E1678"/>
    <w:rsid w:val="004E2D09"/>
    <w:rsid w:val="004E30DF"/>
    <w:rsid w:val="004E41B1"/>
    <w:rsid w:val="004E51A5"/>
    <w:rsid w:val="004E6F1D"/>
    <w:rsid w:val="004F0057"/>
    <w:rsid w:val="004F17F4"/>
    <w:rsid w:val="004F33B0"/>
    <w:rsid w:val="004F5DCA"/>
    <w:rsid w:val="004F5E0D"/>
    <w:rsid w:val="004F72B9"/>
    <w:rsid w:val="004F7F9D"/>
    <w:rsid w:val="005001B3"/>
    <w:rsid w:val="00500D81"/>
    <w:rsid w:val="0050196E"/>
    <w:rsid w:val="00501AB7"/>
    <w:rsid w:val="00502062"/>
    <w:rsid w:val="00504634"/>
    <w:rsid w:val="00510470"/>
    <w:rsid w:val="0051199B"/>
    <w:rsid w:val="00512266"/>
    <w:rsid w:val="00512EFF"/>
    <w:rsid w:val="005141FD"/>
    <w:rsid w:val="00514B1B"/>
    <w:rsid w:val="00517B58"/>
    <w:rsid w:val="005218DD"/>
    <w:rsid w:val="005224EE"/>
    <w:rsid w:val="0052257D"/>
    <w:rsid w:val="00524090"/>
    <w:rsid w:val="00524E54"/>
    <w:rsid w:val="00526A9A"/>
    <w:rsid w:val="00530C9B"/>
    <w:rsid w:val="00531038"/>
    <w:rsid w:val="0053182F"/>
    <w:rsid w:val="005320AC"/>
    <w:rsid w:val="00532540"/>
    <w:rsid w:val="00533429"/>
    <w:rsid w:val="00534A83"/>
    <w:rsid w:val="00536198"/>
    <w:rsid w:val="005363AA"/>
    <w:rsid w:val="0053647D"/>
    <w:rsid w:val="00536D80"/>
    <w:rsid w:val="0054058C"/>
    <w:rsid w:val="00543197"/>
    <w:rsid w:val="00545820"/>
    <w:rsid w:val="0054627F"/>
    <w:rsid w:val="00550D95"/>
    <w:rsid w:val="005517EC"/>
    <w:rsid w:val="00556E2C"/>
    <w:rsid w:val="00563C5F"/>
    <w:rsid w:val="00564F44"/>
    <w:rsid w:val="00566AD9"/>
    <w:rsid w:val="00567FF5"/>
    <w:rsid w:val="00570945"/>
    <w:rsid w:val="00571358"/>
    <w:rsid w:val="00572398"/>
    <w:rsid w:val="00572481"/>
    <w:rsid w:val="0057568A"/>
    <w:rsid w:val="00575956"/>
    <w:rsid w:val="005763FC"/>
    <w:rsid w:val="0057676F"/>
    <w:rsid w:val="0058032C"/>
    <w:rsid w:val="00580933"/>
    <w:rsid w:val="005809BC"/>
    <w:rsid w:val="0058104A"/>
    <w:rsid w:val="005814D0"/>
    <w:rsid w:val="00585A11"/>
    <w:rsid w:val="00586DB8"/>
    <w:rsid w:val="00587303"/>
    <w:rsid w:val="005932B9"/>
    <w:rsid w:val="00595E12"/>
    <w:rsid w:val="00595EFA"/>
    <w:rsid w:val="005964BA"/>
    <w:rsid w:val="00596F0C"/>
    <w:rsid w:val="0059750D"/>
    <w:rsid w:val="005979F7"/>
    <w:rsid w:val="005A0721"/>
    <w:rsid w:val="005A2057"/>
    <w:rsid w:val="005A3129"/>
    <w:rsid w:val="005A686F"/>
    <w:rsid w:val="005A7212"/>
    <w:rsid w:val="005A7C75"/>
    <w:rsid w:val="005B0B77"/>
    <w:rsid w:val="005B25C2"/>
    <w:rsid w:val="005B40E2"/>
    <w:rsid w:val="005B53D6"/>
    <w:rsid w:val="005B598D"/>
    <w:rsid w:val="005B6C36"/>
    <w:rsid w:val="005B7115"/>
    <w:rsid w:val="005B7648"/>
    <w:rsid w:val="005B7CC1"/>
    <w:rsid w:val="005C2B82"/>
    <w:rsid w:val="005C3130"/>
    <w:rsid w:val="005C352F"/>
    <w:rsid w:val="005C4630"/>
    <w:rsid w:val="005C5C5E"/>
    <w:rsid w:val="005D04FE"/>
    <w:rsid w:val="005D0C1B"/>
    <w:rsid w:val="005D1F20"/>
    <w:rsid w:val="005D32B3"/>
    <w:rsid w:val="005D39A4"/>
    <w:rsid w:val="005E0587"/>
    <w:rsid w:val="005E12F3"/>
    <w:rsid w:val="005E130A"/>
    <w:rsid w:val="005E144E"/>
    <w:rsid w:val="005E245C"/>
    <w:rsid w:val="005E3A32"/>
    <w:rsid w:val="005E61E3"/>
    <w:rsid w:val="005E6520"/>
    <w:rsid w:val="005E67AE"/>
    <w:rsid w:val="005E7B91"/>
    <w:rsid w:val="005F07A9"/>
    <w:rsid w:val="005F123A"/>
    <w:rsid w:val="005F15EE"/>
    <w:rsid w:val="005F1635"/>
    <w:rsid w:val="005F1D7E"/>
    <w:rsid w:val="005F37CB"/>
    <w:rsid w:val="005F3C19"/>
    <w:rsid w:val="005F50AD"/>
    <w:rsid w:val="005F6F6A"/>
    <w:rsid w:val="006007B1"/>
    <w:rsid w:val="006017A1"/>
    <w:rsid w:val="006026DB"/>
    <w:rsid w:val="00603D68"/>
    <w:rsid w:val="006040A0"/>
    <w:rsid w:val="00604AF5"/>
    <w:rsid w:val="00604CFB"/>
    <w:rsid w:val="00605232"/>
    <w:rsid w:val="0060561E"/>
    <w:rsid w:val="00605631"/>
    <w:rsid w:val="00605F15"/>
    <w:rsid w:val="00606CB9"/>
    <w:rsid w:val="0061050B"/>
    <w:rsid w:val="00612FD9"/>
    <w:rsid w:val="00614C4F"/>
    <w:rsid w:val="0061580B"/>
    <w:rsid w:val="00616284"/>
    <w:rsid w:val="00616C4D"/>
    <w:rsid w:val="00617986"/>
    <w:rsid w:val="0062138B"/>
    <w:rsid w:val="006244B5"/>
    <w:rsid w:val="006246A2"/>
    <w:rsid w:val="00627F29"/>
    <w:rsid w:val="006314CC"/>
    <w:rsid w:val="0063196F"/>
    <w:rsid w:val="00632509"/>
    <w:rsid w:val="0063408A"/>
    <w:rsid w:val="006344B9"/>
    <w:rsid w:val="00636A5F"/>
    <w:rsid w:val="006371D9"/>
    <w:rsid w:val="0064017C"/>
    <w:rsid w:val="00640362"/>
    <w:rsid w:val="00641BF2"/>
    <w:rsid w:val="00641F9E"/>
    <w:rsid w:val="00642AF9"/>
    <w:rsid w:val="00642DF7"/>
    <w:rsid w:val="00644DC9"/>
    <w:rsid w:val="006457FC"/>
    <w:rsid w:val="00646C48"/>
    <w:rsid w:val="006506E6"/>
    <w:rsid w:val="00652CCF"/>
    <w:rsid w:val="00653A53"/>
    <w:rsid w:val="006541B6"/>
    <w:rsid w:val="0065587D"/>
    <w:rsid w:val="00657E0F"/>
    <w:rsid w:val="006601A1"/>
    <w:rsid w:val="00660E8A"/>
    <w:rsid w:val="006622C9"/>
    <w:rsid w:val="00662AF6"/>
    <w:rsid w:val="0066466E"/>
    <w:rsid w:val="00666612"/>
    <w:rsid w:val="00672092"/>
    <w:rsid w:val="00672D13"/>
    <w:rsid w:val="00673F2D"/>
    <w:rsid w:val="00674634"/>
    <w:rsid w:val="00674770"/>
    <w:rsid w:val="00680039"/>
    <w:rsid w:val="00681FC6"/>
    <w:rsid w:val="006850F8"/>
    <w:rsid w:val="00687E96"/>
    <w:rsid w:val="00690355"/>
    <w:rsid w:val="00690F78"/>
    <w:rsid w:val="006953B6"/>
    <w:rsid w:val="006957C3"/>
    <w:rsid w:val="006963B5"/>
    <w:rsid w:val="00696A1A"/>
    <w:rsid w:val="00696CE2"/>
    <w:rsid w:val="0069708E"/>
    <w:rsid w:val="0069773D"/>
    <w:rsid w:val="006A0CF4"/>
    <w:rsid w:val="006A1C1F"/>
    <w:rsid w:val="006A4168"/>
    <w:rsid w:val="006A4C66"/>
    <w:rsid w:val="006A58D6"/>
    <w:rsid w:val="006A79BE"/>
    <w:rsid w:val="006A7D60"/>
    <w:rsid w:val="006B1088"/>
    <w:rsid w:val="006B199D"/>
    <w:rsid w:val="006B2E8D"/>
    <w:rsid w:val="006B3BAB"/>
    <w:rsid w:val="006B3C3D"/>
    <w:rsid w:val="006B57A5"/>
    <w:rsid w:val="006C1A71"/>
    <w:rsid w:val="006C1E87"/>
    <w:rsid w:val="006C25FC"/>
    <w:rsid w:val="006C324C"/>
    <w:rsid w:val="006C3255"/>
    <w:rsid w:val="006C5DD2"/>
    <w:rsid w:val="006C5E94"/>
    <w:rsid w:val="006C664C"/>
    <w:rsid w:val="006C66D0"/>
    <w:rsid w:val="006D4444"/>
    <w:rsid w:val="006D5D6A"/>
    <w:rsid w:val="006D62F3"/>
    <w:rsid w:val="006E010F"/>
    <w:rsid w:val="006E0E23"/>
    <w:rsid w:val="006E17FA"/>
    <w:rsid w:val="006E2198"/>
    <w:rsid w:val="006E38EF"/>
    <w:rsid w:val="006E49EB"/>
    <w:rsid w:val="006E4A15"/>
    <w:rsid w:val="006E4C25"/>
    <w:rsid w:val="006E62DE"/>
    <w:rsid w:val="006E6721"/>
    <w:rsid w:val="006E69A2"/>
    <w:rsid w:val="006E69D3"/>
    <w:rsid w:val="006E7DC3"/>
    <w:rsid w:val="006E7E52"/>
    <w:rsid w:val="006F0924"/>
    <w:rsid w:val="006F37EB"/>
    <w:rsid w:val="006F71CB"/>
    <w:rsid w:val="00700A0F"/>
    <w:rsid w:val="007022B7"/>
    <w:rsid w:val="007033E4"/>
    <w:rsid w:val="00703E6A"/>
    <w:rsid w:val="00704178"/>
    <w:rsid w:val="00705815"/>
    <w:rsid w:val="0070625D"/>
    <w:rsid w:val="0070654E"/>
    <w:rsid w:val="00706C56"/>
    <w:rsid w:val="00706D8E"/>
    <w:rsid w:val="00710560"/>
    <w:rsid w:val="00711E1A"/>
    <w:rsid w:val="00711E29"/>
    <w:rsid w:val="0071253F"/>
    <w:rsid w:val="00712871"/>
    <w:rsid w:val="007129BB"/>
    <w:rsid w:val="00716280"/>
    <w:rsid w:val="007162FF"/>
    <w:rsid w:val="00717E87"/>
    <w:rsid w:val="00717F0A"/>
    <w:rsid w:val="007216AF"/>
    <w:rsid w:val="00722A63"/>
    <w:rsid w:val="00722B72"/>
    <w:rsid w:val="00722C93"/>
    <w:rsid w:val="007232AB"/>
    <w:rsid w:val="00724423"/>
    <w:rsid w:val="007246BB"/>
    <w:rsid w:val="00725197"/>
    <w:rsid w:val="007264D4"/>
    <w:rsid w:val="00726843"/>
    <w:rsid w:val="00730E9D"/>
    <w:rsid w:val="00731086"/>
    <w:rsid w:val="00733DF8"/>
    <w:rsid w:val="0073482B"/>
    <w:rsid w:val="00734AAA"/>
    <w:rsid w:val="00735DD9"/>
    <w:rsid w:val="00736572"/>
    <w:rsid w:val="00736929"/>
    <w:rsid w:val="007405D7"/>
    <w:rsid w:val="00742434"/>
    <w:rsid w:val="00743578"/>
    <w:rsid w:val="00744886"/>
    <w:rsid w:val="007449F4"/>
    <w:rsid w:val="0074527D"/>
    <w:rsid w:val="00746144"/>
    <w:rsid w:val="00746CCB"/>
    <w:rsid w:val="00747266"/>
    <w:rsid w:val="007473C8"/>
    <w:rsid w:val="00750441"/>
    <w:rsid w:val="0075190F"/>
    <w:rsid w:val="007522C9"/>
    <w:rsid w:val="00754ED3"/>
    <w:rsid w:val="007558EE"/>
    <w:rsid w:val="00755F23"/>
    <w:rsid w:val="00761198"/>
    <w:rsid w:val="00762ACE"/>
    <w:rsid w:val="00762DF3"/>
    <w:rsid w:val="00763785"/>
    <w:rsid w:val="00765BEA"/>
    <w:rsid w:val="00766BAA"/>
    <w:rsid w:val="007677F9"/>
    <w:rsid w:val="00770A8D"/>
    <w:rsid w:val="00771745"/>
    <w:rsid w:val="00771958"/>
    <w:rsid w:val="00774FAD"/>
    <w:rsid w:val="007777A3"/>
    <w:rsid w:val="0077782F"/>
    <w:rsid w:val="00783090"/>
    <w:rsid w:val="0078360F"/>
    <w:rsid w:val="00785C71"/>
    <w:rsid w:val="007862C9"/>
    <w:rsid w:val="00787681"/>
    <w:rsid w:val="00787945"/>
    <w:rsid w:val="00787DDC"/>
    <w:rsid w:val="0079089D"/>
    <w:rsid w:val="00791DF0"/>
    <w:rsid w:val="0079382B"/>
    <w:rsid w:val="0079384B"/>
    <w:rsid w:val="00795F9F"/>
    <w:rsid w:val="00796408"/>
    <w:rsid w:val="00796858"/>
    <w:rsid w:val="007A1D69"/>
    <w:rsid w:val="007A250D"/>
    <w:rsid w:val="007A2AE3"/>
    <w:rsid w:val="007A4867"/>
    <w:rsid w:val="007A4D28"/>
    <w:rsid w:val="007A5B06"/>
    <w:rsid w:val="007A6CB4"/>
    <w:rsid w:val="007A725A"/>
    <w:rsid w:val="007B065B"/>
    <w:rsid w:val="007B0EB5"/>
    <w:rsid w:val="007B1217"/>
    <w:rsid w:val="007B1CDE"/>
    <w:rsid w:val="007B1D44"/>
    <w:rsid w:val="007B2194"/>
    <w:rsid w:val="007B3B87"/>
    <w:rsid w:val="007B3B88"/>
    <w:rsid w:val="007B634E"/>
    <w:rsid w:val="007C0FC8"/>
    <w:rsid w:val="007C1375"/>
    <w:rsid w:val="007C38F1"/>
    <w:rsid w:val="007C5A71"/>
    <w:rsid w:val="007D1297"/>
    <w:rsid w:val="007D1305"/>
    <w:rsid w:val="007D245E"/>
    <w:rsid w:val="007D27F3"/>
    <w:rsid w:val="007D3B78"/>
    <w:rsid w:val="007D3E79"/>
    <w:rsid w:val="007D48F6"/>
    <w:rsid w:val="007D53F8"/>
    <w:rsid w:val="007D5DBD"/>
    <w:rsid w:val="007E1238"/>
    <w:rsid w:val="007E20D8"/>
    <w:rsid w:val="007E28F9"/>
    <w:rsid w:val="007E38DE"/>
    <w:rsid w:val="007E39FF"/>
    <w:rsid w:val="007E65D6"/>
    <w:rsid w:val="007E79EB"/>
    <w:rsid w:val="007F1C9A"/>
    <w:rsid w:val="007F1F00"/>
    <w:rsid w:val="007F228B"/>
    <w:rsid w:val="007F3267"/>
    <w:rsid w:val="007F3500"/>
    <w:rsid w:val="007F4ACA"/>
    <w:rsid w:val="007F56CF"/>
    <w:rsid w:val="007F62F3"/>
    <w:rsid w:val="008025CC"/>
    <w:rsid w:val="008074CF"/>
    <w:rsid w:val="00811AF6"/>
    <w:rsid w:val="008121FB"/>
    <w:rsid w:val="008125C5"/>
    <w:rsid w:val="008134A2"/>
    <w:rsid w:val="00813C1C"/>
    <w:rsid w:val="0081488E"/>
    <w:rsid w:val="00814F59"/>
    <w:rsid w:val="00816B7C"/>
    <w:rsid w:val="00820A8A"/>
    <w:rsid w:val="00820BE3"/>
    <w:rsid w:val="00820D62"/>
    <w:rsid w:val="00821EEB"/>
    <w:rsid w:val="00823060"/>
    <w:rsid w:val="00824BEA"/>
    <w:rsid w:val="008257A9"/>
    <w:rsid w:val="0082715D"/>
    <w:rsid w:val="00830FAE"/>
    <w:rsid w:val="00834CB0"/>
    <w:rsid w:val="00836995"/>
    <w:rsid w:val="0083763A"/>
    <w:rsid w:val="00837AA2"/>
    <w:rsid w:val="00840BD6"/>
    <w:rsid w:val="0084353C"/>
    <w:rsid w:val="00843AAE"/>
    <w:rsid w:val="008451A6"/>
    <w:rsid w:val="00845925"/>
    <w:rsid w:val="00846233"/>
    <w:rsid w:val="008473A7"/>
    <w:rsid w:val="00847D6E"/>
    <w:rsid w:val="00850FC4"/>
    <w:rsid w:val="00851F86"/>
    <w:rsid w:val="0085407C"/>
    <w:rsid w:val="00855274"/>
    <w:rsid w:val="008555DF"/>
    <w:rsid w:val="008569FC"/>
    <w:rsid w:val="00856E3C"/>
    <w:rsid w:val="00857D03"/>
    <w:rsid w:val="0086053E"/>
    <w:rsid w:val="00860A88"/>
    <w:rsid w:val="00861EC0"/>
    <w:rsid w:val="00864AA7"/>
    <w:rsid w:val="00866038"/>
    <w:rsid w:val="00866D13"/>
    <w:rsid w:val="00870F3C"/>
    <w:rsid w:val="0087118D"/>
    <w:rsid w:val="00871ECF"/>
    <w:rsid w:val="0087229C"/>
    <w:rsid w:val="00873451"/>
    <w:rsid w:val="008744CA"/>
    <w:rsid w:val="00876698"/>
    <w:rsid w:val="0087679B"/>
    <w:rsid w:val="0087748E"/>
    <w:rsid w:val="00884A46"/>
    <w:rsid w:val="00884B61"/>
    <w:rsid w:val="008857A5"/>
    <w:rsid w:val="00885D05"/>
    <w:rsid w:val="00885F3C"/>
    <w:rsid w:val="00886D36"/>
    <w:rsid w:val="00887B39"/>
    <w:rsid w:val="00887DD3"/>
    <w:rsid w:val="00891DC4"/>
    <w:rsid w:val="00891FF1"/>
    <w:rsid w:val="0089337A"/>
    <w:rsid w:val="00894622"/>
    <w:rsid w:val="00895EB2"/>
    <w:rsid w:val="008A05CF"/>
    <w:rsid w:val="008A1C7A"/>
    <w:rsid w:val="008A24DA"/>
    <w:rsid w:val="008A2644"/>
    <w:rsid w:val="008A3E29"/>
    <w:rsid w:val="008A5EBC"/>
    <w:rsid w:val="008A704A"/>
    <w:rsid w:val="008B1161"/>
    <w:rsid w:val="008B3FA7"/>
    <w:rsid w:val="008B44EB"/>
    <w:rsid w:val="008B4FA9"/>
    <w:rsid w:val="008B63B9"/>
    <w:rsid w:val="008B684C"/>
    <w:rsid w:val="008C0EFC"/>
    <w:rsid w:val="008C1045"/>
    <w:rsid w:val="008C1362"/>
    <w:rsid w:val="008C1673"/>
    <w:rsid w:val="008C1FF3"/>
    <w:rsid w:val="008C21D7"/>
    <w:rsid w:val="008C517C"/>
    <w:rsid w:val="008C5EB6"/>
    <w:rsid w:val="008D000C"/>
    <w:rsid w:val="008D177F"/>
    <w:rsid w:val="008D24AD"/>
    <w:rsid w:val="008D2A7D"/>
    <w:rsid w:val="008D3D88"/>
    <w:rsid w:val="008D53E4"/>
    <w:rsid w:val="008D674D"/>
    <w:rsid w:val="008D6AC5"/>
    <w:rsid w:val="008D7423"/>
    <w:rsid w:val="008E0AAC"/>
    <w:rsid w:val="008E25CA"/>
    <w:rsid w:val="008E2CE1"/>
    <w:rsid w:val="008E3052"/>
    <w:rsid w:val="008E4CBB"/>
    <w:rsid w:val="008E6237"/>
    <w:rsid w:val="008E668B"/>
    <w:rsid w:val="008E6AC3"/>
    <w:rsid w:val="008F151A"/>
    <w:rsid w:val="008F1CD4"/>
    <w:rsid w:val="008F1F56"/>
    <w:rsid w:val="008F2119"/>
    <w:rsid w:val="008F335C"/>
    <w:rsid w:val="008F57B1"/>
    <w:rsid w:val="008F5D25"/>
    <w:rsid w:val="008F6B9E"/>
    <w:rsid w:val="008F7245"/>
    <w:rsid w:val="008F7A82"/>
    <w:rsid w:val="00900905"/>
    <w:rsid w:val="00904317"/>
    <w:rsid w:val="00904D58"/>
    <w:rsid w:val="00905F71"/>
    <w:rsid w:val="00911390"/>
    <w:rsid w:val="00912BDA"/>
    <w:rsid w:val="009133D9"/>
    <w:rsid w:val="00916886"/>
    <w:rsid w:val="00920158"/>
    <w:rsid w:val="009208C3"/>
    <w:rsid w:val="009210F6"/>
    <w:rsid w:val="00921AF3"/>
    <w:rsid w:val="00923495"/>
    <w:rsid w:val="00923B2D"/>
    <w:rsid w:val="00923EB7"/>
    <w:rsid w:val="00924370"/>
    <w:rsid w:val="0092437B"/>
    <w:rsid w:val="0092690D"/>
    <w:rsid w:val="009276C4"/>
    <w:rsid w:val="00930BB4"/>
    <w:rsid w:val="00931315"/>
    <w:rsid w:val="00931DCA"/>
    <w:rsid w:val="00932256"/>
    <w:rsid w:val="00935E21"/>
    <w:rsid w:val="0093714E"/>
    <w:rsid w:val="00937AD1"/>
    <w:rsid w:val="00937F1C"/>
    <w:rsid w:val="009433BF"/>
    <w:rsid w:val="00944C6E"/>
    <w:rsid w:val="00945F94"/>
    <w:rsid w:val="009464D0"/>
    <w:rsid w:val="00946F78"/>
    <w:rsid w:val="00947A6A"/>
    <w:rsid w:val="00951358"/>
    <w:rsid w:val="0095326C"/>
    <w:rsid w:val="009549E4"/>
    <w:rsid w:val="00955472"/>
    <w:rsid w:val="00960AF4"/>
    <w:rsid w:val="0096274E"/>
    <w:rsid w:val="0096512A"/>
    <w:rsid w:val="00965715"/>
    <w:rsid w:val="0096596D"/>
    <w:rsid w:val="00965D3F"/>
    <w:rsid w:val="00965F9E"/>
    <w:rsid w:val="00966477"/>
    <w:rsid w:val="009707E9"/>
    <w:rsid w:val="00970F92"/>
    <w:rsid w:val="0097103D"/>
    <w:rsid w:val="00971597"/>
    <w:rsid w:val="00973A03"/>
    <w:rsid w:val="00973CF3"/>
    <w:rsid w:val="00975727"/>
    <w:rsid w:val="00976493"/>
    <w:rsid w:val="00976957"/>
    <w:rsid w:val="00976D2B"/>
    <w:rsid w:val="00980DAE"/>
    <w:rsid w:val="00981902"/>
    <w:rsid w:val="00981AA0"/>
    <w:rsid w:val="00983880"/>
    <w:rsid w:val="009847B4"/>
    <w:rsid w:val="009848F8"/>
    <w:rsid w:val="00985969"/>
    <w:rsid w:val="00986277"/>
    <w:rsid w:val="00986349"/>
    <w:rsid w:val="009875CE"/>
    <w:rsid w:val="00990124"/>
    <w:rsid w:val="00991165"/>
    <w:rsid w:val="00991221"/>
    <w:rsid w:val="00992257"/>
    <w:rsid w:val="00992E3A"/>
    <w:rsid w:val="00997411"/>
    <w:rsid w:val="009A0C8A"/>
    <w:rsid w:val="009A0D0A"/>
    <w:rsid w:val="009A0DD2"/>
    <w:rsid w:val="009A1560"/>
    <w:rsid w:val="009A19F6"/>
    <w:rsid w:val="009A2800"/>
    <w:rsid w:val="009A2930"/>
    <w:rsid w:val="009A45BD"/>
    <w:rsid w:val="009A5E7A"/>
    <w:rsid w:val="009A6A88"/>
    <w:rsid w:val="009A6B80"/>
    <w:rsid w:val="009B15C2"/>
    <w:rsid w:val="009B1E78"/>
    <w:rsid w:val="009B2EE0"/>
    <w:rsid w:val="009B300A"/>
    <w:rsid w:val="009B3141"/>
    <w:rsid w:val="009B55B3"/>
    <w:rsid w:val="009B5E27"/>
    <w:rsid w:val="009B6FFD"/>
    <w:rsid w:val="009B7018"/>
    <w:rsid w:val="009B79AA"/>
    <w:rsid w:val="009B7A06"/>
    <w:rsid w:val="009C00EE"/>
    <w:rsid w:val="009C1422"/>
    <w:rsid w:val="009C14E7"/>
    <w:rsid w:val="009C2BA9"/>
    <w:rsid w:val="009C2F49"/>
    <w:rsid w:val="009C38F5"/>
    <w:rsid w:val="009C3A0D"/>
    <w:rsid w:val="009C529B"/>
    <w:rsid w:val="009C5793"/>
    <w:rsid w:val="009C758F"/>
    <w:rsid w:val="009D17D0"/>
    <w:rsid w:val="009D3C37"/>
    <w:rsid w:val="009D4525"/>
    <w:rsid w:val="009D4BAA"/>
    <w:rsid w:val="009D5B63"/>
    <w:rsid w:val="009D65CC"/>
    <w:rsid w:val="009D7D93"/>
    <w:rsid w:val="009E0E12"/>
    <w:rsid w:val="009E0F91"/>
    <w:rsid w:val="009E1068"/>
    <w:rsid w:val="009E114C"/>
    <w:rsid w:val="009E13D8"/>
    <w:rsid w:val="009E1799"/>
    <w:rsid w:val="009E1CF3"/>
    <w:rsid w:val="009E4B9E"/>
    <w:rsid w:val="009E539D"/>
    <w:rsid w:val="009E6457"/>
    <w:rsid w:val="009F1203"/>
    <w:rsid w:val="009F231E"/>
    <w:rsid w:val="009F3387"/>
    <w:rsid w:val="009F5F3F"/>
    <w:rsid w:val="009F7DF3"/>
    <w:rsid w:val="00A000E3"/>
    <w:rsid w:val="00A00A96"/>
    <w:rsid w:val="00A06B8C"/>
    <w:rsid w:val="00A106AF"/>
    <w:rsid w:val="00A10BC0"/>
    <w:rsid w:val="00A113AE"/>
    <w:rsid w:val="00A115D8"/>
    <w:rsid w:val="00A11DAD"/>
    <w:rsid w:val="00A12658"/>
    <w:rsid w:val="00A13339"/>
    <w:rsid w:val="00A1536B"/>
    <w:rsid w:val="00A173B1"/>
    <w:rsid w:val="00A1751A"/>
    <w:rsid w:val="00A20127"/>
    <w:rsid w:val="00A20727"/>
    <w:rsid w:val="00A212CF"/>
    <w:rsid w:val="00A21676"/>
    <w:rsid w:val="00A220C3"/>
    <w:rsid w:val="00A230E0"/>
    <w:rsid w:val="00A248D3"/>
    <w:rsid w:val="00A24C5B"/>
    <w:rsid w:val="00A25192"/>
    <w:rsid w:val="00A25B85"/>
    <w:rsid w:val="00A26F52"/>
    <w:rsid w:val="00A27E58"/>
    <w:rsid w:val="00A33C32"/>
    <w:rsid w:val="00A3635F"/>
    <w:rsid w:val="00A36DAF"/>
    <w:rsid w:val="00A373AA"/>
    <w:rsid w:val="00A41585"/>
    <w:rsid w:val="00A43049"/>
    <w:rsid w:val="00A453EE"/>
    <w:rsid w:val="00A45762"/>
    <w:rsid w:val="00A457B5"/>
    <w:rsid w:val="00A45853"/>
    <w:rsid w:val="00A465BA"/>
    <w:rsid w:val="00A471F4"/>
    <w:rsid w:val="00A519E3"/>
    <w:rsid w:val="00A54775"/>
    <w:rsid w:val="00A56240"/>
    <w:rsid w:val="00A571FB"/>
    <w:rsid w:val="00A60ADE"/>
    <w:rsid w:val="00A617EE"/>
    <w:rsid w:val="00A61D5D"/>
    <w:rsid w:val="00A62A96"/>
    <w:rsid w:val="00A62F0D"/>
    <w:rsid w:val="00A63042"/>
    <w:rsid w:val="00A641EB"/>
    <w:rsid w:val="00A6486F"/>
    <w:rsid w:val="00A66399"/>
    <w:rsid w:val="00A6649E"/>
    <w:rsid w:val="00A66DCF"/>
    <w:rsid w:val="00A67900"/>
    <w:rsid w:val="00A67FDF"/>
    <w:rsid w:val="00A702C7"/>
    <w:rsid w:val="00A703E0"/>
    <w:rsid w:val="00A70AD0"/>
    <w:rsid w:val="00A71EEE"/>
    <w:rsid w:val="00A72030"/>
    <w:rsid w:val="00A734B4"/>
    <w:rsid w:val="00A75D21"/>
    <w:rsid w:val="00A76573"/>
    <w:rsid w:val="00A80C8A"/>
    <w:rsid w:val="00A80FEE"/>
    <w:rsid w:val="00A8183A"/>
    <w:rsid w:val="00A8390A"/>
    <w:rsid w:val="00A85909"/>
    <w:rsid w:val="00A86F91"/>
    <w:rsid w:val="00A910B9"/>
    <w:rsid w:val="00A91539"/>
    <w:rsid w:val="00A91AC6"/>
    <w:rsid w:val="00A923C4"/>
    <w:rsid w:val="00A92A2F"/>
    <w:rsid w:val="00A93BA6"/>
    <w:rsid w:val="00AA0ED7"/>
    <w:rsid w:val="00AA3841"/>
    <w:rsid w:val="00AA3A69"/>
    <w:rsid w:val="00AA4564"/>
    <w:rsid w:val="00AA58F9"/>
    <w:rsid w:val="00AA5A6C"/>
    <w:rsid w:val="00AB1640"/>
    <w:rsid w:val="00AB23C9"/>
    <w:rsid w:val="00AB2DB4"/>
    <w:rsid w:val="00AB2E23"/>
    <w:rsid w:val="00AB2EB6"/>
    <w:rsid w:val="00AB33AF"/>
    <w:rsid w:val="00AB36DF"/>
    <w:rsid w:val="00AB3D0E"/>
    <w:rsid w:val="00AB3E10"/>
    <w:rsid w:val="00AB41C5"/>
    <w:rsid w:val="00AB6C4E"/>
    <w:rsid w:val="00AC0B38"/>
    <w:rsid w:val="00AC1A8B"/>
    <w:rsid w:val="00AC2E91"/>
    <w:rsid w:val="00AC4325"/>
    <w:rsid w:val="00AC52D3"/>
    <w:rsid w:val="00AC5B62"/>
    <w:rsid w:val="00AC6BE6"/>
    <w:rsid w:val="00AD1F46"/>
    <w:rsid w:val="00AD2524"/>
    <w:rsid w:val="00AD4A02"/>
    <w:rsid w:val="00AD63AF"/>
    <w:rsid w:val="00AD6C0F"/>
    <w:rsid w:val="00AE0113"/>
    <w:rsid w:val="00AE07D3"/>
    <w:rsid w:val="00AE220C"/>
    <w:rsid w:val="00AE48E2"/>
    <w:rsid w:val="00AE4BAC"/>
    <w:rsid w:val="00AE5A1A"/>
    <w:rsid w:val="00AE5B21"/>
    <w:rsid w:val="00AE6C99"/>
    <w:rsid w:val="00AE7786"/>
    <w:rsid w:val="00AF0A8A"/>
    <w:rsid w:val="00AF2E9C"/>
    <w:rsid w:val="00AF30BB"/>
    <w:rsid w:val="00AF3DDE"/>
    <w:rsid w:val="00AF40AC"/>
    <w:rsid w:val="00AF41DF"/>
    <w:rsid w:val="00AF51B0"/>
    <w:rsid w:val="00AF5373"/>
    <w:rsid w:val="00AF5ED6"/>
    <w:rsid w:val="00AF6381"/>
    <w:rsid w:val="00AF63D5"/>
    <w:rsid w:val="00AF738D"/>
    <w:rsid w:val="00B0008F"/>
    <w:rsid w:val="00B01132"/>
    <w:rsid w:val="00B0165B"/>
    <w:rsid w:val="00B023E0"/>
    <w:rsid w:val="00B0250C"/>
    <w:rsid w:val="00B04B53"/>
    <w:rsid w:val="00B06B57"/>
    <w:rsid w:val="00B0715D"/>
    <w:rsid w:val="00B07446"/>
    <w:rsid w:val="00B07B6A"/>
    <w:rsid w:val="00B12414"/>
    <w:rsid w:val="00B1251B"/>
    <w:rsid w:val="00B12BA4"/>
    <w:rsid w:val="00B14412"/>
    <w:rsid w:val="00B14D5F"/>
    <w:rsid w:val="00B16BC1"/>
    <w:rsid w:val="00B17331"/>
    <w:rsid w:val="00B20A4D"/>
    <w:rsid w:val="00B2155E"/>
    <w:rsid w:val="00B22537"/>
    <w:rsid w:val="00B24736"/>
    <w:rsid w:val="00B24C96"/>
    <w:rsid w:val="00B25E5D"/>
    <w:rsid w:val="00B26245"/>
    <w:rsid w:val="00B26ADB"/>
    <w:rsid w:val="00B276A7"/>
    <w:rsid w:val="00B2771E"/>
    <w:rsid w:val="00B31F2C"/>
    <w:rsid w:val="00B32460"/>
    <w:rsid w:val="00B33FF0"/>
    <w:rsid w:val="00B352E4"/>
    <w:rsid w:val="00B364DF"/>
    <w:rsid w:val="00B418A6"/>
    <w:rsid w:val="00B42860"/>
    <w:rsid w:val="00B429F1"/>
    <w:rsid w:val="00B4346D"/>
    <w:rsid w:val="00B4507E"/>
    <w:rsid w:val="00B454F8"/>
    <w:rsid w:val="00B45A3B"/>
    <w:rsid w:val="00B50FA1"/>
    <w:rsid w:val="00B54477"/>
    <w:rsid w:val="00B56222"/>
    <w:rsid w:val="00B57615"/>
    <w:rsid w:val="00B576CD"/>
    <w:rsid w:val="00B62C89"/>
    <w:rsid w:val="00B63943"/>
    <w:rsid w:val="00B665AE"/>
    <w:rsid w:val="00B666CB"/>
    <w:rsid w:val="00B678EB"/>
    <w:rsid w:val="00B67CDA"/>
    <w:rsid w:val="00B71641"/>
    <w:rsid w:val="00B74262"/>
    <w:rsid w:val="00B7433E"/>
    <w:rsid w:val="00B74693"/>
    <w:rsid w:val="00B76332"/>
    <w:rsid w:val="00B7776C"/>
    <w:rsid w:val="00B82EE5"/>
    <w:rsid w:val="00B84982"/>
    <w:rsid w:val="00B84EAD"/>
    <w:rsid w:val="00B85721"/>
    <w:rsid w:val="00B85AE4"/>
    <w:rsid w:val="00B85E2E"/>
    <w:rsid w:val="00B86C29"/>
    <w:rsid w:val="00B9096E"/>
    <w:rsid w:val="00B9196F"/>
    <w:rsid w:val="00B92D96"/>
    <w:rsid w:val="00B933DE"/>
    <w:rsid w:val="00B95273"/>
    <w:rsid w:val="00B95A7A"/>
    <w:rsid w:val="00BA2052"/>
    <w:rsid w:val="00BA37ED"/>
    <w:rsid w:val="00BA449F"/>
    <w:rsid w:val="00BA55B4"/>
    <w:rsid w:val="00BA5C59"/>
    <w:rsid w:val="00BA6071"/>
    <w:rsid w:val="00BA757B"/>
    <w:rsid w:val="00BB131D"/>
    <w:rsid w:val="00BB31BE"/>
    <w:rsid w:val="00BB770E"/>
    <w:rsid w:val="00BB7FB5"/>
    <w:rsid w:val="00BC25F7"/>
    <w:rsid w:val="00BC2A74"/>
    <w:rsid w:val="00BC3320"/>
    <w:rsid w:val="00BC36BB"/>
    <w:rsid w:val="00BC73A7"/>
    <w:rsid w:val="00BD09D3"/>
    <w:rsid w:val="00BD12AD"/>
    <w:rsid w:val="00BD44B9"/>
    <w:rsid w:val="00BD6EFA"/>
    <w:rsid w:val="00BE0E58"/>
    <w:rsid w:val="00BE1397"/>
    <w:rsid w:val="00BE2F45"/>
    <w:rsid w:val="00BE4182"/>
    <w:rsid w:val="00BE49B9"/>
    <w:rsid w:val="00BE4CAB"/>
    <w:rsid w:val="00BE4EF9"/>
    <w:rsid w:val="00BE62F3"/>
    <w:rsid w:val="00BE6E59"/>
    <w:rsid w:val="00BE71B1"/>
    <w:rsid w:val="00BE75A8"/>
    <w:rsid w:val="00BF02F7"/>
    <w:rsid w:val="00BF11ED"/>
    <w:rsid w:val="00BF1561"/>
    <w:rsid w:val="00BF1BC0"/>
    <w:rsid w:val="00BF25E1"/>
    <w:rsid w:val="00BF33DF"/>
    <w:rsid w:val="00BF4131"/>
    <w:rsid w:val="00BF4173"/>
    <w:rsid w:val="00BF5289"/>
    <w:rsid w:val="00BF55F1"/>
    <w:rsid w:val="00BF6493"/>
    <w:rsid w:val="00BF6A0E"/>
    <w:rsid w:val="00C021C7"/>
    <w:rsid w:val="00C04C4B"/>
    <w:rsid w:val="00C05887"/>
    <w:rsid w:val="00C067C4"/>
    <w:rsid w:val="00C06A02"/>
    <w:rsid w:val="00C06A44"/>
    <w:rsid w:val="00C06F41"/>
    <w:rsid w:val="00C12989"/>
    <w:rsid w:val="00C150F2"/>
    <w:rsid w:val="00C15F88"/>
    <w:rsid w:val="00C1747B"/>
    <w:rsid w:val="00C2232A"/>
    <w:rsid w:val="00C22D94"/>
    <w:rsid w:val="00C232B9"/>
    <w:rsid w:val="00C25157"/>
    <w:rsid w:val="00C265C5"/>
    <w:rsid w:val="00C267C7"/>
    <w:rsid w:val="00C270A1"/>
    <w:rsid w:val="00C271E9"/>
    <w:rsid w:val="00C27DC7"/>
    <w:rsid w:val="00C302A7"/>
    <w:rsid w:val="00C310B9"/>
    <w:rsid w:val="00C319B5"/>
    <w:rsid w:val="00C32DC0"/>
    <w:rsid w:val="00C3356A"/>
    <w:rsid w:val="00C35052"/>
    <w:rsid w:val="00C35E6D"/>
    <w:rsid w:val="00C366CE"/>
    <w:rsid w:val="00C37DA4"/>
    <w:rsid w:val="00C4317F"/>
    <w:rsid w:val="00C44D33"/>
    <w:rsid w:val="00C450E6"/>
    <w:rsid w:val="00C45218"/>
    <w:rsid w:val="00C465E6"/>
    <w:rsid w:val="00C469A7"/>
    <w:rsid w:val="00C46CBB"/>
    <w:rsid w:val="00C46DA1"/>
    <w:rsid w:val="00C47C92"/>
    <w:rsid w:val="00C51123"/>
    <w:rsid w:val="00C5200C"/>
    <w:rsid w:val="00C532A5"/>
    <w:rsid w:val="00C54472"/>
    <w:rsid w:val="00C54931"/>
    <w:rsid w:val="00C54BF8"/>
    <w:rsid w:val="00C54CAE"/>
    <w:rsid w:val="00C5618C"/>
    <w:rsid w:val="00C60690"/>
    <w:rsid w:val="00C606C2"/>
    <w:rsid w:val="00C617E8"/>
    <w:rsid w:val="00C62421"/>
    <w:rsid w:val="00C64C28"/>
    <w:rsid w:val="00C64C98"/>
    <w:rsid w:val="00C65151"/>
    <w:rsid w:val="00C6664E"/>
    <w:rsid w:val="00C667E4"/>
    <w:rsid w:val="00C6750A"/>
    <w:rsid w:val="00C70965"/>
    <w:rsid w:val="00C7156C"/>
    <w:rsid w:val="00C7195F"/>
    <w:rsid w:val="00C71DB3"/>
    <w:rsid w:val="00C73283"/>
    <w:rsid w:val="00C737C9"/>
    <w:rsid w:val="00C73A44"/>
    <w:rsid w:val="00C73CC4"/>
    <w:rsid w:val="00C7413D"/>
    <w:rsid w:val="00C743B5"/>
    <w:rsid w:val="00C761E1"/>
    <w:rsid w:val="00C82020"/>
    <w:rsid w:val="00C82092"/>
    <w:rsid w:val="00C82515"/>
    <w:rsid w:val="00C8271F"/>
    <w:rsid w:val="00C83898"/>
    <w:rsid w:val="00C842FA"/>
    <w:rsid w:val="00C853C5"/>
    <w:rsid w:val="00C8602D"/>
    <w:rsid w:val="00C90D68"/>
    <w:rsid w:val="00C9252F"/>
    <w:rsid w:val="00C941C9"/>
    <w:rsid w:val="00C94C68"/>
    <w:rsid w:val="00C95791"/>
    <w:rsid w:val="00C96659"/>
    <w:rsid w:val="00C9767B"/>
    <w:rsid w:val="00C97CF5"/>
    <w:rsid w:val="00CA2AA8"/>
    <w:rsid w:val="00CA6830"/>
    <w:rsid w:val="00CA6C58"/>
    <w:rsid w:val="00CB0850"/>
    <w:rsid w:val="00CB0E66"/>
    <w:rsid w:val="00CB444F"/>
    <w:rsid w:val="00CB5519"/>
    <w:rsid w:val="00CB5BDD"/>
    <w:rsid w:val="00CB5EFF"/>
    <w:rsid w:val="00CB67DC"/>
    <w:rsid w:val="00CB71F3"/>
    <w:rsid w:val="00CB7271"/>
    <w:rsid w:val="00CC0300"/>
    <w:rsid w:val="00CC56B2"/>
    <w:rsid w:val="00CC6180"/>
    <w:rsid w:val="00CC6786"/>
    <w:rsid w:val="00CC6B5B"/>
    <w:rsid w:val="00CC6B6F"/>
    <w:rsid w:val="00CC6FF6"/>
    <w:rsid w:val="00CC733D"/>
    <w:rsid w:val="00CD1AB9"/>
    <w:rsid w:val="00CD455F"/>
    <w:rsid w:val="00CD471C"/>
    <w:rsid w:val="00CD4B07"/>
    <w:rsid w:val="00CD5C55"/>
    <w:rsid w:val="00CD626B"/>
    <w:rsid w:val="00CE06A9"/>
    <w:rsid w:val="00CE0A94"/>
    <w:rsid w:val="00CE14E7"/>
    <w:rsid w:val="00CE2001"/>
    <w:rsid w:val="00CE3AD7"/>
    <w:rsid w:val="00CE43B1"/>
    <w:rsid w:val="00CE4E14"/>
    <w:rsid w:val="00CE61A6"/>
    <w:rsid w:val="00CE63B8"/>
    <w:rsid w:val="00CE7DAB"/>
    <w:rsid w:val="00CF0176"/>
    <w:rsid w:val="00CF0B74"/>
    <w:rsid w:val="00CF1AE4"/>
    <w:rsid w:val="00CF21B4"/>
    <w:rsid w:val="00CF2562"/>
    <w:rsid w:val="00CF2B8D"/>
    <w:rsid w:val="00CF5ECA"/>
    <w:rsid w:val="00CF7875"/>
    <w:rsid w:val="00D00669"/>
    <w:rsid w:val="00D0281F"/>
    <w:rsid w:val="00D02E7D"/>
    <w:rsid w:val="00D03E4C"/>
    <w:rsid w:val="00D0454A"/>
    <w:rsid w:val="00D0646E"/>
    <w:rsid w:val="00D06F11"/>
    <w:rsid w:val="00D07521"/>
    <w:rsid w:val="00D12F3A"/>
    <w:rsid w:val="00D1343E"/>
    <w:rsid w:val="00D136EC"/>
    <w:rsid w:val="00D14584"/>
    <w:rsid w:val="00D15356"/>
    <w:rsid w:val="00D156BF"/>
    <w:rsid w:val="00D16016"/>
    <w:rsid w:val="00D16D46"/>
    <w:rsid w:val="00D20286"/>
    <w:rsid w:val="00D204D2"/>
    <w:rsid w:val="00D20BA8"/>
    <w:rsid w:val="00D21860"/>
    <w:rsid w:val="00D21B8D"/>
    <w:rsid w:val="00D232B5"/>
    <w:rsid w:val="00D24890"/>
    <w:rsid w:val="00D25F0B"/>
    <w:rsid w:val="00D3100A"/>
    <w:rsid w:val="00D31ED4"/>
    <w:rsid w:val="00D328AA"/>
    <w:rsid w:val="00D32A6B"/>
    <w:rsid w:val="00D334A8"/>
    <w:rsid w:val="00D33850"/>
    <w:rsid w:val="00D33CE1"/>
    <w:rsid w:val="00D36675"/>
    <w:rsid w:val="00D36F2B"/>
    <w:rsid w:val="00D3755B"/>
    <w:rsid w:val="00D413D9"/>
    <w:rsid w:val="00D443FD"/>
    <w:rsid w:val="00D45A9B"/>
    <w:rsid w:val="00D47CEE"/>
    <w:rsid w:val="00D50250"/>
    <w:rsid w:val="00D5141B"/>
    <w:rsid w:val="00D54FEA"/>
    <w:rsid w:val="00D55021"/>
    <w:rsid w:val="00D550DA"/>
    <w:rsid w:val="00D55C3D"/>
    <w:rsid w:val="00D57607"/>
    <w:rsid w:val="00D60FB2"/>
    <w:rsid w:val="00D627BF"/>
    <w:rsid w:val="00D63644"/>
    <w:rsid w:val="00D637DF"/>
    <w:rsid w:val="00D63A27"/>
    <w:rsid w:val="00D64057"/>
    <w:rsid w:val="00D66F5B"/>
    <w:rsid w:val="00D73E4E"/>
    <w:rsid w:val="00D74808"/>
    <w:rsid w:val="00D75214"/>
    <w:rsid w:val="00D80D22"/>
    <w:rsid w:val="00D81C12"/>
    <w:rsid w:val="00D82229"/>
    <w:rsid w:val="00D82C4D"/>
    <w:rsid w:val="00D82FD0"/>
    <w:rsid w:val="00D85A33"/>
    <w:rsid w:val="00D87F8B"/>
    <w:rsid w:val="00D87FDC"/>
    <w:rsid w:val="00D9036D"/>
    <w:rsid w:val="00D920E6"/>
    <w:rsid w:val="00D9470B"/>
    <w:rsid w:val="00D94A75"/>
    <w:rsid w:val="00D96B33"/>
    <w:rsid w:val="00DA0EE0"/>
    <w:rsid w:val="00DA1113"/>
    <w:rsid w:val="00DA1ABD"/>
    <w:rsid w:val="00DB07DA"/>
    <w:rsid w:val="00DB1CFA"/>
    <w:rsid w:val="00DB1D5C"/>
    <w:rsid w:val="00DB2BB2"/>
    <w:rsid w:val="00DB477F"/>
    <w:rsid w:val="00DB5CF4"/>
    <w:rsid w:val="00DB782B"/>
    <w:rsid w:val="00DB79BF"/>
    <w:rsid w:val="00DB7DCB"/>
    <w:rsid w:val="00DC2AC6"/>
    <w:rsid w:val="00DC475D"/>
    <w:rsid w:val="00DC4FC5"/>
    <w:rsid w:val="00DC648A"/>
    <w:rsid w:val="00DC6E15"/>
    <w:rsid w:val="00DC73DE"/>
    <w:rsid w:val="00DD0FCA"/>
    <w:rsid w:val="00DD106B"/>
    <w:rsid w:val="00DD2817"/>
    <w:rsid w:val="00DD419E"/>
    <w:rsid w:val="00DD63B5"/>
    <w:rsid w:val="00DD6B6B"/>
    <w:rsid w:val="00DE0492"/>
    <w:rsid w:val="00DE1494"/>
    <w:rsid w:val="00DE2926"/>
    <w:rsid w:val="00DE3199"/>
    <w:rsid w:val="00DE402D"/>
    <w:rsid w:val="00DE67DA"/>
    <w:rsid w:val="00DF036C"/>
    <w:rsid w:val="00DF0BE3"/>
    <w:rsid w:val="00DF509F"/>
    <w:rsid w:val="00DF5295"/>
    <w:rsid w:val="00DF6131"/>
    <w:rsid w:val="00DF6222"/>
    <w:rsid w:val="00E00782"/>
    <w:rsid w:val="00E00AFE"/>
    <w:rsid w:val="00E0120C"/>
    <w:rsid w:val="00E02627"/>
    <w:rsid w:val="00E03567"/>
    <w:rsid w:val="00E047A7"/>
    <w:rsid w:val="00E0504D"/>
    <w:rsid w:val="00E05084"/>
    <w:rsid w:val="00E06124"/>
    <w:rsid w:val="00E127B3"/>
    <w:rsid w:val="00E12A1B"/>
    <w:rsid w:val="00E1583B"/>
    <w:rsid w:val="00E16A8D"/>
    <w:rsid w:val="00E16D71"/>
    <w:rsid w:val="00E1722E"/>
    <w:rsid w:val="00E173B7"/>
    <w:rsid w:val="00E20448"/>
    <w:rsid w:val="00E20CE0"/>
    <w:rsid w:val="00E22E14"/>
    <w:rsid w:val="00E23469"/>
    <w:rsid w:val="00E23595"/>
    <w:rsid w:val="00E253E0"/>
    <w:rsid w:val="00E2709C"/>
    <w:rsid w:val="00E2725E"/>
    <w:rsid w:val="00E272E0"/>
    <w:rsid w:val="00E3030F"/>
    <w:rsid w:val="00E30980"/>
    <w:rsid w:val="00E32477"/>
    <w:rsid w:val="00E332B4"/>
    <w:rsid w:val="00E33AF7"/>
    <w:rsid w:val="00E37A3F"/>
    <w:rsid w:val="00E4022D"/>
    <w:rsid w:val="00E4367D"/>
    <w:rsid w:val="00E43B0F"/>
    <w:rsid w:val="00E43E5A"/>
    <w:rsid w:val="00E4525D"/>
    <w:rsid w:val="00E45CB2"/>
    <w:rsid w:val="00E46AF4"/>
    <w:rsid w:val="00E479F6"/>
    <w:rsid w:val="00E50578"/>
    <w:rsid w:val="00E50666"/>
    <w:rsid w:val="00E516DA"/>
    <w:rsid w:val="00E51B28"/>
    <w:rsid w:val="00E520BD"/>
    <w:rsid w:val="00E53C14"/>
    <w:rsid w:val="00E53ED5"/>
    <w:rsid w:val="00E5471D"/>
    <w:rsid w:val="00E553A1"/>
    <w:rsid w:val="00E55CDB"/>
    <w:rsid w:val="00E57B50"/>
    <w:rsid w:val="00E60186"/>
    <w:rsid w:val="00E6140E"/>
    <w:rsid w:val="00E61D7C"/>
    <w:rsid w:val="00E648DE"/>
    <w:rsid w:val="00E64AF4"/>
    <w:rsid w:val="00E65ABF"/>
    <w:rsid w:val="00E66566"/>
    <w:rsid w:val="00E66E68"/>
    <w:rsid w:val="00E678ED"/>
    <w:rsid w:val="00E70906"/>
    <w:rsid w:val="00E70E18"/>
    <w:rsid w:val="00E71B43"/>
    <w:rsid w:val="00E71E46"/>
    <w:rsid w:val="00E72772"/>
    <w:rsid w:val="00E72C55"/>
    <w:rsid w:val="00E73DF0"/>
    <w:rsid w:val="00E741FE"/>
    <w:rsid w:val="00E75D72"/>
    <w:rsid w:val="00E76052"/>
    <w:rsid w:val="00E7727F"/>
    <w:rsid w:val="00E77E7D"/>
    <w:rsid w:val="00E80D7C"/>
    <w:rsid w:val="00E81BD3"/>
    <w:rsid w:val="00E82968"/>
    <w:rsid w:val="00E83344"/>
    <w:rsid w:val="00E83477"/>
    <w:rsid w:val="00E84231"/>
    <w:rsid w:val="00E84B56"/>
    <w:rsid w:val="00E8565D"/>
    <w:rsid w:val="00E87299"/>
    <w:rsid w:val="00E87CDC"/>
    <w:rsid w:val="00E90AFA"/>
    <w:rsid w:val="00E9152D"/>
    <w:rsid w:val="00E92AF2"/>
    <w:rsid w:val="00E959C7"/>
    <w:rsid w:val="00E96B67"/>
    <w:rsid w:val="00EA27C1"/>
    <w:rsid w:val="00EA33CD"/>
    <w:rsid w:val="00EA5995"/>
    <w:rsid w:val="00EA6798"/>
    <w:rsid w:val="00EB0655"/>
    <w:rsid w:val="00EB1927"/>
    <w:rsid w:val="00EB27BB"/>
    <w:rsid w:val="00EB4F58"/>
    <w:rsid w:val="00EB5600"/>
    <w:rsid w:val="00EB6C44"/>
    <w:rsid w:val="00EC0893"/>
    <w:rsid w:val="00EC1928"/>
    <w:rsid w:val="00EC1D11"/>
    <w:rsid w:val="00EC2322"/>
    <w:rsid w:val="00EC2581"/>
    <w:rsid w:val="00EC3379"/>
    <w:rsid w:val="00EC3CCA"/>
    <w:rsid w:val="00EC419E"/>
    <w:rsid w:val="00EC5B7F"/>
    <w:rsid w:val="00EC6548"/>
    <w:rsid w:val="00EC675A"/>
    <w:rsid w:val="00EC67A0"/>
    <w:rsid w:val="00EC6BDE"/>
    <w:rsid w:val="00EC7E07"/>
    <w:rsid w:val="00ED060E"/>
    <w:rsid w:val="00ED1916"/>
    <w:rsid w:val="00ED4CDF"/>
    <w:rsid w:val="00ED5F97"/>
    <w:rsid w:val="00ED6134"/>
    <w:rsid w:val="00ED65BF"/>
    <w:rsid w:val="00EE0334"/>
    <w:rsid w:val="00EE1975"/>
    <w:rsid w:val="00EE1CE2"/>
    <w:rsid w:val="00EE25B6"/>
    <w:rsid w:val="00EE2607"/>
    <w:rsid w:val="00EE4053"/>
    <w:rsid w:val="00EE54E4"/>
    <w:rsid w:val="00EE5569"/>
    <w:rsid w:val="00EE5BCF"/>
    <w:rsid w:val="00EE64DF"/>
    <w:rsid w:val="00EE696A"/>
    <w:rsid w:val="00EE7B6B"/>
    <w:rsid w:val="00EF1B2E"/>
    <w:rsid w:val="00EF2B80"/>
    <w:rsid w:val="00EF2C40"/>
    <w:rsid w:val="00EF3C98"/>
    <w:rsid w:val="00EF4E7B"/>
    <w:rsid w:val="00EF603F"/>
    <w:rsid w:val="00EF6701"/>
    <w:rsid w:val="00EF7692"/>
    <w:rsid w:val="00EF793A"/>
    <w:rsid w:val="00F019CB"/>
    <w:rsid w:val="00F020E0"/>
    <w:rsid w:val="00F031AA"/>
    <w:rsid w:val="00F03383"/>
    <w:rsid w:val="00F03AA6"/>
    <w:rsid w:val="00F0449C"/>
    <w:rsid w:val="00F0463F"/>
    <w:rsid w:val="00F049F9"/>
    <w:rsid w:val="00F05C83"/>
    <w:rsid w:val="00F063F6"/>
    <w:rsid w:val="00F0657D"/>
    <w:rsid w:val="00F0727E"/>
    <w:rsid w:val="00F10334"/>
    <w:rsid w:val="00F10E42"/>
    <w:rsid w:val="00F1118B"/>
    <w:rsid w:val="00F127BD"/>
    <w:rsid w:val="00F12ADE"/>
    <w:rsid w:val="00F1470C"/>
    <w:rsid w:val="00F14EAA"/>
    <w:rsid w:val="00F17466"/>
    <w:rsid w:val="00F20698"/>
    <w:rsid w:val="00F2209D"/>
    <w:rsid w:val="00F2272A"/>
    <w:rsid w:val="00F2360C"/>
    <w:rsid w:val="00F24811"/>
    <w:rsid w:val="00F24A20"/>
    <w:rsid w:val="00F27081"/>
    <w:rsid w:val="00F30ADB"/>
    <w:rsid w:val="00F317A7"/>
    <w:rsid w:val="00F32464"/>
    <w:rsid w:val="00F3256F"/>
    <w:rsid w:val="00F32637"/>
    <w:rsid w:val="00F33CD4"/>
    <w:rsid w:val="00F340EF"/>
    <w:rsid w:val="00F35C6E"/>
    <w:rsid w:val="00F40091"/>
    <w:rsid w:val="00F4062E"/>
    <w:rsid w:val="00F40BB2"/>
    <w:rsid w:val="00F42672"/>
    <w:rsid w:val="00F43870"/>
    <w:rsid w:val="00F43D4A"/>
    <w:rsid w:val="00F444CE"/>
    <w:rsid w:val="00F4726E"/>
    <w:rsid w:val="00F476BE"/>
    <w:rsid w:val="00F50E8F"/>
    <w:rsid w:val="00F50F92"/>
    <w:rsid w:val="00F54E50"/>
    <w:rsid w:val="00F5586C"/>
    <w:rsid w:val="00F577C6"/>
    <w:rsid w:val="00F578E9"/>
    <w:rsid w:val="00F60973"/>
    <w:rsid w:val="00F609F8"/>
    <w:rsid w:val="00F62302"/>
    <w:rsid w:val="00F62B98"/>
    <w:rsid w:val="00F62EFA"/>
    <w:rsid w:val="00F63E10"/>
    <w:rsid w:val="00F64CAB"/>
    <w:rsid w:val="00F67C58"/>
    <w:rsid w:val="00F70F3D"/>
    <w:rsid w:val="00F75414"/>
    <w:rsid w:val="00F75C6A"/>
    <w:rsid w:val="00F77718"/>
    <w:rsid w:val="00F779A2"/>
    <w:rsid w:val="00F77E73"/>
    <w:rsid w:val="00F80CC0"/>
    <w:rsid w:val="00F80F30"/>
    <w:rsid w:val="00F81CC3"/>
    <w:rsid w:val="00F81FA1"/>
    <w:rsid w:val="00F825FD"/>
    <w:rsid w:val="00F83A07"/>
    <w:rsid w:val="00F84351"/>
    <w:rsid w:val="00F845B6"/>
    <w:rsid w:val="00F863BA"/>
    <w:rsid w:val="00F874D8"/>
    <w:rsid w:val="00F900AB"/>
    <w:rsid w:val="00F92FCB"/>
    <w:rsid w:val="00F950E8"/>
    <w:rsid w:val="00F952EA"/>
    <w:rsid w:val="00F96A9D"/>
    <w:rsid w:val="00FA0CE4"/>
    <w:rsid w:val="00FA0FDE"/>
    <w:rsid w:val="00FA21CC"/>
    <w:rsid w:val="00FA2615"/>
    <w:rsid w:val="00FA28FA"/>
    <w:rsid w:val="00FA3B7C"/>
    <w:rsid w:val="00FA3DA7"/>
    <w:rsid w:val="00FA43CA"/>
    <w:rsid w:val="00FA4C49"/>
    <w:rsid w:val="00FA4E75"/>
    <w:rsid w:val="00FA4EE8"/>
    <w:rsid w:val="00FA581E"/>
    <w:rsid w:val="00FA633B"/>
    <w:rsid w:val="00FA686F"/>
    <w:rsid w:val="00FA6D9D"/>
    <w:rsid w:val="00FB0089"/>
    <w:rsid w:val="00FB1980"/>
    <w:rsid w:val="00FB25A6"/>
    <w:rsid w:val="00FB2FE4"/>
    <w:rsid w:val="00FB316D"/>
    <w:rsid w:val="00FB3990"/>
    <w:rsid w:val="00FB55D2"/>
    <w:rsid w:val="00FB5861"/>
    <w:rsid w:val="00FB7769"/>
    <w:rsid w:val="00FB7B3A"/>
    <w:rsid w:val="00FC01A2"/>
    <w:rsid w:val="00FC2062"/>
    <w:rsid w:val="00FC3362"/>
    <w:rsid w:val="00FC3985"/>
    <w:rsid w:val="00FC3994"/>
    <w:rsid w:val="00FC57D2"/>
    <w:rsid w:val="00FC6426"/>
    <w:rsid w:val="00FC7081"/>
    <w:rsid w:val="00FC7B9B"/>
    <w:rsid w:val="00FC7D7A"/>
    <w:rsid w:val="00FD0D78"/>
    <w:rsid w:val="00FD2E2D"/>
    <w:rsid w:val="00FD485C"/>
    <w:rsid w:val="00FD5A6D"/>
    <w:rsid w:val="00FE1B47"/>
    <w:rsid w:val="00FE364E"/>
    <w:rsid w:val="00FE3D42"/>
    <w:rsid w:val="00FE6CA9"/>
    <w:rsid w:val="00FE7396"/>
    <w:rsid w:val="00FF049D"/>
    <w:rsid w:val="00FF2329"/>
    <w:rsid w:val="00FF4883"/>
    <w:rsid w:val="00FF5279"/>
    <w:rsid w:val="00FF5B61"/>
    <w:rsid w:val="00FF6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4A7EDAFD"/>
  <w15:chartTrackingRefBased/>
  <w15:docId w15:val="{EEA996B9-4E95-43E6-B8AC-AB54D65BF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43CA"/>
    <w:pPr>
      <w:tabs>
        <w:tab w:val="left" w:pos="1440"/>
        <w:tab w:val="center" w:pos="4320"/>
        <w:tab w:val="right" w:pos="9072"/>
      </w:tabs>
      <w:snapToGrid w:val="0"/>
    </w:pPr>
    <w:rPr>
      <w:sz w:val="28"/>
    </w:rPr>
  </w:style>
  <w:style w:type="paragraph" w:styleId="Heading1">
    <w:name w:val="heading 1"/>
    <w:basedOn w:val="Normal"/>
    <w:next w:val="Normal"/>
    <w:qFormat/>
    <w:rsid w:val="00FA43CA"/>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rsid w:val="00FA43CA"/>
    <w:pPr>
      <w:keepNext/>
      <w:snapToGrid/>
      <w:outlineLvl w:val="1"/>
    </w:pPr>
    <w:rPr>
      <w:b/>
      <w:bCs/>
      <w:sz w:val="20"/>
      <w:szCs w:val="24"/>
    </w:rPr>
  </w:style>
  <w:style w:type="paragraph" w:styleId="Heading3">
    <w:name w:val="heading 3"/>
    <w:basedOn w:val="Normal"/>
    <w:next w:val="Normal"/>
    <w:qFormat/>
    <w:rsid w:val="00FA43CA"/>
    <w:pPr>
      <w:keepNext/>
      <w:snapToGrid/>
      <w:jc w:val="center"/>
      <w:outlineLvl w:val="2"/>
    </w:pPr>
    <w:rPr>
      <w:b/>
      <w:bCs/>
      <w:sz w:val="20"/>
      <w:szCs w:val="24"/>
    </w:rPr>
  </w:style>
  <w:style w:type="paragraph" w:styleId="Heading4">
    <w:name w:val="heading 4"/>
    <w:basedOn w:val="Normal"/>
    <w:next w:val="Normal"/>
    <w:qFormat/>
    <w:rsid w:val="00FA43CA"/>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rsid w:val="00FA43CA"/>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FA43CA"/>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rsid w:val="00FA43CA"/>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rsid w:val="00FA43CA"/>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FA43CA"/>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FA43CA"/>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link w:val="HeaderChar"/>
    <w:rsid w:val="00FA43CA"/>
    <w:pPr>
      <w:tabs>
        <w:tab w:val="center" w:pos="4153"/>
        <w:tab w:val="right" w:pos="8306"/>
      </w:tabs>
      <w:jc w:val="center"/>
    </w:pPr>
    <w:rPr>
      <w:sz w:val="18"/>
      <w:lang w:val="x-none" w:eastAsia="x-none"/>
    </w:rPr>
  </w:style>
  <w:style w:type="character" w:customStyle="1" w:styleId="HeaderChar">
    <w:name w:val="Header Char"/>
    <w:link w:val="Header"/>
    <w:uiPriority w:val="99"/>
    <w:rsid w:val="004F5E0D"/>
    <w:rPr>
      <w:sz w:val="18"/>
    </w:rPr>
  </w:style>
  <w:style w:type="paragraph" w:customStyle="1" w:styleId="altd">
    <w:name w:val="altd"/>
    <w:basedOn w:val="Normal"/>
    <w:rsid w:val="00FA43CA"/>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FA43CA"/>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FA43CA"/>
    <w:rPr>
      <w:b w:val="0"/>
    </w:rPr>
  </w:style>
  <w:style w:type="paragraph" w:customStyle="1" w:styleId="normal3">
    <w:name w:val="normal3"/>
    <w:basedOn w:val="Normal"/>
    <w:rsid w:val="00FA43CA"/>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FA43CA"/>
    <w:pPr>
      <w:spacing w:line="240" w:lineRule="auto"/>
      <w:jc w:val="right"/>
    </w:pPr>
    <w:rPr>
      <w:b w:val="0"/>
    </w:rPr>
  </w:style>
  <w:style w:type="paragraph" w:styleId="Footer">
    <w:name w:val="footer"/>
    <w:basedOn w:val="Normal"/>
    <w:link w:val="FooterChar"/>
    <w:rsid w:val="00FA43CA"/>
    <w:pPr>
      <w:tabs>
        <w:tab w:val="center" w:pos="4153"/>
        <w:tab w:val="right" w:pos="8306"/>
      </w:tabs>
    </w:pPr>
    <w:rPr>
      <w:sz w:val="20"/>
    </w:rPr>
  </w:style>
  <w:style w:type="character" w:customStyle="1" w:styleId="FooterChar">
    <w:name w:val="Footer Char"/>
    <w:basedOn w:val="DefaultParagraphFont"/>
    <w:link w:val="Footer"/>
    <w:uiPriority w:val="99"/>
    <w:rsid w:val="004F5E0D"/>
  </w:style>
  <w:style w:type="character" w:styleId="PageNumber">
    <w:name w:val="page number"/>
    <w:basedOn w:val="DefaultParagraphFont"/>
    <w:semiHidden/>
    <w:rsid w:val="00FA43CA"/>
  </w:style>
  <w:style w:type="paragraph" w:customStyle="1" w:styleId="Draft">
    <w:name w:val="Draft"/>
    <w:basedOn w:val="Normal"/>
    <w:rsid w:val="00FA43CA"/>
    <w:pPr>
      <w:spacing w:line="600" w:lineRule="exact"/>
    </w:pPr>
  </w:style>
  <w:style w:type="paragraph" w:customStyle="1" w:styleId="Final">
    <w:name w:val="Final"/>
    <w:basedOn w:val="Draft"/>
    <w:rsid w:val="00FA43CA"/>
    <w:pPr>
      <w:spacing w:line="360" w:lineRule="auto"/>
    </w:pPr>
  </w:style>
  <w:style w:type="paragraph" w:customStyle="1" w:styleId="Quotation">
    <w:name w:val="Quotation"/>
    <w:basedOn w:val="Normal"/>
    <w:rsid w:val="00FA43CA"/>
    <w:pPr>
      <w:tabs>
        <w:tab w:val="left" w:pos="1872"/>
        <w:tab w:val="left" w:pos="2304"/>
      </w:tabs>
      <w:spacing w:before="240"/>
      <w:ind w:left="1440" w:right="720"/>
    </w:pPr>
    <w:rPr>
      <w:kern w:val="2"/>
      <w:sz w:val="24"/>
    </w:rPr>
  </w:style>
  <w:style w:type="paragraph" w:customStyle="1" w:styleId="Hanging">
    <w:name w:val="Hanging"/>
    <w:basedOn w:val="Normal"/>
    <w:rsid w:val="00FA43CA"/>
    <w:pPr>
      <w:snapToGrid/>
      <w:spacing w:before="120" w:line="440" w:lineRule="exact"/>
      <w:ind w:left="1440" w:hanging="720"/>
    </w:pPr>
    <w:rPr>
      <w:kern w:val="2"/>
    </w:rPr>
  </w:style>
  <w:style w:type="paragraph" w:customStyle="1" w:styleId="hspace">
    <w:name w:val="hspace"/>
    <w:basedOn w:val="Normal"/>
    <w:rsid w:val="00FA43CA"/>
    <w:pPr>
      <w:spacing w:line="200" w:lineRule="exact"/>
    </w:pPr>
  </w:style>
  <w:style w:type="paragraph" w:customStyle="1" w:styleId="Heading">
    <w:name w:val="Heading"/>
    <w:basedOn w:val="Normal"/>
    <w:rsid w:val="00FA43CA"/>
    <w:pPr>
      <w:spacing w:line="360" w:lineRule="auto"/>
    </w:pPr>
  </w:style>
  <w:style w:type="paragraph" w:customStyle="1" w:styleId="Indent3">
    <w:name w:val="Indent3"/>
    <w:basedOn w:val="Normal"/>
    <w:rsid w:val="00FA43CA"/>
    <w:pPr>
      <w:ind w:left="4320"/>
    </w:pPr>
  </w:style>
  <w:style w:type="paragraph" w:styleId="BlockText">
    <w:name w:val="Block Text"/>
    <w:basedOn w:val="Normal"/>
    <w:semiHidden/>
    <w:rsid w:val="00FA43CA"/>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FA43CA"/>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link w:val="BodyTextChar"/>
    <w:uiPriority w:val="99"/>
    <w:rsid w:val="00FA43CA"/>
    <w:pPr>
      <w:tabs>
        <w:tab w:val="clear" w:pos="1440"/>
        <w:tab w:val="clear" w:pos="4320"/>
        <w:tab w:val="clear" w:pos="9072"/>
      </w:tabs>
      <w:snapToGrid/>
      <w:spacing w:line="360" w:lineRule="auto"/>
    </w:pPr>
    <w:rPr>
      <w:lang w:val="en-GB" w:eastAsia="x-none"/>
    </w:rPr>
  </w:style>
  <w:style w:type="character" w:customStyle="1" w:styleId="BodyTextChar">
    <w:name w:val="Body Text Char"/>
    <w:link w:val="BodyText"/>
    <w:uiPriority w:val="99"/>
    <w:rsid w:val="008C5EB6"/>
    <w:rPr>
      <w:sz w:val="28"/>
      <w:lang w:val="en-GB"/>
    </w:rPr>
  </w:style>
  <w:style w:type="paragraph" w:styleId="BodyTextIndent2">
    <w:name w:val="Body Text Indent 2"/>
    <w:basedOn w:val="Normal"/>
    <w:semiHidden/>
    <w:rsid w:val="00FA43CA"/>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FA43CA"/>
    <w:pPr>
      <w:spacing w:line="480" w:lineRule="auto"/>
      <w:jc w:val="both"/>
    </w:pPr>
    <w:rPr>
      <w:sz w:val="26"/>
    </w:rPr>
  </w:style>
  <w:style w:type="paragraph" w:styleId="BodyTextIndent3">
    <w:name w:val="Body Text Indent 3"/>
    <w:basedOn w:val="Normal"/>
    <w:semiHidden/>
    <w:rsid w:val="00FA43CA"/>
    <w:pPr>
      <w:tabs>
        <w:tab w:val="clear" w:pos="4320"/>
      </w:tabs>
      <w:ind w:left="1120" w:hanging="1120"/>
    </w:pPr>
    <w:rPr>
      <w:sz w:val="26"/>
    </w:rPr>
  </w:style>
  <w:style w:type="paragraph" w:styleId="Title">
    <w:name w:val="Title"/>
    <w:basedOn w:val="Normal"/>
    <w:link w:val="TitleChar"/>
    <w:uiPriority w:val="10"/>
    <w:qFormat/>
    <w:rsid w:val="00FA43CA"/>
    <w:pPr>
      <w:tabs>
        <w:tab w:val="clear" w:pos="1440"/>
        <w:tab w:val="clear" w:pos="4320"/>
        <w:tab w:val="clear" w:pos="9072"/>
      </w:tabs>
      <w:snapToGrid/>
      <w:spacing w:line="360" w:lineRule="auto"/>
      <w:jc w:val="center"/>
    </w:pPr>
    <w:rPr>
      <w:b/>
      <w:sz w:val="24"/>
      <w:u w:val="single"/>
      <w:lang w:val="x-none" w:eastAsia="x-none"/>
    </w:rPr>
  </w:style>
  <w:style w:type="paragraph" w:styleId="BodyText3">
    <w:name w:val="Body Text 3"/>
    <w:basedOn w:val="Normal"/>
    <w:semiHidden/>
    <w:rsid w:val="00FA43CA"/>
    <w:pPr>
      <w:tabs>
        <w:tab w:val="clear" w:pos="4320"/>
        <w:tab w:val="clear" w:pos="9072"/>
      </w:tabs>
      <w:spacing w:line="360" w:lineRule="auto"/>
      <w:ind w:right="46"/>
      <w:jc w:val="both"/>
    </w:pPr>
  </w:style>
  <w:style w:type="paragraph" w:styleId="ListParagraph">
    <w:name w:val="List Paragraph"/>
    <w:basedOn w:val="Normal"/>
    <w:uiPriority w:val="34"/>
    <w:qFormat/>
    <w:rsid w:val="00D82C4D"/>
    <w:pPr>
      <w:ind w:left="720"/>
    </w:pPr>
  </w:style>
  <w:style w:type="table" w:styleId="TableGrid">
    <w:name w:val="Table Grid"/>
    <w:basedOn w:val="TableNormal"/>
    <w:uiPriority w:val="59"/>
    <w:rsid w:val="00637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8C5EB6"/>
  </w:style>
  <w:style w:type="paragraph" w:styleId="BalloonText">
    <w:name w:val="Balloon Text"/>
    <w:basedOn w:val="Normal"/>
    <w:link w:val="BalloonTextChar"/>
    <w:uiPriority w:val="99"/>
    <w:semiHidden/>
    <w:unhideWhenUsed/>
    <w:rsid w:val="00A24C5B"/>
    <w:rPr>
      <w:rFonts w:ascii="Tahoma" w:hAnsi="Tahoma"/>
      <w:sz w:val="16"/>
      <w:szCs w:val="16"/>
      <w:lang w:val="x-none" w:eastAsia="x-none"/>
    </w:rPr>
  </w:style>
  <w:style w:type="character" w:customStyle="1" w:styleId="BalloonTextChar">
    <w:name w:val="Balloon Text Char"/>
    <w:link w:val="BalloonText"/>
    <w:uiPriority w:val="99"/>
    <w:semiHidden/>
    <w:rsid w:val="00A24C5B"/>
    <w:rPr>
      <w:rFonts w:ascii="Tahoma" w:hAnsi="Tahoma" w:cs="Tahoma"/>
      <w:sz w:val="16"/>
      <w:szCs w:val="16"/>
    </w:rPr>
  </w:style>
  <w:style w:type="paragraph" w:styleId="NormalWeb">
    <w:name w:val="Normal (Web)"/>
    <w:basedOn w:val="Normal"/>
    <w:uiPriority w:val="99"/>
    <w:unhideWhenUsed/>
    <w:rsid w:val="00736929"/>
    <w:pPr>
      <w:tabs>
        <w:tab w:val="clear" w:pos="1440"/>
        <w:tab w:val="clear" w:pos="4320"/>
        <w:tab w:val="clear" w:pos="9072"/>
      </w:tabs>
      <w:snapToGrid/>
      <w:spacing w:before="100" w:beforeAutospacing="1" w:after="100" w:afterAutospacing="1"/>
    </w:pPr>
    <w:rPr>
      <w:rFonts w:eastAsia="Times New Roman"/>
      <w:color w:val="000000"/>
      <w:sz w:val="24"/>
      <w:szCs w:val="24"/>
    </w:rPr>
  </w:style>
  <w:style w:type="paragraph" w:customStyle="1" w:styleId="Bob1">
    <w:name w:val="Bob1"/>
    <w:rsid w:val="003C33E4"/>
    <w:pPr>
      <w:numPr>
        <w:numId w:val="2"/>
      </w:numPr>
      <w:tabs>
        <w:tab w:val="left" w:pos="1440"/>
      </w:tabs>
      <w:overflowPunct w:val="0"/>
      <w:autoSpaceDE w:val="0"/>
      <w:autoSpaceDN w:val="0"/>
      <w:snapToGrid w:val="0"/>
      <w:spacing w:after="240" w:line="360" w:lineRule="auto"/>
      <w:jc w:val="both"/>
    </w:pPr>
    <w:rPr>
      <w:rFonts w:eastAsia="PMingLiU"/>
      <w:sz w:val="28"/>
      <w:lang w:val="en-GB" w:eastAsia="en-US"/>
    </w:rPr>
  </w:style>
  <w:style w:type="character" w:styleId="Hyperlink">
    <w:name w:val="Hyperlink"/>
    <w:uiPriority w:val="99"/>
    <w:unhideWhenUsed/>
    <w:rsid w:val="00FC3985"/>
    <w:rPr>
      <w:rFonts w:ascii="Arial" w:hAnsi="Arial" w:cs="Arial" w:hint="default"/>
      <w:strike w:val="0"/>
      <w:dstrike w:val="0"/>
      <w:color w:val="0000CC"/>
      <w:sz w:val="24"/>
      <w:szCs w:val="24"/>
      <w:u w:val="none"/>
      <w:effect w:val="none"/>
    </w:rPr>
  </w:style>
  <w:style w:type="paragraph" w:styleId="PlainText">
    <w:name w:val="Plain Text"/>
    <w:basedOn w:val="Normal"/>
    <w:link w:val="PlainTextChar"/>
    <w:uiPriority w:val="99"/>
    <w:unhideWhenUsed/>
    <w:rsid w:val="00E57B50"/>
    <w:pPr>
      <w:tabs>
        <w:tab w:val="clear" w:pos="1440"/>
        <w:tab w:val="clear" w:pos="4320"/>
        <w:tab w:val="clear" w:pos="9072"/>
      </w:tabs>
      <w:snapToGrid/>
      <w:spacing w:before="100" w:beforeAutospacing="1" w:after="100" w:afterAutospacing="1"/>
    </w:pPr>
    <w:rPr>
      <w:rFonts w:eastAsia="Times New Roman"/>
      <w:sz w:val="24"/>
      <w:szCs w:val="24"/>
      <w:lang w:val="x-none" w:eastAsia="x-none"/>
    </w:rPr>
  </w:style>
  <w:style w:type="character" w:customStyle="1" w:styleId="PlainTextChar">
    <w:name w:val="Plain Text Char"/>
    <w:link w:val="PlainText"/>
    <w:uiPriority w:val="99"/>
    <w:rsid w:val="00E57B50"/>
    <w:rPr>
      <w:rFonts w:eastAsia="Times New Roman"/>
      <w:sz w:val="24"/>
      <w:szCs w:val="24"/>
    </w:rPr>
  </w:style>
  <w:style w:type="paragraph" w:customStyle="1" w:styleId="para">
    <w:name w:val="para"/>
    <w:rsid w:val="00AB3E10"/>
    <w:pPr>
      <w:numPr>
        <w:numId w:val="3"/>
      </w:numPr>
      <w:tabs>
        <w:tab w:val="clear" w:pos="360"/>
        <w:tab w:val="num" w:pos="1400"/>
      </w:tabs>
      <w:snapToGrid w:val="0"/>
      <w:spacing w:before="480" w:line="360" w:lineRule="auto"/>
    </w:pPr>
    <w:rPr>
      <w:sz w:val="28"/>
      <w:lang w:val="en-GB"/>
    </w:rPr>
  </w:style>
  <w:style w:type="paragraph" w:customStyle="1" w:styleId="StanleyLegal">
    <w:name w:val="Stanley Legal"/>
    <w:basedOn w:val="Normal"/>
    <w:link w:val="StanleyLegal0"/>
    <w:qFormat/>
    <w:rsid w:val="004F5E0D"/>
    <w:pPr>
      <w:widowControl w:val="0"/>
      <w:tabs>
        <w:tab w:val="clear" w:pos="1440"/>
        <w:tab w:val="clear" w:pos="4320"/>
        <w:tab w:val="clear" w:pos="9072"/>
      </w:tabs>
      <w:snapToGrid/>
      <w:jc w:val="both"/>
    </w:pPr>
    <w:rPr>
      <w:kern w:val="2"/>
      <w:sz w:val="26"/>
      <w:szCs w:val="26"/>
      <w:lang w:val="x-none" w:eastAsia="zh-TW"/>
    </w:rPr>
  </w:style>
  <w:style w:type="character" w:customStyle="1" w:styleId="StanleyLegal0">
    <w:name w:val="Stanley Legal 字元"/>
    <w:link w:val="StanleyLegal"/>
    <w:rsid w:val="004F5E0D"/>
    <w:rPr>
      <w:rFonts w:eastAsia="宋体"/>
      <w:kern w:val="2"/>
      <w:sz w:val="26"/>
      <w:szCs w:val="26"/>
      <w:lang w:eastAsia="zh-TW"/>
    </w:rPr>
  </w:style>
  <w:style w:type="paragraph" w:styleId="FootnoteText">
    <w:name w:val="footnote text"/>
    <w:basedOn w:val="Normal"/>
    <w:link w:val="FootnoteTextChar"/>
    <w:uiPriority w:val="99"/>
    <w:unhideWhenUsed/>
    <w:rsid w:val="00B45A3B"/>
    <w:pPr>
      <w:widowControl w:val="0"/>
      <w:tabs>
        <w:tab w:val="clear" w:pos="1440"/>
        <w:tab w:val="clear" w:pos="4320"/>
        <w:tab w:val="clear" w:pos="9072"/>
      </w:tabs>
      <w:snapToGrid/>
    </w:pPr>
    <w:rPr>
      <w:rFonts w:ascii="Calibri" w:eastAsia="PMingLiU" w:hAnsi="Calibri"/>
      <w:kern w:val="2"/>
      <w:sz w:val="24"/>
      <w:szCs w:val="24"/>
      <w:lang w:val="x-none" w:eastAsia="zh-TW"/>
    </w:rPr>
  </w:style>
  <w:style w:type="character" w:customStyle="1" w:styleId="FootnoteTextChar">
    <w:name w:val="Footnote Text Char"/>
    <w:link w:val="FootnoteText"/>
    <w:uiPriority w:val="99"/>
    <w:rsid w:val="00B45A3B"/>
    <w:rPr>
      <w:rFonts w:ascii="Calibri" w:eastAsia="PMingLiU" w:hAnsi="Calibri" w:cs="Calibri"/>
      <w:kern w:val="2"/>
      <w:sz w:val="24"/>
      <w:szCs w:val="24"/>
      <w:lang w:eastAsia="zh-TW"/>
    </w:rPr>
  </w:style>
  <w:style w:type="character" w:styleId="FootnoteReference">
    <w:name w:val="footnote reference"/>
    <w:uiPriority w:val="99"/>
    <w:unhideWhenUsed/>
    <w:rsid w:val="00B45A3B"/>
    <w:rPr>
      <w:vertAlign w:val="superscript"/>
    </w:rPr>
  </w:style>
  <w:style w:type="paragraph" w:customStyle="1" w:styleId="T-Draft">
    <w:name w:val="T-Draft"/>
    <w:basedOn w:val="Normal"/>
    <w:rsid w:val="00B45A3B"/>
    <w:pPr>
      <w:numPr>
        <w:numId w:val="4"/>
      </w:numPr>
      <w:tabs>
        <w:tab w:val="clear" w:pos="1440"/>
        <w:tab w:val="clear" w:pos="4320"/>
        <w:tab w:val="clear" w:pos="9072"/>
        <w:tab w:val="num" w:pos="1400"/>
      </w:tabs>
      <w:spacing w:before="480" w:line="360" w:lineRule="auto"/>
      <w:jc w:val="both"/>
    </w:pPr>
    <w:rPr>
      <w:lang w:val="en-GB"/>
    </w:rPr>
  </w:style>
  <w:style w:type="paragraph" w:customStyle="1" w:styleId="T-Quote">
    <w:name w:val="T-Quote"/>
    <w:basedOn w:val="Normal"/>
    <w:rsid w:val="00B45A3B"/>
    <w:pPr>
      <w:tabs>
        <w:tab w:val="clear" w:pos="1440"/>
        <w:tab w:val="clear" w:pos="4320"/>
        <w:tab w:val="clear" w:pos="9072"/>
        <w:tab w:val="left" w:pos="1985"/>
      </w:tabs>
      <w:adjustRightInd w:val="0"/>
      <w:spacing w:before="120" w:after="120"/>
      <w:ind w:left="1418" w:right="737"/>
      <w:jc w:val="both"/>
    </w:pPr>
    <w:rPr>
      <w:sz w:val="24"/>
      <w:lang w:val="en-GB"/>
    </w:rPr>
  </w:style>
  <w:style w:type="paragraph" w:styleId="EnvelopeReturn">
    <w:name w:val="envelope return"/>
    <w:basedOn w:val="Normal"/>
    <w:uiPriority w:val="99"/>
    <w:semiHidden/>
    <w:unhideWhenUsed/>
    <w:rsid w:val="00B45A3B"/>
    <w:pPr>
      <w:widowControl w:val="0"/>
      <w:tabs>
        <w:tab w:val="clear" w:pos="1440"/>
        <w:tab w:val="clear" w:pos="4320"/>
        <w:tab w:val="clear" w:pos="9072"/>
      </w:tabs>
      <w:snapToGrid/>
    </w:pPr>
    <w:rPr>
      <w:rFonts w:ascii="Cambria" w:hAnsi="Cambria"/>
      <w:kern w:val="2"/>
      <w:sz w:val="20"/>
      <w:lang w:eastAsia="zh-TW"/>
    </w:rPr>
  </w:style>
  <w:style w:type="character" w:customStyle="1" w:styleId="TitleChar">
    <w:name w:val="Title Char"/>
    <w:link w:val="Title"/>
    <w:uiPriority w:val="10"/>
    <w:rsid w:val="00B45A3B"/>
    <w:rPr>
      <w:b/>
      <w:sz w:val="24"/>
      <w:u w:val="single"/>
    </w:rPr>
  </w:style>
  <w:style w:type="character" w:styleId="PlaceholderText">
    <w:name w:val="Placeholder Text"/>
    <w:uiPriority w:val="99"/>
    <w:semiHidden/>
    <w:rsid w:val="00262402"/>
    <w:rPr>
      <w:color w:val="808080"/>
    </w:rPr>
  </w:style>
  <w:style w:type="character" w:customStyle="1" w:styleId="st1">
    <w:name w:val="st1"/>
    <w:basedOn w:val="DefaultParagraphFont"/>
    <w:rsid w:val="00105A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14123">
      <w:bodyDiv w:val="1"/>
      <w:marLeft w:val="0"/>
      <w:marRight w:val="0"/>
      <w:marTop w:val="0"/>
      <w:marBottom w:val="0"/>
      <w:divBdr>
        <w:top w:val="none" w:sz="0" w:space="0" w:color="auto"/>
        <w:left w:val="none" w:sz="0" w:space="0" w:color="auto"/>
        <w:bottom w:val="none" w:sz="0" w:space="0" w:color="auto"/>
        <w:right w:val="none" w:sz="0" w:space="0" w:color="auto"/>
      </w:divBdr>
      <w:divsChild>
        <w:div w:id="543370230">
          <w:marLeft w:val="0"/>
          <w:marRight w:val="0"/>
          <w:marTop w:val="0"/>
          <w:marBottom w:val="136"/>
          <w:divBdr>
            <w:top w:val="none" w:sz="0" w:space="0" w:color="auto"/>
            <w:left w:val="none" w:sz="0" w:space="0" w:color="auto"/>
            <w:bottom w:val="none" w:sz="0" w:space="0" w:color="auto"/>
            <w:right w:val="none" w:sz="0" w:space="0" w:color="auto"/>
          </w:divBdr>
          <w:divsChild>
            <w:div w:id="103935710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255985836">
      <w:bodyDiv w:val="1"/>
      <w:marLeft w:val="0"/>
      <w:marRight w:val="0"/>
      <w:marTop w:val="0"/>
      <w:marBottom w:val="0"/>
      <w:divBdr>
        <w:top w:val="none" w:sz="0" w:space="0" w:color="auto"/>
        <w:left w:val="none" w:sz="0" w:space="0" w:color="auto"/>
        <w:bottom w:val="none" w:sz="0" w:space="0" w:color="auto"/>
        <w:right w:val="none" w:sz="0" w:space="0" w:color="auto"/>
      </w:divBdr>
      <w:divsChild>
        <w:div w:id="780876354">
          <w:marLeft w:val="0"/>
          <w:marRight w:val="0"/>
          <w:marTop w:val="0"/>
          <w:marBottom w:val="136"/>
          <w:divBdr>
            <w:top w:val="none" w:sz="0" w:space="0" w:color="auto"/>
            <w:left w:val="none" w:sz="0" w:space="0" w:color="auto"/>
            <w:bottom w:val="none" w:sz="0" w:space="0" w:color="auto"/>
            <w:right w:val="none" w:sz="0" w:space="0" w:color="auto"/>
          </w:divBdr>
          <w:divsChild>
            <w:div w:id="105493517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491678551">
      <w:bodyDiv w:val="1"/>
      <w:marLeft w:val="0"/>
      <w:marRight w:val="0"/>
      <w:marTop w:val="0"/>
      <w:marBottom w:val="0"/>
      <w:divBdr>
        <w:top w:val="none" w:sz="0" w:space="0" w:color="auto"/>
        <w:left w:val="none" w:sz="0" w:space="0" w:color="auto"/>
        <w:bottom w:val="none" w:sz="0" w:space="0" w:color="auto"/>
        <w:right w:val="none" w:sz="0" w:space="0" w:color="auto"/>
      </w:divBdr>
      <w:divsChild>
        <w:div w:id="471682654">
          <w:marLeft w:val="0"/>
          <w:marRight w:val="0"/>
          <w:marTop w:val="0"/>
          <w:marBottom w:val="125"/>
          <w:divBdr>
            <w:top w:val="none" w:sz="0" w:space="0" w:color="auto"/>
            <w:left w:val="none" w:sz="0" w:space="0" w:color="auto"/>
            <w:bottom w:val="none" w:sz="0" w:space="0" w:color="auto"/>
            <w:right w:val="none" w:sz="0" w:space="0" w:color="auto"/>
          </w:divBdr>
          <w:divsChild>
            <w:div w:id="65106414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591859040">
      <w:bodyDiv w:val="1"/>
      <w:marLeft w:val="0"/>
      <w:marRight w:val="0"/>
      <w:marTop w:val="0"/>
      <w:marBottom w:val="0"/>
      <w:divBdr>
        <w:top w:val="none" w:sz="0" w:space="0" w:color="auto"/>
        <w:left w:val="none" w:sz="0" w:space="0" w:color="auto"/>
        <w:bottom w:val="none" w:sz="0" w:space="0" w:color="auto"/>
        <w:right w:val="none" w:sz="0" w:space="0" w:color="auto"/>
      </w:divBdr>
      <w:divsChild>
        <w:div w:id="503513706">
          <w:marLeft w:val="0"/>
          <w:marRight w:val="0"/>
          <w:marTop w:val="0"/>
          <w:marBottom w:val="125"/>
          <w:divBdr>
            <w:top w:val="none" w:sz="0" w:space="0" w:color="auto"/>
            <w:left w:val="none" w:sz="0" w:space="0" w:color="auto"/>
            <w:bottom w:val="none" w:sz="0" w:space="0" w:color="auto"/>
            <w:right w:val="none" w:sz="0" w:space="0" w:color="auto"/>
          </w:divBdr>
          <w:divsChild>
            <w:div w:id="212141296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613900950">
      <w:bodyDiv w:val="1"/>
      <w:marLeft w:val="0"/>
      <w:marRight w:val="0"/>
      <w:marTop w:val="0"/>
      <w:marBottom w:val="0"/>
      <w:divBdr>
        <w:top w:val="none" w:sz="0" w:space="0" w:color="auto"/>
        <w:left w:val="none" w:sz="0" w:space="0" w:color="auto"/>
        <w:bottom w:val="none" w:sz="0" w:space="0" w:color="auto"/>
        <w:right w:val="none" w:sz="0" w:space="0" w:color="auto"/>
      </w:divBdr>
      <w:divsChild>
        <w:div w:id="1831946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207635">
      <w:bodyDiv w:val="1"/>
      <w:marLeft w:val="0"/>
      <w:marRight w:val="0"/>
      <w:marTop w:val="0"/>
      <w:marBottom w:val="0"/>
      <w:divBdr>
        <w:top w:val="none" w:sz="0" w:space="0" w:color="auto"/>
        <w:left w:val="none" w:sz="0" w:space="0" w:color="auto"/>
        <w:bottom w:val="none" w:sz="0" w:space="0" w:color="auto"/>
        <w:right w:val="none" w:sz="0" w:space="0" w:color="auto"/>
      </w:divBdr>
      <w:divsChild>
        <w:div w:id="944531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7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33AD80039F944C8B6AB8FF1F398BE7B"/>
        <w:category>
          <w:name w:val="General"/>
          <w:gallery w:val="placeholder"/>
        </w:category>
        <w:types>
          <w:type w:val="bbPlcHdr"/>
        </w:types>
        <w:behaviors>
          <w:behavior w:val="content"/>
        </w:behaviors>
        <w:guid w:val="{83A895FA-4970-4EB6-AD9D-5B9B01AB6D0C}"/>
      </w:docPartPr>
      <w:docPartBody>
        <w:p w:rsidR="005A16E3" w:rsidRDefault="00A029E8" w:rsidP="00A029E8">
          <w:pPr>
            <w:pStyle w:val="633AD80039F944C8B6AB8FF1F398BE7B"/>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55B"/>
    <w:rsid w:val="00006D97"/>
    <w:rsid w:val="00154DCA"/>
    <w:rsid w:val="0034786C"/>
    <w:rsid w:val="00364719"/>
    <w:rsid w:val="004477D8"/>
    <w:rsid w:val="005A16E3"/>
    <w:rsid w:val="005C655B"/>
    <w:rsid w:val="0066471D"/>
    <w:rsid w:val="006B1D91"/>
    <w:rsid w:val="008B1155"/>
    <w:rsid w:val="008B4EBB"/>
    <w:rsid w:val="00A029E8"/>
    <w:rsid w:val="00A87158"/>
    <w:rsid w:val="00AE2074"/>
    <w:rsid w:val="00B6383D"/>
    <w:rsid w:val="00C51C51"/>
    <w:rsid w:val="00C9454D"/>
    <w:rsid w:val="00E269C5"/>
    <w:rsid w:val="00E86F31"/>
    <w:rsid w:val="00EE5CF0"/>
    <w:rsid w:val="00F275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A029E8"/>
    <w:rPr>
      <w:color w:val="808080"/>
    </w:rPr>
  </w:style>
  <w:style w:type="paragraph" w:customStyle="1" w:styleId="63AC2C27B80C451B9FBE364A03AD9905">
    <w:name w:val="63AC2C27B80C451B9FBE364A03AD9905"/>
    <w:rsid w:val="005C655B"/>
  </w:style>
  <w:style w:type="paragraph" w:customStyle="1" w:styleId="633AD80039F944C8B6AB8FF1F398BE7B">
    <w:name w:val="633AD80039F944C8B6AB8FF1F398BE7B"/>
    <w:rsid w:val="00A029E8"/>
    <w:rPr>
      <w:rFonts w:eastAsia="宋体"/>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641F9D-AA76-46AF-86D5-28D126ED7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4</TotalTime>
  <Pages>22</Pages>
  <Words>5358</Words>
  <Characters>25368</Characters>
  <Application>Microsoft Office Word</Application>
  <DocSecurity>0</DocSecurity>
  <Lines>211</Lines>
  <Paragraphs>61</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30665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3</cp:revision>
  <cp:lastPrinted>2021-03-30T06:07:00Z</cp:lastPrinted>
  <dcterms:created xsi:type="dcterms:W3CDTF">2021-03-30T06:07:00Z</dcterms:created>
  <dcterms:modified xsi:type="dcterms:W3CDTF">2021-03-30T06:11:00Z</dcterms:modified>
</cp:coreProperties>
</file>