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1505/2007</w:t>
      </w:r>
    </w:p>
    <w:p w:rsidR="009C17EC" w:rsidRDefault="009C17EC">
      <w:pPr>
        <w:tabs>
          <w:tab w:val="clear" w:pos="1440"/>
          <w:tab w:val="clear" w:pos="4320"/>
          <w:tab w:val="clear" w:pos="9072"/>
        </w:tabs>
        <w:spacing w:line="360" w:lineRule="auto"/>
        <w:jc w:val="both"/>
        <w:rPr>
          <w:rFonts w:hint="eastAsia"/>
          <w:szCs w:val="23"/>
          <w:lang w:val="en-GB"/>
        </w:rPr>
      </w:pPr>
    </w:p>
    <w:p w:rsidR="009C17EC" w:rsidRDefault="009C17EC">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9C17EC" w:rsidRDefault="009C17EC">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9C17EC" w:rsidRDefault="009C17EC">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1505 OF 2007</w:t>
      </w:r>
    </w:p>
    <w:p w:rsidR="009C17EC" w:rsidRDefault="009C17EC">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9C17EC" w:rsidRDefault="009C17EC">
      <w:pPr>
        <w:tabs>
          <w:tab w:val="clear" w:pos="1440"/>
          <w:tab w:val="clear" w:pos="4320"/>
          <w:tab w:val="clear" w:pos="9072"/>
        </w:tabs>
        <w:spacing w:line="360" w:lineRule="auto"/>
        <w:jc w:val="both"/>
        <w:rPr>
          <w:rFonts w:hint="eastAsia"/>
          <w:szCs w:val="23"/>
          <w:lang w:val="en-GB"/>
        </w:rPr>
      </w:pPr>
    </w:p>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FAZAL DAD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9C17EC" w:rsidRDefault="009C17EC">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FEDERAL SECURITIES LIMITED</w:t>
      </w:r>
      <w:r>
        <w:rPr>
          <w:rFonts w:hint="eastAsia"/>
          <w:szCs w:val="23"/>
          <w:lang w:val="en-GB"/>
        </w:rPr>
        <w:tab/>
      </w:r>
      <w:r>
        <w:rPr>
          <w:rFonts w:hint="eastAsia"/>
          <w:szCs w:val="23"/>
          <w:lang w:val="en-GB"/>
        </w:rPr>
        <w:tab/>
        <w:t>Defendant</w:t>
      </w:r>
    </w:p>
    <w:p w:rsidR="009C17EC" w:rsidRDefault="009C17EC">
      <w:pPr>
        <w:tabs>
          <w:tab w:val="clear" w:pos="1440"/>
          <w:tab w:val="clear" w:pos="4320"/>
          <w:tab w:val="clear" w:pos="9072"/>
        </w:tabs>
        <w:spacing w:line="360" w:lineRule="auto"/>
        <w:jc w:val="both"/>
        <w:rPr>
          <w:rFonts w:hint="eastAsia"/>
          <w:szCs w:val="23"/>
          <w:lang w:val="en-GB"/>
        </w:rPr>
      </w:pPr>
    </w:p>
    <w:p w:rsidR="009C17EC" w:rsidRDefault="009C17EC">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9C17EC" w:rsidRDefault="009C17EC">
      <w:pPr>
        <w:tabs>
          <w:tab w:val="clear" w:pos="1440"/>
          <w:tab w:val="clear" w:pos="4320"/>
          <w:tab w:val="clear" w:pos="9072"/>
        </w:tabs>
        <w:spacing w:line="360" w:lineRule="auto"/>
        <w:jc w:val="both"/>
        <w:rPr>
          <w:rFonts w:hint="eastAsia"/>
          <w:szCs w:val="23"/>
          <w:lang w:val="en-GB"/>
        </w:rPr>
      </w:pPr>
    </w:p>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chambers (open to public)</w:t>
      </w:r>
    </w:p>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4 February 2009</w:t>
      </w:r>
    </w:p>
    <w:p w:rsidR="009C17EC" w:rsidRDefault="009C17EC">
      <w:pPr>
        <w:tabs>
          <w:tab w:val="clear" w:pos="1440"/>
          <w:tab w:val="clear" w:pos="4320"/>
          <w:tab w:val="clear" w:pos="9072"/>
        </w:tabs>
        <w:spacing w:line="360" w:lineRule="auto"/>
        <w:jc w:val="both"/>
        <w:rPr>
          <w:rFonts w:hint="eastAsia"/>
          <w:szCs w:val="23"/>
          <w:lang w:val="en-GB"/>
        </w:rPr>
      </w:pPr>
      <w:r>
        <w:rPr>
          <w:rFonts w:hint="eastAsia"/>
          <w:szCs w:val="23"/>
          <w:lang w:val="en-GB"/>
        </w:rPr>
        <w:t>Date of decision: 4 February 2009</w:t>
      </w:r>
    </w:p>
    <w:p w:rsidR="009C17EC" w:rsidRDefault="009C17EC">
      <w:pPr>
        <w:tabs>
          <w:tab w:val="clear" w:pos="1440"/>
          <w:tab w:val="clear" w:pos="4320"/>
          <w:tab w:val="clear" w:pos="9072"/>
        </w:tabs>
        <w:spacing w:line="360" w:lineRule="auto"/>
        <w:jc w:val="both"/>
        <w:rPr>
          <w:rFonts w:hint="eastAsia"/>
          <w:szCs w:val="23"/>
          <w:lang w:val="en-GB"/>
        </w:rPr>
      </w:pPr>
    </w:p>
    <w:p w:rsidR="009C17EC" w:rsidRDefault="009C17EC">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DECISION</w:t>
      </w:r>
    </w:p>
    <w:p w:rsidR="009C17EC" w:rsidRDefault="009C17EC">
      <w:pPr>
        <w:tabs>
          <w:tab w:val="clear" w:pos="1440"/>
          <w:tab w:val="clear" w:pos="4320"/>
          <w:tab w:val="clear" w:pos="9072"/>
        </w:tabs>
        <w:spacing w:line="360" w:lineRule="auto"/>
        <w:jc w:val="both"/>
        <w:rPr>
          <w:rFonts w:hint="eastAsia"/>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This action was last stayed pending the outcome of Dad (the Plaintiff)</w:t>
      </w:r>
      <w:r>
        <w:rPr>
          <w:szCs w:val="23"/>
          <w:lang w:val="en-GB"/>
        </w:rPr>
        <w:t>’</w:t>
      </w:r>
      <w:r>
        <w:rPr>
          <w:rFonts w:hint="eastAsia"/>
          <w:szCs w:val="23"/>
          <w:lang w:val="en-GB"/>
        </w:rPr>
        <w:t>s appeal from the related employees</w:t>
      </w:r>
      <w:r>
        <w:rPr>
          <w:szCs w:val="23"/>
          <w:lang w:val="en-GB"/>
        </w:rPr>
        <w:t>’</w:t>
      </w:r>
      <w:r>
        <w:rPr>
          <w:rFonts w:hint="eastAsia"/>
          <w:szCs w:val="23"/>
          <w:lang w:val="en-GB"/>
        </w:rPr>
        <w:t xml:space="preserve"> compensation case against Federal Securities (the Defendant).  The appeal was over.  Now Federal Securities applies to lift the stay and to dismiss the action.</w:t>
      </w:r>
    </w:p>
    <w:p w:rsidR="009C17EC" w:rsidRDefault="009C17EC">
      <w:pPr>
        <w:tabs>
          <w:tab w:val="clear" w:pos="1440"/>
          <w:tab w:val="clear" w:pos="4320"/>
          <w:tab w:val="clear" w:pos="9072"/>
          <w:tab w:val="left" w:pos="700"/>
        </w:tabs>
        <w:spacing w:line="360" w:lineRule="auto"/>
        <w:jc w:val="both"/>
        <w:rPr>
          <w:rFonts w:hint="eastAsia"/>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Dad</w:t>
      </w:r>
      <w:r>
        <w:rPr>
          <w:szCs w:val="23"/>
          <w:lang w:val="en-GB"/>
        </w:rPr>
        <w:t>’</w:t>
      </w:r>
      <w:r>
        <w:rPr>
          <w:rFonts w:hint="eastAsia"/>
          <w:szCs w:val="23"/>
          <w:lang w:val="en-GB"/>
        </w:rPr>
        <w:t xml:space="preserve">s legal aid certificate was discharged upon the dismissal of his appeal.  He is absent today.  I accept the affirmation of service of the summons and supporting affirmation by the solicitors for Federal </w:t>
      </w:r>
      <w:r>
        <w:rPr>
          <w:rFonts w:hint="eastAsia"/>
          <w:szCs w:val="23"/>
          <w:lang w:val="en-GB"/>
        </w:rPr>
        <w:lastRenderedPageBreak/>
        <w:t>Securities.  I am satisfied that today</w:t>
      </w:r>
      <w:r>
        <w:rPr>
          <w:szCs w:val="23"/>
          <w:lang w:val="en-GB"/>
        </w:rPr>
        <w:t>’</w:t>
      </w:r>
      <w:r>
        <w:rPr>
          <w:rFonts w:hint="eastAsia"/>
          <w:szCs w:val="23"/>
          <w:lang w:val="en-GB"/>
        </w:rPr>
        <w:t>s hearing could proceed.  The stay is lifted.</w:t>
      </w:r>
    </w:p>
    <w:p w:rsidR="009C17EC" w:rsidRDefault="009C17EC">
      <w:pPr>
        <w:tabs>
          <w:tab w:val="clear" w:pos="1440"/>
          <w:tab w:val="clear" w:pos="4320"/>
          <w:tab w:val="clear" w:pos="9072"/>
          <w:tab w:val="left" w:pos="700"/>
        </w:tabs>
        <w:spacing w:line="360" w:lineRule="auto"/>
        <w:jc w:val="both"/>
        <w:rPr>
          <w:rFonts w:hint="eastAsia"/>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On the basis of injury from an alleged accident happened around midnight on 14 May 2005 at a residential site in Tuen Mun in the course of his employment as security guard, Dad claimed against Federal Securities for employees</w:t>
      </w:r>
      <w:r>
        <w:rPr>
          <w:szCs w:val="23"/>
          <w:lang w:val="en-GB"/>
        </w:rPr>
        <w:t>’</w:t>
      </w:r>
      <w:r>
        <w:rPr>
          <w:rFonts w:hint="eastAsia"/>
          <w:szCs w:val="23"/>
          <w:lang w:val="en-GB"/>
        </w:rPr>
        <w:t xml:space="preserve"> compensation, i.e., DCEC 288/2006, and common law damages, i.e., the present action.</w:t>
      </w:r>
    </w:p>
    <w:p w:rsidR="009C17EC" w:rsidRDefault="009C17EC">
      <w:pPr>
        <w:tabs>
          <w:tab w:val="clear" w:pos="1440"/>
          <w:tab w:val="clear" w:pos="4320"/>
          <w:tab w:val="clear" w:pos="9072"/>
          <w:tab w:val="left" w:pos="700"/>
        </w:tabs>
        <w:spacing w:line="360" w:lineRule="auto"/>
        <w:jc w:val="both"/>
        <w:rPr>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After trial, the court in DCEC 288/2006 rejected Dad</w:t>
      </w:r>
      <w:r>
        <w:rPr>
          <w:szCs w:val="23"/>
          <w:lang w:val="en-GB"/>
        </w:rPr>
        <w:t>’</w:t>
      </w:r>
      <w:r>
        <w:rPr>
          <w:rFonts w:hint="eastAsia"/>
          <w:szCs w:val="23"/>
          <w:lang w:val="en-GB"/>
        </w:rPr>
        <w:t>s case that he was at the site at the alleged time and found that he could not have sustained any injury there at that juncture.  His claim was dismissed.  Dad appealed and the present action was stayed by consent pending the outcome of the appeal.  As said above, the appeal was dismissed in CACV 111/2008 last December.  The court of appeal affirmed the ruling below.</w:t>
      </w:r>
    </w:p>
    <w:p w:rsidR="009C17EC" w:rsidRDefault="009C17EC">
      <w:pPr>
        <w:tabs>
          <w:tab w:val="clear" w:pos="1440"/>
          <w:tab w:val="clear" w:pos="4320"/>
          <w:tab w:val="clear" w:pos="9072"/>
          <w:tab w:val="left" w:pos="700"/>
        </w:tabs>
        <w:spacing w:line="360" w:lineRule="auto"/>
        <w:jc w:val="both"/>
        <w:rPr>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 xml:space="preserve">Dad is bound by the fact findings </w:t>
      </w:r>
      <w:r>
        <w:rPr>
          <w:szCs w:val="23"/>
          <w:lang w:val="en-GB"/>
        </w:rPr>
        <w:t>which</w:t>
      </w:r>
      <w:r>
        <w:rPr>
          <w:rFonts w:hint="eastAsia"/>
          <w:szCs w:val="23"/>
          <w:lang w:val="en-GB"/>
        </w:rPr>
        <w:t xml:space="preserve"> was affirmed on appeal </w:t>
      </w:r>
      <w:r>
        <w:rPr>
          <w:szCs w:val="23"/>
          <w:lang w:val="en-GB"/>
        </w:rPr>
        <w:t xml:space="preserve">and is therefore estopped from pursuing his claim </w:t>
      </w:r>
      <w:r>
        <w:rPr>
          <w:rFonts w:hint="eastAsia"/>
          <w:szCs w:val="23"/>
          <w:lang w:val="en-GB"/>
        </w:rPr>
        <w:t xml:space="preserve">on the basis of the same alleged accident </w:t>
      </w:r>
      <w:r>
        <w:rPr>
          <w:szCs w:val="23"/>
          <w:lang w:val="en-GB"/>
        </w:rPr>
        <w:t>as pleaded in the present action.</w:t>
      </w:r>
    </w:p>
    <w:p w:rsidR="009C17EC" w:rsidRDefault="009C17EC">
      <w:pPr>
        <w:tabs>
          <w:tab w:val="clear" w:pos="1440"/>
          <w:tab w:val="clear" w:pos="4320"/>
          <w:tab w:val="clear" w:pos="9072"/>
          <w:tab w:val="left" w:pos="700"/>
        </w:tabs>
        <w:spacing w:line="360" w:lineRule="auto"/>
        <w:jc w:val="both"/>
        <w:rPr>
          <w:rFonts w:hint="eastAsia"/>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I notice that there was discussion in the court of appeal of the possibility of Dad returning to the site during another interim on the day of the accident.  However, as the court of appeal observed, no such alternative case has ever been suggested either in the DCEC trial below or during the appeal.  Such possibility remains very much a matter of speculation having no place in that claim or the present action.</w:t>
      </w:r>
    </w:p>
    <w:p w:rsidR="009C17EC" w:rsidRDefault="009C17EC">
      <w:pPr>
        <w:tabs>
          <w:tab w:val="clear" w:pos="1440"/>
          <w:tab w:val="clear" w:pos="4320"/>
          <w:tab w:val="clear" w:pos="9072"/>
          <w:tab w:val="left" w:pos="700"/>
        </w:tabs>
        <w:spacing w:line="360" w:lineRule="auto"/>
        <w:jc w:val="both"/>
        <w:rPr>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szCs w:val="23"/>
          <w:lang w:val="en-GB"/>
        </w:rPr>
      </w:pPr>
      <w:r>
        <w:rPr>
          <w:rFonts w:hint="eastAsia"/>
          <w:szCs w:val="23"/>
          <w:lang w:val="en-GB"/>
        </w:rPr>
        <w:t xml:space="preserve">I am therefore also satisfied that the situation cannot be cured by an amendment now to introduce an alternative time of the accident.  My </w:t>
      </w:r>
      <w:r>
        <w:rPr>
          <w:rFonts w:hint="eastAsia"/>
          <w:szCs w:val="23"/>
          <w:lang w:val="en-GB"/>
        </w:rPr>
        <w:lastRenderedPageBreak/>
        <w:t>reason is the principle of issue estoppel in the broad sense, namely, that Dad is estopped from putting forward a case that he must have already put forward before, had there really been such a case.</w:t>
      </w:r>
    </w:p>
    <w:p w:rsidR="009C17EC" w:rsidRDefault="009C17EC">
      <w:pPr>
        <w:tabs>
          <w:tab w:val="clear" w:pos="1440"/>
          <w:tab w:val="clear" w:pos="4320"/>
          <w:tab w:val="clear" w:pos="9072"/>
          <w:tab w:val="left" w:pos="700"/>
        </w:tabs>
        <w:spacing w:line="360" w:lineRule="auto"/>
        <w:jc w:val="both"/>
        <w:rPr>
          <w:szCs w:val="23"/>
          <w:lang w:val="en-GB"/>
        </w:rPr>
      </w:pPr>
    </w:p>
    <w:p w:rsidR="009C17EC" w:rsidRDefault="009C17EC">
      <w:pPr>
        <w:numPr>
          <w:ilvl w:val="0"/>
          <w:numId w:val="60"/>
        </w:numPr>
        <w:tabs>
          <w:tab w:val="clear" w:pos="795"/>
          <w:tab w:val="clear" w:pos="1440"/>
          <w:tab w:val="clear" w:pos="4320"/>
          <w:tab w:val="clear" w:pos="9072"/>
          <w:tab w:val="left" w:pos="700"/>
        </w:tabs>
        <w:spacing w:line="360" w:lineRule="auto"/>
        <w:ind w:left="0" w:firstLine="0"/>
        <w:jc w:val="both"/>
        <w:rPr>
          <w:rFonts w:hint="eastAsia"/>
          <w:lang w:val="en-GB"/>
        </w:rPr>
      </w:pPr>
      <w:r>
        <w:rPr>
          <w:rFonts w:hint="eastAsia"/>
          <w:szCs w:val="23"/>
          <w:lang w:val="en-GB"/>
        </w:rPr>
        <w:t xml:space="preserve">As such, </w:t>
      </w:r>
      <w:r>
        <w:rPr>
          <w:szCs w:val="23"/>
          <w:lang w:val="en-GB"/>
        </w:rPr>
        <w:t>the</w:t>
      </w:r>
      <w:r>
        <w:rPr>
          <w:rFonts w:hint="eastAsia"/>
          <w:szCs w:val="23"/>
          <w:lang w:val="en-GB"/>
        </w:rPr>
        <w:t xml:space="preserve"> statement of claim as it now stands is liable to be struck out for being frivolous, vexatious and abusive of legal process.  It follows that the action has to be dismissed.  Costs of the action, including any costs reserved, shall be to Federal Securities to be taxed if not agreed.</w:t>
      </w:r>
    </w:p>
    <w:p w:rsidR="009C17EC" w:rsidRDefault="009C17EC">
      <w:pPr>
        <w:tabs>
          <w:tab w:val="clear" w:pos="1440"/>
          <w:tab w:val="clear" w:pos="4320"/>
          <w:tab w:val="clear" w:pos="9072"/>
          <w:tab w:val="left" w:pos="700"/>
        </w:tabs>
        <w:spacing w:line="360" w:lineRule="auto"/>
        <w:jc w:val="both"/>
        <w:rPr>
          <w:lang w:val="en-GB"/>
        </w:rPr>
      </w:pPr>
    </w:p>
    <w:p w:rsidR="009C17EC" w:rsidRDefault="009C17EC">
      <w:pPr>
        <w:tabs>
          <w:tab w:val="clear" w:pos="1440"/>
          <w:tab w:val="clear" w:pos="4320"/>
          <w:tab w:val="clear" w:pos="9072"/>
          <w:tab w:val="left" w:pos="700"/>
        </w:tabs>
        <w:spacing w:line="360" w:lineRule="auto"/>
        <w:jc w:val="both"/>
        <w:rPr>
          <w:rFonts w:hint="eastAsia"/>
          <w:lang w:val="en-GB"/>
        </w:rPr>
      </w:pPr>
    </w:p>
    <w:p w:rsidR="009C17EC" w:rsidRDefault="009C17EC">
      <w:pPr>
        <w:tabs>
          <w:tab w:val="clear" w:pos="1440"/>
          <w:tab w:val="clear" w:pos="4320"/>
          <w:tab w:val="clear" w:pos="9072"/>
          <w:tab w:val="left" w:pos="700"/>
        </w:tabs>
        <w:spacing w:line="360" w:lineRule="auto"/>
        <w:jc w:val="both"/>
        <w:rPr>
          <w:rFonts w:hint="eastAsia"/>
          <w:lang w:val="en-GB"/>
        </w:rPr>
      </w:pPr>
    </w:p>
    <w:p w:rsidR="009C17EC" w:rsidRDefault="009C17EC">
      <w:pPr>
        <w:tabs>
          <w:tab w:val="clear" w:pos="1440"/>
          <w:tab w:val="clear" w:pos="4320"/>
          <w:tab w:val="clear" w:pos="9072"/>
          <w:tab w:val="left" w:pos="700"/>
        </w:tabs>
        <w:spacing w:line="360" w:lineRule="auto"/>
        <w:jc w:val="both"/>
        <w:rPr>
          <w:rFonts w:hint="eastAsia"/>
          <w:lang w:val="en-GB"/>
        </w:rPr>
      </w:pP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t>Simon Leung</w:t>
      </w:r>
    </w:p>
    <w:p w:rsidR="009C17EC" w:rsidRDefault="009C17EC">
      <w:pPr>
        <w:tabs>
          <w:tab w:val="clear" w:pos="1440"/>
          <w:tab w:val="clear" w:pos="4320"/>
          <w:tab w:val="clear" w:pos="9072"/>
          <w:tab w:val="left" w:pos="700"/>
        </w:tabs>
        <w:spacing w:line="360" w:lineRule="auto"/>
        <w:jc w:val="both"/>
        <w:rPr>
          <w:rFonts w:hint="eastAsia"/>
          <w:lang w:val="en-GB"/>
        </w:rPr>
      </w:pP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r>
      <w:r>
        <w:rPr>
          <w:rFonts w:hint="eastAsia"/>
          <w:lang w:val="en-GB"/>
        </w:rPr>
        <w:tab/>
        <w:t>District Judge</w:t>
      </w:r>
    </w:p>
    <w:p w:rsidR="009C17EC" w:rsidRDefault="009C17EC">
      <w:pPr>
        <w:tabs>
          <w:tab w:val="clear" w:pos="1440"/>
          <w:tab w:val="clear" w:pos="4320"/>
          <w:tab w:val="clear" w:pos="9072"/>
          <w:tab w:val="left" w:pos="700"/>
        </w:tabs>
        <w:spacing w:line="360" w:lineRule="auto"/>
        <w:jc w:val="both"/>
        <w:rPr>
          <w:rFonts w:hint="eastAsia"/>
          <w:lang w:val="en-GB"/>
        </w:rPr>
      </w:pPr>
    </w:p>
    <w:p w:rsidR="009C17EC" w:rsidRDefault="009C17EC">
      <w:pPr>
        <w:tabs>
          <w:tab w:val="clear" w:pos="1440"/>
          <w:tab w:val="clear" w:pos="4320"/>
          <w:tab w:val="clear" w:pos="9072"/>
          <w:tab w:val="left" w:pos="700"/>
        </w:tabs>
        <w:spacing w:line="360" w:lineRule="auto"/>
        <w:jc w:val="both"/>
        <w:rPr>
          <w:rFonts w:hint="eastAsia"/>
          <w:lang w:val="en-GB"/>
        </w:rPr>
      </w:pPr>
      <w:r>
        <w:rPr>
          <w:rFonts w:hint="eastAsia"/>
          <w:lang w:val="en-GB"/>
        </w:rPr>
        <w:t>Plaintiff, in person, absent</w:t>
      </w:r>
    </w:p>
    <w:p w:rsidR="009C17EC" w:rsidRDefault="009C17EC">
      <w:pPr>
        <w:tabs>
          <w:tab w:val="clear" w:pos="1440"/>
          <w:tab w:val="clear" w:pos="4320"/>
          <w:tab w:val="clear" w:pos="9072"/>
          <w:tab w:val="left" w:pos="700"/>
        </w:tabs>
        <w:spacing w:line="360" w:lineRule="auto"/>
        <w:jc w:val="both"/>
        <w:rPr>
          <w:rFonts w:hint="eastAsia"/>
          <w:lang w:val="en-GB"/>
        </w:rPr>
      </w:pPr>
      <w:r>
        <w:rPr>
          <w:rFonts w:hint="eastAsia"/>
          <w:lang w:val="en-GB"/>
        </w:rPr>
        <w:t>Ms L Cheng of Messrs K B Chau &amp; Co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7EC" w:rsidRDefault="009C17EC">
      <w:r>
        <w:separator/>
      </w:r>
    </w:p>
  </w:endnote>
  <w:endnote w:type="continuationSeparator" w:id="0">
    <w:p w:rsidR="009C17EC" w:rsidRDefault="009C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7EC" w:rsidRDefault="009C17EC">
      <w:r>
        <w:separator/>
      </w:r>
    </w:p>
  </w:footnote>
  <w:footnote w:type="continuationSeparator" w:id="0">
    <w:p w:rsidR="009C17EC" w:rsidRDefault="009C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EC" w:rsidRDefault="009C17EC">
    <w:pPr>
      <w:pStyle w:val="Header"/>
      <w:rPr>
        <w:sz w:val="27"/>
        <w:szCs w:val="27"/>
      </w:rPr>
    </w:pPr>
    <w:r>
      <w:rPr>
        <w:sz w:val="27"/>
        <w:szCs w:val="27"/>
      </w:rPr>
      <w:t>-</w: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9C17EC">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9C17EC" w:rsidRDefault="009C17EC">
                <w:pPr>
                  <w:rPr>
                    <w:b/>
                    <w:bCs/>
                    <w:sz w:val="19"/>
                    <w:szCs w:val="19"/>
                  </w:rPr>
                </w:pPr>
                <w:r>
                  <w:rPr>
                    <w:b/>
                    <w:bCs/>
                    <w:sz w:val="19"/>
                    <w:szCs w:val="19"/>
                  </w:rPr>
                  <w:t>A</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9"/>
                    <w:szCs w:val="19"/>
                  </w:rPr>
                </w:pPr>
                <w:r>
                  <w:rPr>
                    <w:b/>
                    <w:bCs/>
                    <w:sz w:val="19"/>
                    <w:szCs w:val="19"/>
                  </w:rPr>
                  <w:t>B</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C</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pStyle w:val="Heading2"/>
                  <w:rPr>
                    <w:sz w:val="15"/>
                    <w:szCs w:val="15"/>
                  </w:rPr>
                </w:pPr>
                <w:r>
                  <w:rPr>
                    <w:sz w:val="19"/>
                    <w:szCs w:val="19"/>
                  </w:rPr>
                  <w:t>D</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E</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9"/>
                    <w:szCs w:val="19"/>
                  </w:rPr>
                </w:pPr>
                <w:r>
                  <w:rPr>
                    <w:b/>
                    <w:bCs/>
                    <w:sz w:val="19"/>
                    <w:szCs w:val="19"/>
                  </w:rPr>
                  <w:t>F</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G</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H</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I</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J</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K</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L</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M</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N</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O</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P</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Q</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R</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S</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T</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U</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pStyle w:val="Heading3"/>
                  <w:jc w:val="left"/>
                  <w:rPr>
                    <w:sz w:val="19"/>
                    <w:szCs w:val="19"/>
                  </w:rPr>
                </w:pPr>
                <w:r>
                  <w:rPr>
                    <w:sz w:val="19"/>
                    <w:szCs w:val="19"/>
                  </w:rPr>
                  <w:t>V</w:t>
                </w:r>
              </w:p>
            </w:txbxContent>
          </v:textbox>
        </v:shape>
      </w:pict>
    </w:r>
    <w:r>
      <w:rPr>
        <w:noProof/>
        <w:sz w:val="19"/>
        <w:szCs w:val="19"/>
        <w:lang w:eastAsia="en-US"/>
      </w:rPr>
    </w:r>
    <w:r w:rsidR="009C17EC">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9C17EC" w:rsidRDefault="009C17EC">
                <w:pPr>
                  <w:rPr>
                    <w:rFonts w:eastAsia="SimHei"/>
                    <w:b/>
                    <w:bCs/>
                    <w:sz w:val="17"/>
                    <w:szCs w:val="17"/>
                  </w:rPr>
                </w:pPr>
                <w:r>
                  <w:rPr>
                    <w:rFonts w:eastAsia="SimHei" w:hint="eastAsia"/>
                    <w:b/>
                    <w:bCs/>
                    <w:sz w:val="27"/>
                    <w:szCs w:val="27"/>
                  </w:rPr>
                  <w:t>由此</w:t>
                </w:r>
              </w:p>
            </w:txbxContent>
          </v:textbox>
        </v:shape>
      </w:pict>
    </w:r>
  </w:p>
  <w:p w:rsidR="009C17EC" w:rsidRDefault="009C17EC">
    <w:pPr>
      <w:rPr>
        <w:sz w:val="27"/>
        <w:szCs w:val="27"/>
      </w:rPr>
    </w:pPr>
    <w:r>
      <w:rPr>
        <w:noProof/>
        <w:sz w:val="19"/>
        <w:szCs w:val="19"/>
        <w:lang w:eastAsia="en-US"/>
      </w:rPr>
    </w:r>
    <w:r w:rsidR="009C17EC">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9C17EC" w:rsidRDefault="009C17EC">
                <w:pPr>
                  <w:rPr>
                    <w:b/>
                    <w:bCs/>
                    <w:sz w:val="19"/>
                    <w:szCs w:val="19"/>
                  </w:rPr>
                </w:pPr>
                <w:r>
                  <w:rPr>
                    <w:b/>
                    <w:bCs/>
                    <w:sz w:val="19"/>
                    <w:szCs w:val="19"/>
                  </w:rPr>
                  <w:t>A</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9"/>
                    <w:szCs w:val="19"/>
                  </w:rPr>
                </w:pPr>
                <w:r>
                  <w:rPr>
                    <w:b/>
                    <w:bCs/>
                    <w:sz w:val="19"/>
                    <w:szCs w:val="19"/>
                  </w:rPr>
                  <w:t>B</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C</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pStyle w:val="Heading2"/>
                  <w:rPr>
                    <w:sz w:val="15"/>
                    <w:szCs w:val="15"/>
                  </w:rPr>
                </w:pPr>
                <w:r>
                  <w:rPr>
                    <w:sz w:val="19"/>
                    <w:szCs w:val="19"/>
                  </w:rPr>
                  <w:t>D</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E</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9"/>
                    <w:szCs w:val="19"/>
                  </w:rPr>
                </w:pPr>
                <w:r>
                  <w:rPr>
                    <w:b/>
                    <w:bCs/>
                    <w:sz w:val="19"/>
                    <w:szCs w:val="19"/>
                  </w:rPr>
                  <w:t>F</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G</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H</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I</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J</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K</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L</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M</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N</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O</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P</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Q</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R</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S</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T</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rPr>
                    <w:b/>
                    <w:bCs/>
                    <w:sz w:val="15"/>
                    <w:szCs w:val="15"/>
                  </w:rPr>
                </w:pPr>
                <w:r>
                  <w:rPr>
                    <w:b/>
                    <w:bCs/>
                    <w:sz w:val="19"/>
                    <w:szCs w:val="19"/>
                  </w:rPr>
                  <w:t>U</w:t>
                </w:r>
              </w:p>
              <w:p w:rsidR="009C17EC" w:rsidRDefault="009C17EC">
                <w:pPr>
                  <w:rPr>
                    <w:b/>
                    <w:bCs/>
                    <w:sz w:val="10"/>
                    <w:szCs w:val="10"/>
                  </w:rPr>
                </w:pPr>
              </w:p>
              <w:p w:rsidR="009C17EC" w:rsidRDefault="009C17EC">
                <w:pPr>
                  <w:rPr>
                    <w:b/>
                    <w:bCs/>
                    <w:sz w:val="15"/>
                    <w:szCs w:val="15"/>
                  </w:rPr>
                </w:pPr>
              </w:p>
              <w:p w:rsidR="009C17EC" w:rsidRDefault="009C17EC">
                <w:pPr>
                  <w:rPr>
                    <w:b/>
                    <w:bCs/>
                    <w:sz w:val="15"/>
                    <w:szCs w:val="15"/>
                  </w:rPr>
                </w:pPr>
              </w:p>
              <w:p w:rsidR="009C17EC" w:rsidRDefault="009C17EC">
                <w:pPr>
                  <w:pStyle w:val="Heading3"/>
                  <w:jc w:val="left"/>
                  <w:rPr>
                    <w:sz w:val="19"/>
                    <w:szCs w:val="19"/>
                  </w:rPr>
                </w:pPr>
                <w:r>
                  <w:rPr>
                    <w:sz w:val="19"/>
                    <w:szCs w:val="19"/>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92008259">
    <w:abstractNumId w:val="8"/>
  </w:num>
  <w:num w:numId="2" w16cid:durableId="237057757">
    <w:abstractNumId w:val="0"/>
  </w:num>
  <w:num w:numId="3" w16cid:durableId="63725179">
    <w:abstractNumId w:val="19"/>
  </w:num>
  <w:num w:numId="4" w16cid:durableId="1621297927">
    <w:abstractNumId w:val="3"/>
  </w:num>
  <w:num w:numId="5" w16cid:durableId="768814037">
    <w:abstractNumId w:val="44"/>
  </w:num>
  <w:num w:numId="6" w16cid:durableId="1458060380">
    <w:abstractNumId w:val="1"/>
  </w:num>
  <w:num w:numId="7" w16cid:durableId="1543714427">
    <w:abstractNumId w:val="56"/>
  </w:num>
  <w:num w:numId="8" w16cid:durableId="1361130886">
    <w:abstractNumId w:val="55"/>
  </w:num>
  <w:num w:numId="9" w16cid:durableId="26490134">
    <w:abstractNumId w:val="29"/>
  </w:num>
  <w:num w:numId="10" w16cid:durableId="1529638405">
    <w:abstractNumId w:val="23"/>
  </w:num>
  <w:num w:numId="11" w16cid:durableId="175340984">
    <w:abstractNumId w:val="51"/>
  </w:num>
  <w:num w:numId="12" w16cid:durableId="1105350405">
    <w:abstractNumId w:val="26"/>
  </w:num>
  <w:num w:numId="13" w16cid:durableId="780221723">
    <w:abstractNumId w:val="58"/>
  </w:num>
  <w:num w:numId="14" w16cid:durableId="1985550373">
    <w:abstractNumId w:val="28"/>
  </w:num>
  <w:num w:numId="15" w16cid:durableId="70010327">
    <w:abstractNumId w:val="13"/>
  </w:num>
  <w:num w:numId="16" w16cid:durableId="32310220">
    <w:abstractNumId w:val="22"/>
  </w:num>
  <w:num w:numId="17" w16cid:durableId="1599436884">
    <w:abstractNumId w:val="25"/>
  </w:num>
  <w:num w:numId="18" w16cid:durableId="2107190073">
    <w:abstractNumId w:val="45"/>
  </w:num>
  <w:num w:numId="19" w16cid:durableId="1403989792">
    <w:abstractNumId w:val="17"/>
  </w:num>
  <w:num w:numId="20" w16cid:durableId="227040917">
    <w:abstractNumId w:val="46"/>
  </w:num>
  <w:num w:numId="21" w16cid:durableId="1338849592">
    <w:abstractNumId w:val="10"/>
  </w:num>
  <w:num w:numId="22" w16cid:durableId="1567762044">
    <w:abstractNumId w:val="32"/>
  </w:num>
  <w:num w:numId="23" w16cid:durableId="355887809">
    <w:abstractNumId w:val="54"/>
  </w:num>
  <w:num w:numId="24" w16cid:durableId="867988073">
    <w:abstractNumId w:val="48"/>
  </w:num>
  <w:num w:numId="25" w16cid:durableId="1797404495">
    <w:abstractNumId w:val="37"/>
  </w:num>
  <w:num w:numId="26" w16cid:durableId="588857268">
    <w:abstractNumId w:val="12"/>
  </w:num>
  <w:num w:numId="27" w16cid:durableId="818307296">
    <w:abstractNumId w:val="18"/>
  </w:num>
  <w:num w:numId="28" w16cid:durableId="719866431">
    <w:abstractNumId w:val="35"/>
  </w:num>
  <w:num w:numId="29" w16cid:durableId="392388873">
    <w:abstractNumId w:val="7"/>
  </w:num>
  <w:num w:numId="30" w16cid:durableId="1555123911">
    <w:abstractNumId w:val="20"/>
  </w:num>
  <w:num w:numId="31" w16cid:durableId="1575968489">
    <w:abstractNumId w:val="33"/>
  </w:num>
  <w:num w:numId="32" w16cid:durableId="1615669479">
    <w:abstractNumId w:val="31"/>
  </w:num>
  <w:num w:numId="33" w16cid:durableId="1907060651">
    <w:abstractNumId w:val="16"/>
  </w:num>
  <w:num w:numId="34" w16cid:durableId="1429697453">
    <w:abstractNumId w:val="57"/>
  </w:num>
  <w:num w:numId="35" w16cid:durableId="2026903238">
    <w:abstractNumId w:val="40"/>
  </w:num>
  <w:num w:numId="36" w16cid:durableId="1820996393">
    <w:abstractNumId w:val="2"/>
  </w:num>
  <w:num w:numId="37" w16cid:durableId="1762796048">
    <w:abstractNumId w:val="4"/>
  </w:num>
  <w:num w:numId="38" w16cid:durableId="1802310063">
    <w:abstractNumId w:val="30"/>
  </w:num>
  <w:num w:numId="39" w16cid:durableId="298653177">
    <w:abstractNumId w:val="43"/>
  </w:num>
  <w:num w:numId="40" w16cid:durableId="886333491">
    <w:abstractNumId w:val="38"/>
  </w:num>
  <w:num w:numId="41" w16cid:durableId="1252739703">
    <w:abstractNumId w:val="6"/>
  </w:num>
  <w:num w:numId="42" w16cid:durableId="115099877">
    <w:abstractNumId w:val="11"/>
  </w:num>
  <w:num w:numId="43" w16cid:durableId="1214459649">
    <w:abstractNumId w:val="50"/>
  </w:num>
  <w:num w:numId="44" w16cid:durableId="2099671153">
    <w:abstractNumId w:val="9"/>
  </w:num>
  <w:num w:numId="45" w16cid:durableId="2131700199">
    <w:abstractNumId w:val="49"/>
  </w:num>
  <w:num w:numId="46" w16cid:durableId="1062682663">
    <w:abstractNumId w:val="52"/>
  </w:num>
  <w:num w:numId="47" w16cid:durableId="1594823919">
    <w:abstractNumId w:val="5"/>
  </w:num>
  <w:num w:numId="48" w16cid:durableId="979116856">
    <w:abstractNumId w:val="21"/>
  </w:num>
  <w:num w:numId="49" w16cid:durableId="1413357074">
    <w:abstractNumId w:val="39"/>
  </w:num>
  <w:num w:numId="50" w16cid:durableId="1136264657">
    <w:abstractNumId w:val="36"/>
  </w:num>
  <w:num w:numId="51" w16cid:durableId="1315138912">
    <w:abstractNumId w:val="53"/>
  </w:num>
  <w:num w:numId="52" w16cid:durableId="1015694837">
    <w:abstractNumId w:val="42"/>
  </w:num>
  <w:num w:numId="53" w16cid:durableId="2022119686">
    <w:abstractNumId w:val="24"/>
  </w:num>
  <w:num w:numId="54" w16cid:durableId="862130054">
    <w:abstractNumId w:val="27"/>
  </w:num>
  <w:num w:numId="55" w16cid:durableId="728193954">
    <w:abstractNumId w:val="14"/>
  </w:num>
  <w:num w:numId="56" w16cid:durableId="323512169">
    <w:abstractNumId w:val="15"/>
  </w:num>
  <w:num w:numId="57" w16cid:durableId="1692410082">
    <w:abstractNumId w:val="59"/>
  </w:num>
  <w:num w:numId="58" w16cid:durableId="754130968">
    <w:abstractNumId w:val="47"/>
  </w:num>
  <w:num w:numId="59" w16cid:durableId="1652752945">
    <w:abstractNumId w:val="41"/>
  </w:num>
  <w:num w:numId="60" w16cid:durableId="13940884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17EC"/>
    <w:rsid w:val="009C17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E0DF97-FA0E-ED42-830B-E4268AB3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2009-02-05T07:02:00Z</cp:lastPrinted>
  <dcterms:created xsi:type="dcterms:W3CDTF">2023-10-14T01:16:00Z</dcterms:created>
  <dcterms:modified xsi:type="dcterms:W3CDTF">2023-10-14T01:16:00Z</dcterms:modified>
</cp:coreProperties>
</file>